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D35A" w14:textId="77777777" w:rsidR="009C39CD" w:rsidRDefault="009C39CD" w:rsidP="009C39CD">
      <w:pPr>
        <w:spacing w:line="480" w:lineRule="auto"/>
        <w:jc w:val="center"/>
        <w:rPr>
          <w:rFonts w:ascii="Times New Roman Bold" w:hAnsi="Times New Roman Bold"/>
          <w:b/>
          <w:bCs/>
          <w:caps/>
        </w:rPr>
      </w:pPr>
    </w:p>
    <w:p w14:paraId="6E2F6FA7" w14:textId="167587E3" w:rsidR="009C39CD" w:rsidRPr="000653E3" w:rsidRDefault="009C39CD" w:rsidP="009C39CD">
      <w:pPr>
        <w:spacing w:line="480" w:lineRule="auto"/>
        <w:jc w:val="center"/>
        <w:rPr>
          <w:rFonts w:ascii="Times New Roman Bold" w:hAnsi="Times New Roman Bold"/>
          <w:b/>
          <w:bCs/>
          <w:caps/>
        </w:rPr>
      </w:pPr>
      <w:r>
        <w:rPr>
          <w:rFonts w:ascii="Times New Roman Bold" w:hAnsi="Times New Roman Bold"/>
          <w:b/>
          <w:bCs/>
          <w:caps/>
        </w:rPr>
        <w:t xml:space="preserve">NOW, </w:t>
      </w:r>
      <w:r w:rsidRPr="000653E3">
        <w:rPr>
          <w:rFonts w:ascii="Times New Roman Bold" w:hAnsi="Times New Roman Bold"/>
          <w:b/>
          <w:bCs/>
          <w:caps/>
        </w:rPr>
        <w:t>Women Do Ask</w:t>
      </w:r>
      <w:r>
        <w:rPr>
          <w:b/>
          <w:bCs/>
        </w:rPr>
        <w:t xml:space="preserve">: </w:t>
      </w:r>
      <w:r>
        <w:rPr>
          <w:b/>
          <w:bCs/>
        </w:rPr>
        <w:br/>
      </w:r>
      <w:r>
        <w:rPr>
          <w:rFonts w:ascii="Times New Roman Bold" w:hAnsi="Times New Roman Bold"/>
          <w:b/>
          <w:bCs/>
          <w:caps/>
        </w:rPr>
        <w:t xml:space="preserve">A CALL TO UPDATE BELIEFS </w:t>
      </w:r>
      <w:r w:rsidRPr="000653E3">
        <w:rPr>
          <w:rFonts w:ascii="Times New Roman Bold" w:hAnsi="Times New Roman Bold"/>
          <w:b/>
          <w:bCs/>
          <w:caps/>
        </w:rPr>
        <w:t>about</w:t>
      </w:r>
      <w:r>
        <w:rPr>
          <w:rFonts w:ascii="Times New Roman Bold" w:hAnsi="Times New Roman Bold"/>
          <w:b/>
          <w:bCs/>
          <w:caps/>
        </w:rPr>
        <w:t xml:space="preserve"> </w:t>
      </w:r>
      <w:r w:rsidRPr="000653E3">
        <w:rPr>
          <w:rFonts w:ascii="Times New Roman Bold" w:hAnsi="Times New Roman Bold"/>
          <w:b/>
          <w:bCs/>
          <w:caps/>
        </w:rPr>
        <w:t>the Gender Pay Gap</w:t>
      </w:r>
    </w:p>
    <w:p w14:paraId="2CDB3BD3" w14:textId="77777777" w:rsidR="009C39CD" w:rsidRDefault="009C39CD" w:rsidP="009C39CD">
      <w:pPr>
        <w:spacing w:line="480" w:lineRule="auto"/>
        <w:jc w:val="center"/>
        <w:rPr>
          <w:b/>
          <w:bCs/>
        </w:rPr>
      </w:pPr>
    </w:p>
    <w:p w14:paraId="482A7D99" w14:textId="77777777" w:rsidR="009C39CD" w:rsidRDefault="009C39CD" w:rsidP="009C39CD">
      <w:pPr>
        <w:spacing w:line="480" w:lineRule="auto"/>
        <w:jc w:val="center"/>
        <w:rPr>
          <w:b/>
          <w:bCs/>
        </w:rPr>
      </w:pPr>
    </w:p>
    <w:p w14:paraId="0FD5C1B9" w14:textId="77777777" w:rsidR="009C39CD" w:rsidRDefault="009C39CD" w:rsidP="009C39CD">
      <w:pPr>
        <w:spacing w:line="480" w:lineRule="auto"/>
        <w:jc w:val="center"/>
        <w:rPr>
          <w:b/>
          <w:bCs/>
        </w:rPr>
      </w:pPr>
    </w:p>
    <w:p w14:paraId="7192E5B1" w14:textId="77777777" w:rsidR="009C39CD" w:rsidRDefault="009C39CD" w:rsidP="009C39CD">
      <w:pPr>
        <w:spacing w:line="480" w:lineRule="auto"/>
        <w:jc w:val="center"/>
      </w:pPr>
      <w:r>
        <w:t>Laura J. Kray</w:t>
      </w:r>
    </w:p>
    <w:p w14:paraId="2B82A18D" w14:textId="77777777" w:rsidR="009C39CD" w:rsidRDefault="009C39CD" w:rsidP="009C39CD">
      <w:pPr>
        <w:spacing w:line="480" w:lineRule="auto"/>
        <w:jc w:val="center"/>
      </w:pPr>
      <w:r w:rsidRPr="0063788C">
        <w:t>University of California, Berkeley</w:t>
      </w:r>
    </w:p>
    <w:p w14:paraId="4D7C6794" w14:textId="77777777" w:rsidR="009C39CD" w:rsidRDefault="009C39CD" w:rsidP="009C39CD">
      <w:pPr>
        <w:spacing w:line="480" w:lineRule="auto"/>
        <w:jc w:val="center"/>
      </w:pPr>
    </w:p>
    <w:p w14:paraId="389E6BF0" w14:textId="77777777" w:rsidR="009C39CD" w:rsidRDefault="009C39CD" w:rsidP="009C39CD">
      <w:pPr>
        <w:spacing w:line="480" w:lineRule="auto"/>
        <w:jc w:val="center"/>
      </w:pPr>
      <w:r>
        <w:t>Jessica A. Kennedy</w:t>
      </w:r>
    </w:p>
    <w:p w14:paraId="309FA17E" w14:textId="77777777" w:rsidR="009C39CD" w:rsidRDefault="009C39CD" w:rsidP="009C39CD">
      <w:pPr>
        <w:spacing w:line="480" w:lineRule="auto"/>
        <w:jc w:val="center"/>
      </w:pPr>
      <w:r>
        <w:t>Vanderbilt University</w:t>
      </w:r>
    </w:p>
    <w:p w14:paraId="7703274D" w14:textId="77777777" w:rsidR="009C39CD" w:rsidRDefault="009C39CD" w:rsidP="009C39CD">
      <w:pPr>
        <w:spacing w:line="480" w:lineRule="auto"/>
        <w:jc w:val="center"/>
      </w:pPr>
    </w:p>
    <w:p w14:paraId="4F07AE95" w14:textId="77777777" w:rsidR="009C39CD" w:rsidRPr="0063788C" w:rsidRDefault="009C39CD" w:rsidP="009C39CD">
      <w:pPr>
        <w:spacing w:line="480" w:lineRule="auto"/>
        <w:jc w:val="center"/>
      </w:pPr>
      <w:r w:rsidRPr="0063788C">
        <w:t>Margaret Lee</w:t>
      </w:r>
    </w:p>
    <w:p w14:paraId="74C15C79" w14:textId="77777777" w:rsidR="009C39CD" w:rsidRDefault="009C39CD" w:rsidP="009C39CD">
      <w:pPr>
        <w:spacing w:line="480" w:lineRule="auto"/>
        <w:jc w:val="center"/>
      </w:pPr>
      <w:r w:rsidRPr="0063788C">
        <w:t>University of California, Berkeley</w:t>
      </w:r>
    </w:p>
    <w:p w14:paraId="4A49FA79" w14:textId="77777777" w:rsidR="009C39CD" w:rsidRDefault="009C39CD" w:rsidP="009C39CD">
      <w:pPr>
        <w:spacing w:line="480" w:lineRule="auto"/>
        <w:jc w:val="center"/>
      </w:pPr>
    </w:p>
    <w:p w14:paraId="3FDF4D8A" w14:textId="77777777" w:rsidR="009C39CD" w:rsidRDefault="009C39CD" w:rsidP="009C39CD">
      <w:pPr>
        <w:spacing w:line="480" w:lineRule="auto"/>
        <w:jc w:val="center"/>
      </w:pPr>
    </w:p>
    <w:p w14:paraId="05E00216" w14:textId="63C4F714" w:rsidR="009C39CD" w:rsidRDefault="009C39CD" w:rsidP="009C39CD">
      <w:pPr>
        <w:spacing w:line="480" w:lineRule="auto"/>
        <w:jc w:val="center"/>
      </w:pPr>
      <w:r w:rsidRPr="009C39CD">
        <w:t>IN PRESS</w:t>
      </w:r>
      <w:r>
        <w:t xml:space="preserve">: </w:t>
      </w:r>
      <w:r w:rsidRPr="00730FE8">
        <w:rPr>
          <w:b/>
          <w:bCs/>
          <w:i/>
          <w:iCs/>
        </w:rPr>
        <w:t>ACADEMY OF MANAGEMENT DISCOVERIES</w:t>
      </w:r>
    </w:p>
    <w:p w14:paraId="153CEA1F" w14:textId="77777777" w:rsidR="009C39CD" w:rsidRDefault="009C39CD" w:rsidP="009C39CD">
      <w:pPr>
        <w:spacing w:line="480" w:lineRule="auto"/>
        <w:jc w:val="center"/>
      </w:pPr>
    </w:p>
    <w:p w14:paraId="3F48FD6F" w14:textId="39057FB3" w:rsidR="009C39CD" w:rsidRDefault="009C39CD">
      <w:pPr>
        <w:rPr>
          <w:b/>
          <w:bCs/>
        </w:rPr>
      </w:pPr>
    </w:p>
    <w:p w14:paraId="78DD978E" w14:textId="71D084CC" w:rsidR="009C39CD" w:rsidRDefault="009C39CD">
      <w:pPr>
        <w:rPr>
          <w:b/>
          <w:bCs/>
        </w:rPr>
      </w:pPr>
    </w:p>
    <w:p w14:paraId="3E0D2316" w14:textId="77777777" w:rsidR="009C39CD" w:rsidRDefault="009C39CD">
      <w:pPr>
        <w:rPr>
          <w:b/>
          <w:bCs/>
        </w:rPr>
      </w:pPr>
    </w:p>
    <w:p w14:paraId="3968D7F8" w14:textId="77777777" w:rsidR="009C39CD" w:rsidRDefault="009C39CD">
      <w:pPr>
        <w:rPr>
          <w:b/>
          <w:bCs/>
        </w:rPr>
      </w:pPr>
      <w:r>
        <w:rPr>
          <w:b/>
          <w:bCs/>
        </w:rPr>
        <w:br w:type="page"/>
      </w:r>
    </w:p>
    <w:p w14:paraId="25132161" w14:textId="67837693" w:rsidR="0086522A" w:rsidRPr="00F0681A" w:rsidRDefault="0086522A" w:rsidP="00F86B4F">
      <w:pPr>
        <w:jc w:val="center"/>
        <w:rPr>
          <w:b/>
          <w:bCs/>
        </w:rPr>
      </w:pPr>
      <w:r w:rsidRPr="00F0681A">
        <w:rPr>
          <w:b/>
          <w:bCs/>
        </w:rPr>
        <w:lastRenderedPageBreak/>
        <w:t>ABSTRACT</w:t>
      </w:r>
    </w:p>
    <w:p w14:paraId="69F44EFE" w14:textId="77777777" w:rsidR="0086522A" w:rsidRPr="006533FC" w:rsidRDefault="0086522A" w:rsidP="00140558">
      <w:pPr>
        <w:jc w:val="center"/>
      </w:pPr>
    </w:p>
    <w:p w14:paraId="5C874E6C" w14:textId="5820ED1B" w:rsidR="0086522A" w:rsidRPr="00E529A3" w:rsidRDefault="0086522A" w:rsidP="00140558">
      <w:pPr>
        <w:spacing w:line="480" w:lineRule="auto"/>
        <w:rPr>
          <w:b/>
          <w:bCs/>
          <w:i/>
          <w:iCs/>
        </w:rPr>
      </w:pPr>
      <w:r w:rsidRPr="00D9571F">
        <w:rPr>
          <w:bCs/>
        </w:rPr>
        <w:tab/>
      </w:r>
      <w:r w:rsidR="006C16AA" w:rsidRPr="006C16AA">
        <w:rPr>
          <w:bCs/>
        </w:rPr>
        <w:t xml:space="preserve">For </w:t>
      </w:r>
      <w:r w:rsidR="006C16AA">
        <w:rPr>
          <w:bCs/>
        </w:rPr>
        <w:t xml:space="preserve">over </w:t>
      </w:r>
      <w:r w:rsidR="006C16AA" w:rsidRPr="006C16AA">
        <w:rPr>
          <w:bCs/>
        </w:rPr>
        <w:t>two decades, gender differences in the propensity to negotiate have been thought to explain the gender pay gap. We ask whether a “women don’t ask” pattern holds today among working adults. We compare estimates of gender differences in negotiation propensity (Study 1) with actual patterns from MBA students (</w:t>
      </w:r>
      <w:r w:rsidR="006C16AA" w:rsidRPr="00D254AC">
        <w:rPr>
          <w:bCs/>
          <w:i/>
          <w:iCs/>
        </w:rPr>
        <w:t>n</w:t>
      </w:r>
      <w:r w:rsidR="006C16AA" w:rsidRPr="006C16AA">
        <w:rPr>
          <w:bCs/>
        </w:rPr>
        <w:t xml:space="preserve"> = 1,435) and alumni (</w:t>
      </w:r>
      <w:r w:rsidR="006C16AA" w:rsidRPr="00D254AC">
        <w:rPr>
          <w:bCs/>
          <w:i/>
          <w:iCs/>
        </w:rPr>
        <w:t>n</w:t>
      </w:r>
      <w:r w:rsidR="006C16AA" w:rsidRPr="006C16AA">
        <w:rPr>
          <w:bCs/>
        </w:rPr>
        <w:t xml:space="preserve"> = 1,939) from a top U.S. business school (Studies 2A-2B). Contrary to lay beliefs, women report negotiating their salaries more often (not less) than men. We then re-analyze meta-analytic data on self-reported initiation of salary negotiations to reconcile our findings with prior work (Study 2C). While men reported higher negotiation propensity than women prior to the twenty-first century, the gender difference grew neutral and then reversed since then. Negotiation propensity rose across time for both men and women, although to differing degrees. Finally, we explore the consequences of the now-outdated belief that “women don’t ask,” finding that it increases gender stereotyping, even on dimensions unrelated to negotiation, and it is associated with both greater system-justification and weaker support for legislation addressing pay equity (Studies 3 and 4). Our research calls for an updating of beliefs about gender and the propensity to negotiate for pay.</w:t>
      </w:r>
    </w:p>
    <w:p w14:paraId="4DD87181" w14:textId="77777777" w:rsidR="0086522A" w:rsidRDefault="0086522A" w:rsidP="00140558">
      <w:pPr>
        <w:spacing w:line="480" w:lineRule="auto"/>
        <w:rPr>
          <w:bCs/>
          <w:i/>
          <w:iCs/>
        </w:rPr>
      </w:pPr>
    </w:p>
    <w:p w14:paraId="03874DC4" w14:textId="4F5B7CBE" w:rsidR="0086522A" w:rsidRPr="00D9571F" w:rsidRDefault="0086522A" w:rsidP="00140558">
      <w:pPr>
        <w:spacing w:line="480" w:lineRule="auto"/>
        <w:rPr>
          <w:b/>
          <w:bCs/>
        </w:rPr>
      </w:pPr>
      <w:r w:rsidRPr="00D9571F">
        <w:rPr>
          <w:bCs/>
          <w:i/>
          <w:iCs/>
        </w:rPr>
        <w:t xml:space="preserve">Keywords: </w:t>
      </w:r>
      <w:r w:rsidRPr="00D9571F">
        <w:rPr>
          <w:bCs/>
        </w:rPr>
        <w:t>gender pay gap, stereotypes, system justification, negotiation</w:t>
      </w:r>
      <w:r w:rsidR="00DF5936">
        <w:rPr>
          <w:bCs/>
        </w:rPr>
        <w:t xml:space="preserve"> propensity</w:t>
      </w:r>
      <w:r>
        <w:rPr>
          <w:bCs/>
        </w:rPr>
        <w:t>, salary history ban</w:t>
      </w:r>
    </w:p>
    <w:p w14:paraId="78BEFAE4" w14:textId="3BF8E371" w:rsidR="0086522A" w:rsidRDefault="0086522A" w:rsidP="00140558">
      <w:pPr>
        <w:spacing w:line="480" w:lineRule="auto"/>
        <w:jc w:val="center"/>
        <w:rPr>
          <w:b/>
          <w:bCs/>
        </w:rPr>
      </w:pPr>
      <w:r w:rsidRPr="00D9571F">
        <w:rPr>
          <w:b/>
          <w:bCs/>
        </w:rPr>
        <w:br w:type="page"/>
      </w:r>
      <w:r w:rsidR="003E1B52">
        <w:rPr>
          <w:b/>
          <w:bCs/>
        </w:rPr>
        <w:lastRenderedPageBreak/>
        <w:t xml:space="preserve">NOW, </w:t>
      </w:r>
      <w:r w:rsidRPr="000653E3">
        <w:rPr>
          <w:rFonts w:ascii="Times New Roman Bold" w:hAnsi="Times New Roman Bold"/>
          <w:b/>
          <w:bCs/>
          <w:caps/>
        </w:rPr>
        <w:t>Women Do Ask</w:t>
      </w:r>
      <w:r>
        <w:rPr>
          <w:b/>
          <w:bCs/>
        </w:rPr>
        <w:t xml:space="preserve">: </w:t>
      </w:r>
    </w:p>
    <w:p w14:paraId="51AC00DA" w14:textId="4A2D014C" w:rsidR="0086522A" w:rsidRPr="000653E3" w:rsidRDefault="002B6E57" w:rsidP="00140558">
      <w:pPr>
        <w:spacing w:line="480" w:lineRule="auto"/>
        <w:jc w:val="center"/>
        <w:rPr>
          <w:rFonts w:ascii="Times New Roman Bold" w:hAnsi="Times New Roman Bold"/>
          <w:b/>
          <w:bCs/>
          <w:caps/>
        </w:rPr>
      </w:pPr>
      <w:r>
        <w:rPr>
          <w:rFonts w:ascii="Times New Roman Bold" w:hAnsi="Times New Roman Bold"/>
          <w:b/>
          <w:bCs/>
          <w:caps/>
        </w:rPr>
        <w:t>A Call to UPDATE</w:t>
      </w:r>
      <w:r w:rsidR="0086522A">
        <w:rPr>
          <w:rFonts w:ascii="Times New Roman Bold" w:hAnsi="Times New Roman Bold"/>
          <w:b/>
          <w:bCs/>
          <w:caps/>
        </w:rPr>
        <w:t xml:space="preserve"> BELIEFS</w:t>
      </w:r>
      <w:r w:rsidR="0086522A" w:rsidRPr="000653E3">
        <w:rPr>
          <w:rFonts w:ascii="Times New Roman Bold" w:hAnsi="Times New Roman Bold"/>
          <w:b/>
          <w:bCs/>
          <w:caps/>
        </w:rPr>
        <w:t xml:space="preserve"> about the Gender Pay Gap</w:t>
      </w:r>
    </w:p>
    <w:p w14:paraId="4EA98722" w14:textId="77777777" w:rsidR="0086522A" w:rsidRPr="00D9571F" w:rsidRDefault="0086522A" w:rsidP="00140558">
      <w:pPr>
        <w:jc w:val="center"/>
        <w:rPr>
          <w:b/>
          <w:bCs/>
        </w:rPr>
      </w:pPr>
    </w:p>
    <w:p w14:paraId="58B1F852" w14:textId="0D7653C9" w:rsidR="0086522A" w:rsidRDefault="00D33C75" w:rsidP="00140558">
      <w:pPr>
        <w:spacing w:line="480" w:lineRule="auto"/>
        <w:ind w:firstLine="720"/>
      </w:pPr>
      <w:r>
        <w:t>A gender pay gap</w:t>
      </w:r>
      <w:r w:rsidR="0086522A">
        <w:t xml:space="preserve"> continues to </w:t>
      </w:r>
      <w:r>
        <w:t>emerge in many segments of society</w:t>
      </w:r>
      <w:r w:rsidR="0086522A" w:rsidRPr="00D9571F">
        <w:t xml:space="preserve">: </w:t>
      </w:r>
      <w:r>
        <w:t>In</w:t>
      </w:r>
      <w:r w:rsidR="0086522A">
        <w:t xml:space="preserve"> 2019</w:t>
      </w:r>
      <w:r>
        <w:t>,</w:t>
      </w:r>
      <w:r w:rsidR="0086522A">
        <w:t xml:space="preserve"> </w:t>
      </w:r>
      <w:r w:rsidR="0086522A" w:rsidRPr="00D9571F">
        <w:t xml:space="preserve">the median salary for </w:t>
      </w:r>
      <w:r w:rsidR="00117F6C">
        <w:t>women</w:t>
      </w:r>
      <w:r w:rsidR="0086522A" w:rsidRPr="00D9571F">
        <w:t xml:space="preserve"> </w:t>
      </w:r>
      <w:r w:rsidR="0086522A">
        <w:t>wa</w:t>
      </w:r>
      <w:r w:rsidR="0086522A" w:rsidRPr="00D9571F">
        <w:t xml:space="preserve">s roughly </w:t>
      </w:r>
      <w:r w:rsidR="0086522A">
        <w:t>15</w:t>
      </w:r>
      <w:r w:rsidR="0086522A" w:rsidRPr="00D9571F">
        <w:t>% lower than for men</w:t>
      </w:r>
      <w:r w:rsidR="0086522A">
        <w:t>.</w:t>
      </w:r>
      <w:r w:rsidR="0086522A" w:rsidRPr="00D9571F">
        <w:t xml:space="preserve"> </w:t>
      </w:r>
      <w:r w:rsidR="0086522A">
        <w:t>Women earned less than men at every wage level, and the gap widened as the income level increased, with women earning roughly 30% less than men at the 95</w:t>
      </w:r>
      <w:r w:rsidR="0086522A" w:rsidRPr="0089182E">
        <w:rPr>
          <w:vertAlign w:val="superscript"/>
        </w:rPr>
        <w:t>th</w:t>
      </w:r>
      <w:r w:rsidR="0086522A">
        <w:t xml:space="preserve"> percentile of the wage distribution </w:t>
      </w:r>
      <w:r w:rsidR="0086522A">
        <w:rPr>
          <w:noProof/>
        </w:rPr>
        <w:t>(Gould, 2020)</w:t>
      </w:r>
      <w:r w:rsidR="0086522A" w:rsidRPr="00D9571F">
        <w:t xml:space="preserve">. </w:t>
      </w:r>
      <w:r w:rsidR="0086522A">
        <w:t>While these statistics describe the general population, the trends are no better in elite populations</w:t>
      </w:r>
      <w:r w:rsidR="0086522A" w:rsidRPr="007E3442">
        <w:t xml:space="preserve">. Studies of people with </w:t>
      </w:r>
      <w:proofErr w:type="gramStart"/>
      <w:r w:rsidR="0086522A" w:rsidRPr="007E3442">
        <w:t>M</w:t>
      </w:r>
      <w:r w:rsidR="0086522A">
        <w:t>aster’s in Business Administration</w:t>
      </w:r>
      <w:proofErr w:type="gramEnd"/>
      <w:r w:rsidR="0086522A">
        <w:t xml:space="preserve"> degrees (M</w:t>
      </w:r>
      <w:r w:rsidR="0086522A" w:rsidRPr="007E3442">
        <w:t>BAs</w:t>
      </w:r>
      <w:r w:rsidR="0086522A">
        <w:t>)</w:t>
      </w:r>
      <w:r w:rsidR="0086522A" w:rsidRPr="007E3442">
        <w:t xml:space="preserve"> have shown</w:t>
      </w:r>
      <w:r w:rsidR="0086522A">
        <w:t xml:space="preserve"> that women earn </w:t>
      </w:r>
      <w:r w:rsidR="009A1BF9">
        <w:t xml:space="preserve">88% of what men earn following degree completion, but </w:t>
      </w:r>
      <w:r w:rsidR="0086522A">
        <w:t xml:space="preserve">only 63% of what men earn </w:t>
      </w:r>
      <w:r w:rsidR="009A1BF9">
        <w:t>ten years later</w:t>
      </w:r>
      <w:r w:rsidR="0086522A">
        <w:t xml:space="preserve"> (</w:t>
      </w:r>
      <w:r w:rsidR="00F63D2D">
        <w:t xml:space="preserve">Bertrand, Goldin, &amp; Katz, 2010; </w:t>
      </w:r>
      <w:r w:rsidR="0086522A">
        <w:t>Lee &amp; Kray, 2021)</w:t>
      </w:r>
      <w:r w:rsidR="00215294">
        <w:t>. In dollar terms</w:t>
      </w:r>
      <w:r w:rsidR="0086522A">
        <w:t xml:space="preserve">, </w:t>
      </w:r>
      <w:r w:rsidR="00215294">
        <w:t>this means that</w:t>
      </w:r>
      <w:r w:rsidR="0086522A">
        <w:t xml:space="preserve"> the average man earns $400,000 compared to $250,000 for the average woman</w:t>
      </w:r>
      <w:r w:rsidR="00215294">
        <w:t xml:space="preserve"> nine years after completing the degree</w:t>
      </w:r>
      <w:r w:rsidR="0086522A">
        <w:t xml:space="preserve"> (Bertrand</w:t>
      </w:r>
      <w:r w:rsidR="00F63D2D">
        <w:t xml:space="preserve"> et al.</w:t>
      </w:r>
      <w:r w:rsidR="0086522A">
        <w:t>, 2010).</w:t>
      </w:r>
      <w:r w:rsidR="0086522A" w:rsidRPr="007E3442">
        <w:t xml:space="preserve"> </w:t>
      </w:r>
      <w:r w:rsidR="0086522A">
        <w:t>Bertrand et al. (2010, p. 236) note, “</w:t>
      </w:r>
      <w:r w:rsidR="0086522A" w:rsidRPr="002E75E4">
        <w:t>The median female MBA starts her career at the</w:t>
      </w:r>
      <w:r w:rsidR="0086522A">
        <w:t xml:space="preserve"> </w:t>
      </w:r>
      <w:r w:rsidR="0086522A" w:rsidRPr="002E75E4">
        <w:t>thirty-fourth percentile of the male distribution, but after 15 years has fallen to the</w:t>
      </w:r>
      <w:r w:rsidR="0086522A">
        <w:t xml:space="preserve"> </w:t>
      </w:r>
      <w:r w:rsidR="0086522A" w:rsidRPr="002E75E4">
        <w:t>nineteenth percentile. The woman at the seventy-fifth percentile of the female earnings distribution begins at the 66th percentile of the male distribution but winds up at the thirty</w:t>
      </w:r>
      <w:r w:rsidR="0086522A">
        <w:t>-</w:t>
      </w:r>
      <w:r w:rsidR="0086522A" w:rsidRPr="002E75E4">
        <w:t>seventh percentile by year 15</w:t>
      </w:r>
      <w:r w:rsidR="0086522A">
        <w:t>.” The pay gap among MBA students is especially notable considering the nearly identical skills and qualifications held by men and women at the time the degree is conferred.</w:t>
      </w:r>
    </w:p>
    <w:p w14:paraId="3E903AE1" w14:textId="47A81573" w:rsidR="0086522A" w:rsidRPr="00D9571F" w:rsidRDefault="0086522A" w:rsidP="00140558">
      <w:pPr>
        <w:spacing w:line="480" w:lineRule="auto"/>
        <w:ind w:firstLine="720"/>
      </w:pPr>
      <w:r w:rsidRPr="007E3442">
        <w:t xml:space="preserve">Multiple factors </w:t>
      </w:r>
      <w:r w:rsidR="0053060A">
        <w:t>contribute</w:t>
      </w:r>
      <w:r w:rsidRPr="00D9571F">
        <w:t>, from differences in training,</w:t>
      </w:r>
      <w:r w:rsidR="0063610E">
        <w:t xml:space="preserve"> </w:t>
      </w:r>
      <w:r w:rsidRPr="00D9571F">
        <w:t>number of hours worked</w:t>
      </w:r>
      <w:r w:rsidR="0063610E">
        <w:t>,</w:t>
      </w:r>
      <w:r w:rsidRPr="00D9571F">
        <w:t xml:space="preserve"> time taken off from work </w:t>
      </w:r>
      <w:r>
        <w:rPr>
          <w:noProof/>
        </w:rPr>
        <w:t>(Bertrand et al., 2010)</w:t>
      </w:r>
      <w:r>
        <w:t xml:space="preserve"> and </w:t>
      </w:r>
      <w:r w:rsidRPr="00D9571F">
        <w:t xml:space="preserve">industry </w:t>
      </w:r>
      <w:r w:rsidR="0063610E">
        <w:t>and</w:t>
      </w:r>
      <w:r w:rsidR="0063610E" w:rsidRPr="00D9571F">
        <w:t xml:space="preserve"> </w:t>
      </w:r>
      <w:r w:rsidRPr="00D9571F">
        <w:t xml:space="preserve">job functions </w:t>
      </w:r>
      <w:r>
        <w:rPr>
          <w:noProof/>
        </w:rPr>
        <w:t>(Blau &amp; Kahn, 2007)</w:t>
      </w:r>
      <w:r>
        <w:t>,</w:t>
      </w:r>
      <w:r w:rsidRPr="00D9571F">
        <w:t xml:space="preserve"> </w:t>
      </w:r>
      <w:r>
        <w:t>to</w:t>
      </w:r>
      <w:r w:rsidRPr="00D9571F">
        <w:t xml:space="preserve"> discrimination against women </w:t>
      </w:r>
      <w:r>
        <w:rPr>
          <w:noProof/>
        </w:rPr>
        <w:t>(Joshi, Son, &amp; Roh, 2015; Judge &amp; Livingston, 2008; Lips, 2003, 2013; Lyness &amp; Heilman, 2006)</w:t>
      </w:r>
      <w:r w:rsidRPr="00D9571F">
        <w:t xml:space="preserve">. </w:t>
      </w:r>
    </w:p>
    <w:p w14:paraId="3E2FA274" w14:textId="2C9FE695" w:rsidR="0086522A" w:rsidRDefault="00653940" w:rsidP="00140558">
      <w:pPr>
        <w:spacing w:line="480" w:lineRule="auto"/>
        <w:ind w:firstLine="720"/>
      </w:pPr>
      <w:r>
        <w:lastRenderedPageBreak/>
        <w:t>One factor</w:t>
      </w:r>
      <w:r w:rsidR="0086522A" w:rsidRPr="00D9571F">
        <w:t xml:space="preserve"> that has received significant attention </w:t>
      </w:r>
      <w:r w:rsidR="0086522A">
        <w:t xml:space="preserve">and endorsement </w:t>
      </w:r>
      <w:r w:rsidR="0086522A" w:rsidRPr="00D9571F">
        <w:t xml:space="preserve">is women’s </w:t>
      </w:r>
      <w:r w:rsidR="0086522A">
        <w:t xml:space="preserve">approach to </w:t>
      </w:r>
      <w:r w:rsidR="0086522A" w:rsidRPr="00D9571F">
        <w:t>n</w:t>
      </w:r>
      <w:r w:rsidR="0086522A">
        <w:t>egotiating (Bowles, Thomason, &amp; Macias-Alonso, 2022)</w:t>
      </w:r>
      <w:r w:rsidR="0086522A" w:rsidRPr="00D9571F">
        <w:t xml:space="preserve">. </w:t>
      </w:r>
      <w:r w:rsidR="0086522A">
        <w:t xml:space="preserve">If wages reflect how well workers negotiate, as assumed, then women’s lower wages relative to </w:t>
      </w:r>
      <w:proofErr w:type="gramStart"/>
      <w:r w:rsidR="0086522A">
        <w:t>men’s</w:t>
      </w:r>
      <w:proofErr w:type="gramEnd"/>
      <w:r w:rsidR="0086522A">
        <w:t xml:space="preserve"> might reflect </w:t>
      </w:r>
      <w:r w:rsidR="00523A79">
        <w:t xml:space="preserve">a </w:t>
      </w:r>
      <w:r w:rsidR="0086522A">
        <w:t>lower negotiati</w:t>
      </w:r>
      <w:r w:rsidR="00CD2681">
        <w:t>on</w:t>
      </w:r>
      <w:r w:rsidR="0086522A">
        <w:t xml:space="preserve"> propensity</w:t>
      </w:r>
      <w:r w:rsidR="00523A79">
        <w:t xml:space="preserve"> among women</w:t>
      </w:r>
      <w:r w:rsidR="0086522A">
        <w:t xml:space="preserve">. For example, </w:t>
      </w:r>
      <w:r w:rsidR="0086522A" w:rsidRPr="00C8421E">
        <w:t>Mazei et al. (2015) state (p. 85), “Tangible negotiation outcomes indicate that women may be placed at a systematic disadvantage vis-á-vis men in negotiation, which may contribute to persistent outcome differences such as the gender pay gap where men</w:t>
      </w:r>
      <w:r w:rsidR="0086522A">
        <w:t>’</w:t>
      </w:r>
      <w:r w:rsidR="0086522A" w:rsidRPr="00C8421E">
        <w:t>s salaries typically surpass those received by women</w:t>
      </w:r>
      <w:r w:rsidR="0086522A">
        <w:t>.</w:t>
      </w:r>
      <w:r w:rsidR="0086522A" w:rsidRPr="00C8421E">
        <w:t xml:space="preserve">” </w:t>
      </w:r>
      <w:r w:rsidR="0086522A">
        <w:t>In the same vein,</w:t>
      </w:r>
      <w:r w:rsidR="0086522A" w:rsidRPr="00C8421E">
        <w:t xml:space="preserve"> </w:t>
      </w:r>
      <w:r w:rsidR="0086522A">
        <w:rPr>
          <w:noProof/>
        </w:rPr>
        <w:t>Kugler, Reif, Kaschner, and Brodbeck (2018)</w:t>
      </w:r>
      <w:r w:rsidR="0086522A">
        <w:t xml:space="preserve"> </w:t>
      </w:r>
      <w:r w:rsidR="0086522A" w:rsidRPr="00C8421E">
        <w:t xml:space="preserve">state (p. 198), “Addressing gender differences in the initiation of negotiation might ultimately help to minimize unequal distributions of resources between men and women (e.g., gender wage gap).” </w:t>
      </w:r>
      <w:r w:rsidR="0086522A">
        <w:t xml:space="preserve">A search </w:t>
      </w:r>
      <w:r w:rsidR="000206B4">
        <w:t xml:space="preserve">for </w:t>
      </w:r>
      <w:r w:rsidR="0086522A">
        <w:t xml:space="preserve">keywords “gender” and “negotiation” on Google Scholar produces </w:t>
      </w:r>
      <w:r w:rsidR="0086522A">
        <w:rPr>
          <w:noProof/>
        </w:rPr>
        <w:t>Babcock and Laschever (2003)</w:t>
      </w:r>
      <w:r w:rsidR="0086522A">
        <w:t xml:space="preserve">’s </w:t>
      </w:r>
      <w:r w:rsidR="005D2836">
        <w:t xml:space="preserve">popular </w:t>
      </w:r>
      <w:r w:rsidR="0086522A">
        <w:t xml:space="preserve">book titled, </w:t>
      </w:r>
      <w:r w:rsidR="0086522A" w:rsidRPr="002D1032">
        <w:rPr>
          <w:i/>
          <w:iCs/>
        </w:rPr>
        <w:t>Women don’t ask: Negotiation and the gender divide</w:t>
      </w:r>
      <w:r w:rsidR="0086522A">
        <w:t xml:space="preserve">, as the most </w:t>
      </w:r>
      <w:r w:rsidR="0086522A" w:rsidRPr="00DD0A2A">
        <w:t xml:space="preserve">highly cited </w:t>
      </w:r>
      <w:r w:rsidR="0086522A">
        <w:t>entry</w:t>
      </w:r>
      <w:r w:rsidR="0086522A">
        <w:rPr>
          <w:rStyle w:val="FootnoteReference"/>
        </w:rPr>
        <w:footnoteReference w:id="1"/>
      </w:r>
      <w:r w:rsidR="0086522A">
        <w:t xml:space="preserve">, </w:t>
      </w:r>
      <w:r w:rsidR="0086522A" w:rsidRPr="00DD0A2A">
        <w:t xml:space="preserve">suggesting </w:t>
      </w:r>
      <w:r w:rsidR="0086522A">
        <w:t xml:space="preserve">that </w:t>
      </w:r>
      <w:r w:rsidR="008D3286">
        <w:t>a book</w:t>
      </w:r>
      <w:r w:rsidR="005D2836">
        <w:t xml:space="preserve"> written for a popular audience has also heavily influenced the </w:t>
      </w:r>
      <w:r w:rsidR="0086522A" w:rsidRPr="00DD0A2A">
        <w:t>scientific literature.</w:t>
      </w:r>
      <w:r w:rsidR="0086522A">
        <w:t xml:space="preserve"> </w:t>
      </w:r>
    </w:p>
    <w:p w14:paraId="44781861" w14:textId="755F68FF" w:rsidR="0086522A" w:rsidRDefault="0086522A" w:rsidP="00140558">
      <w:pPr>
        <w:spacing w:line="480" w:lineRule="auto"/>
        <w:ind w:firstLine="720"/>
      </w:pPr>
      <w:r>
        <w:t>The empirical evidence of a gender difference in negotiati</w:t>
      </w:r>
      <w:r w:rsidR="00CD2681">
        <w:t>on</w:t>
      </w:r>
      <w:r>
        <w:t xml:space="preserve"> propensity is nuanced. Typically, gender differences favor the propensity and outcomes of men (Mazei et al., 2015; </w:t>
      </w:r>
      <w:r w:rsidRPr="008D1D70">
        <w:t xml:space="preserve">Small, Gelfand, Babcock, </w:t>
      </w:r>
      <w:r>
        <w:t>&amp;</w:t>
      </w:r>
      <w:r w:rsidRPr="008D1D70">
        <w:t xml:space="preserve"> Gettman</w:t>
      </w:r>
      <w:r>
        <w:t xml:space="preserve">, </w:t>
      </w:r>
      <w:r w:rsidRPr="008D1D70">
        <w:t>2007</w:t>
      </w:r>
      <w:r>
        <w:t xml:space="preserve">), with important details that qualify the findings. </w:t>
      </w:r>
      <w:r w:rsidR="001E1420">
        <w:t>The two</w:t>
      </w:r>
      <w:r>
        <w:t xml:space="preserve"> meta-analys</w:t>
      </w:r>
      <w:r w:rsidR="001E1420">
        <w:t>e</w:t>
      </w:r>
      <w:r>
        <w:t>s</w:t>
      </w:r>
      <w:r w:rsidR="001E1420">
        <w:t xml:space="preserve"> mentioned above</w:t>
      </w:r>
      <w:r>
        <w:t xml:space="preserve"> </w:t>
      </w:r>
      <w:r w:rsidR="001E1420">
        <w:t xml:space="preserve">(Kugler et al., 2018; </w:t>
      </w:r>
      <w:r>
        <w:rPr>
          <w:noProof/>
        </w:rPr>
        <w:t>Mazei et al.</w:t>
      </w:r>
      <w:r w:rsidR="001E1420">
        <w:rPr>
          <w:noProof/>
        </w:rPr>
        <w:t xml:space="preserve">, </w:t>
      </w:r>
      <w:r>
        <w:rPr>
          <w:noProof/>
        </w:rPr>
        <w:t>2015)</w:t>
      </w:r>
      <w:r>
        <w:t xml:space="preserve"> </w:t>
      </w:r>
      <w:r w:rsidR="001E1420">
        <w:t xml:space="preserve">both </w:t>
      </w:r>
      <w:r>
        <w:t xml:space="preserve">conclude that </w:t>
      </w:r>
      <w:r w:rsidR="00AC78B0">
        <w:t>a single,</w:t>
      </w:r>
      <w:r>
        <w:t xml:space="preserve"> overall</w:t>
      </w:r>
      <w:r w:rsidR="00CD2681">
        <w:t xml:space="preserve"> </w:t>
      </w:r>
      <w:r>
        <w:t>gender difference does not exist</w:t>
      </w:r>
      <w:r w:rsidR="001E1420">
        <w:t xml:space="preserve"> on either measure</w:t>
      </w:r>
      <w:r w:rsidR="00A8710E">
        <w:t xml:space="preserve"> because </w:t>
      </w:r>
      <w:r w:rsidR="006703FD">
        <w:t xml:space="preserve">of </w:t>
      </w:r>
      <w:r>
        <w:t xml:space="preserve">the </w:t>
      </w:r>
      <w:r w:rsidRPr="00D9571F">
        <w:t>context-dependen</w:t>
      </w:r>
      <w:r>
        <w:t xml:space="preserve">cy of gender differences. One </w:t>
      </w:r>
      <w:r w:rsidR="006F0BAA">
        <w:t xml:space="preserve">key </w:t>
      </w:r>
      <w:r w:rsidRPr="00D9571F">
        <w:t>moderator</w:t>
      </w:r>
      <w:r w:rsidR="006F0BAA">
        <w:t xml:space="preserve"> is</w:t>
      </w:r>
      <w:r w:rsidRPr="00D9571F">
        <w:t xml:space="preserve"> negotiating experience</w:t>
      </w:r>
      <w:r w:rsidR="006F0BAA">
        <w:t>;</w:t>
      </w:r>
      <w:r>
        <w:t xml:space="preserve"> </w:t>
      </w:r>
      <w:r w:rsidR="001E1420">
        <w:t>a</w:t>
      </w:r>
      <w:r w:rsidR="001E1420" w:rsidRPr="00D9571F">
        <w:t xml:space="preserve"> </w:t>
      </w:r>
      <w:r w:rsidRPr="00D9571F">
        <w:t>gender difference</w:t>
      </w:r>
      <w:r w:rsidR="001E1420">
        <w:t xml:space="preserve"> in negotiation outcomes</w:t>
      </w:r>
      <w:r w:rsidRPr="00D9571F">
        <w:t xml:space="preserve"> only emerged for undergraduate research participants who </w:t>
      </w:r>
      <w:r w:rsidR="006F0BAA">
        <w:t>lacked</w:t>
      </w:r>
      <w:r w:rsidRPr="00D9571F">
        <w:t xml:space="preserve"> experience. </w:t>
      </w:r>
      <w:r w:rsidR="00AF579C">
        <w:t>E</w:t>
      </w:r>
      <w:r w:rsidRPr="00D9571F">
        <w:t xml:space="preserve">ven </w:t>
      </w:r>
      <w:r w:rsidR="00566247">
        <w:t>one</w:t>
      </w:r>
      <w:r w:rsidRPr="00D9571F">
        <w:t xml:space="preserve"> prior negotiation in the lab</w:t>
      </w:r>
      <w:r>
        <w:t>oratory</w:t>
      </w:r>
      <w:r w:rsidRPr="00D9571F">
        <w:t xml:space="preserve"> or the real world</w:t>
      </w:r>
      <w:r w:rsidR="00AF579C">
        <w:t xml:space="preserve"> allowed</w:t>
      </w:r>
      <w:r>
        <w:t xml:space="preserve"> men and women </w:t>
      </w:r>
      <w:r w:rsidR="00566247">
        <w:t xml:space="preserve">to </w:t>
      </w:r>
      <w:r>
        <w:t xml:space="preserve">achieve similar </w:t>
      </w:r>
      <w:r w:rsidRPr="00D9571F">
        <w:t>negotiati</w:t>
      </w:r>
      <w:r w:rsidR="00CD2681">
        <w:t>on</w:t>
      </w:r>
      <w:r w:rsidRPr="00D9571F">
        <w:t xml:space="preserve"> </w:t>
      </w:r>
      <w:r w:rsidR="00CD2681">
        <w:t>outcomes</w:t>
      </w:r>
      <w:r w:rsidRPr="00D9571F">
        <w:t xml:space="preserve">. </w:t>
      </w:r>
      <w:r w:rsidR="005C02F7">
        <w:t xml:space="preserve">Numerous studies highlight the situational </w:t>
      </w:r>
      <w:r w:rsidR="005C02F7">
        <w:lastRenderedPageBreak/>
        <w:t>impact of gender triggers on negotiati</w:t>
      </w:r>
      <w:r w:rsidR="00CD2681">
        <w:t>on</w:t>
      </w:r>
      <w:r w:rsidR="005C02F7">
        <w:t xml:space="preserve"> outcomes. For instance, </w:t>
      </w:r>
      <w:r w:rsidR="00A52D76">
        <w:t xml:space="preserve">Kray, Thompson, and Galinsky (2001) highlight </w:t>
      </w:r>
      <w:r w:rsidR="005C02F7">
        <w:t xml:space="preserve">the negative impact of implicitly- but not </w:t>
      </w:r>
      <w:proofErr w:type="gramStart"/>
      <w:r w:rsidR="005C02F7">
        <w:t>explicitly-activated</w:t>
      </w:r>
      <w:proofErr w:type="gramEnd"/>
      <w:r w:rsidR="005C02F7">
        <w:t xml:space="preserve"> gender stereotypes</w:t>
      </w:r>
      <w:r w:rsidR="00B028E3">
        <w:t>. When</w:t>
      </w:r>
      <w:r w:rsidR="001E1420">
        <w:t xml:space="preserve"> negative stereotypes are </w:t>
      </w:r>
      <w:r w:rsidR="00EE6281">
        <w:t>explicit</w:t>
      </w:r>
      <w:r w:rsidR="00B028E3">
        <w:t>,</w:t>
      </w:r>
      <w:r w:rsidR="001E1420">
        <w:t xml:space="preserve"> women self-negate them</w:t>
      </w:r>
      <w:r w:rsidR="005C02F7">
        <w:t xml:space="preserve">. </w:t>
      </w:r>
      <w:r>
        <w:rPr>
          <w:noProof/>
        </w:rPr>
        <w:t>Bowles, Babcock, and McGinn (2005)</w:t>
      </w:r>
      <w:r>
        <w:t xml:space="preserve"> highlight situational ambiguity as</w:t>
      </w:r>
      <w:r w:rsidR="00D25643">
        <w:t xml:space="preserve"> a</w:t>
      </w:r>
      <w:r>
        <w:t xml:space="preserve"> moderator. </w:t>
      </w:r>
      <w:r w:rsidR="00EE6281">
        <w:t>When the negotiation situation is l</w:t>
      </w:r>
      <w:r>
        <w:t>ess ambigu</w:t>
      </w:r>
      <w:r w:rsidR="00EE6281">
        <w:t>ous</w:t>
      </w:r>
      <w:r>
        <w:t xml:space="preserve">, such as when the upper and lower limits of the bargaining range are known </w:t>
      </w:r>
      <w:r>
        <w:rPr>
          <w:noProof/>
        </w:rPr>
        <w:t>(Bowles et al., 2005)</w:t>
      </w:r>
      <w:r>
        <w:t xml:space="preserve"> and when the appropriateness of negotiating is clear </w:t>
      </w:r>
      <w:r>
        <w:rPr>
          <w:noProof/>
        </w:rPr>
        <w:t>(Kray &amp; Gelfand, 2009)</w:t>
      </w:r>
      <w:r>
        <w:t>, women and men</w:t>
      </w:r>
      <w:r w:rsidR="000A1627">
        <w:t xml:space="preserve"> attain similar outcomes</w:t>
      </w:r>
      <w:r>
        <w:t xml:space="preserve">. Additionally, gender-triggering aspects of the negotiation such as representation role (negotiating for self vs. on behalf of another) impacted women’s outcomes more than men’s outcomes. </w:t>
      </w:r>
    </w:p>
    <w:p w14:paraId="4E4C0BB7" w14:textId="0C290C1F" w:rsidR="0086522A" w:rsidRDefault="0086522A" w:rsidP="00140558">
      <w:pPr>
        <w:spacing w:line="480" w:lineRule="auto"/>
        <w:ind w:firstLine="720"/>
      </w:pPr>
      <w:r>
        <w:t>Other work suggests that a gender difference in negotiati</w:t>
      </w:r>
      <w:r w:rsidR="00CD2681">
        <w:t>on</w:t>
      </w:r>
      <w:r>
        <w:t xml:space="preserve"> propensity does not exist in </w:t>
      </w:r>
      <w:r w:rsidR="00117F6C">
        <w:t>real-</w:t>
      </w:r>
      <w:r>
        <w:t xml:space="preserve">world data and therefore cannot account for the gender pay gap </w:t>
      </w:r>
      <w:r>
        <w:rPr>
          <w:noProof/>
        </w:rPr>
        <w:t>(Schneider, 2017)</w:t>
      </w:r>
      <w:r>
        <w:t xml:space="preserve">. </w:t>
      </w:r>
      <w:r w:rsidR="005B5F0F">
        <w:t>While</w:t>
      </w:r>
      <w:r w:rsidRPr="00D9571F">
        <w:t xml:space="preserve"> women are asking as much as men, they are not getting as much as men. </w:t>
      </w:r>
      <w:r>
        <w:t xml:space="preserve">In perhaps the earliest empirical investigation into gender differences in employment contract negotiations, </w:t>
      </w:r>
      <w:r>
        <w:rPr>
          <w:noProof/>
        </w:rPr>
        <w:t>Gerhart and Rynes (1991)</w:t>
      </w:r>
      <w:r w:rsidRPr="00D9571F">
        <w:t xml:space="preserve"> </w:t>
      </w:r>
      <w:r w:rsidR="005B5F0F">
        <w:t>found no</w:t>
      </w:r>
      <w:r w:rsidRPr="00D9571F">
        <w:t xml:space="preserve"> evidence </w:t>
      </w:r>
      <w:r w:rsidR="00CD2681">
        <w:t xml:space="preserve">of </w:t>
      </w:r>
      <w:r w:rsidR="005B5F0F">
        <w:t>gender differences in negotiation propensity among MBA graduates</w:t>
      </w:r>
      <w:r>
        <w:t>. Instead, they traced bargaining outcomes to structural factors, including the presence of alternative offers and the attractiveness of the employer’s first offer</w:t>
      </w:r>
      <w:r w:rsidRPr="00D9571F">
        <w:t xml:space="preserve">. </w:t>
      </w:r>
      <w:r>
        <w:rPr>
          <w:noProof/>
        </w:rPr>
        <w:t>O'Shea and Bush</w:t>
      </w:r>
      <w:r w:rsidR="006346D8">
        <w:rPr>
          <w:noProof/>
        </w:rPr>
        <w:t>’s</w:t>
      </w:r>
      <w:r>
        <w:rPr>
          <w:noProof/>
        </w:rPr>
        <w:t xml:space="preserve"> (2002)</w:t>
      </w:r>
      <w:r>
        <w:t xml:space="preserve"> </w:t>
      </w:r>
      <w:r w:rsidR="006346D8">
        <w:t xml:space="preserve">investigation of salary outcomes among </w:t>
      </w:r>
      <w:r>
        <w:t xml:space="preserve">college graduates also </w:t>
      </w:r>
      <w:r w:rsidR="006346D8">
        <w:t>found no</w:t>
      </w:r>
      <w:r>
        <w:t xml:space="preserve"> gender difference in </w:t>
      </w:r>
      <w:r w:rsidR="00117F6C">
        <w:t xml:space="preserve">the </w:t>
      </w:r>
      <w:r w:rsidR="00AC78B0">
        <w:t>propensity to negotiate</w:t>
      </w:r>
      <w:r>
        <w:t xml:space="preserve">. </w:t>
      </w:r>
      <w:r w:rsidRPr="00D9571F">
        <w:t xml:space="preserve">Similarly, </w:t>
      </w:r>
      <w:r>
        <w:rPr>
          <w:noProof/>
        </w:rPr>
        <w:t>Artz, Goodall, and Oswald (2018)</w:t>
      </w:r>
      <w:r w:rsidRPr="00D9571F">
        <w:t>, surveyed a representative sample of all Australian employees and workplaces</w:t>
      </w:r>
      <w:r w:rsidR="00F80661">
        <w:t xml:space="preserve"> from 2013-2014</w:t>
      </w:r>
      <w:r w:rsidRPr="00D9571F">
        <w:t xml:space="preserve"> </w:t>
      </w:r>
      <w:r w:rsidR="00F80661">
        <w:t xml:space="preserve">and </w:t>
      </w:r>
      <w:r w:rsidRPr="00D9571F">
        <w:t xml:space="preserve">did not find </w:t>
      </w:r>
      <w:r>
        <w:t>a gender difference in negotiati</w:t>
      </w:r>
      <w:r w:rsidR="00CD2681">
        <w:t>on</w:t>
      </w:r>
      <w:r>
        <w:t xml:space="preserve"> </w:t>
      </w:r>
      <w:r w:rsidR="00F80661">
        <w:t>propensity</w:t>
      </w:r>
      <w:r w:rsidRPr="00D9571F">
        <w:t xml:space="preserve">; instead, they found </w:t>
      </w:r>
      <w:r w:rsidR="00F80661">
        <w:t xml:space="preserve">that </w:t>
      </w:r>
      <w:r w:rsidRPr="00D9571F">
        <w:t>women’s negotiating attempts were especially likely to be rejected by their employers. Additionally, a recent survey conducted by LeanIn.org and McKinsey</w:t>
      </w:r>
      <w:r w:rsidR="00500B33">
        <w:t xml:space="preserve"> (2018)</w:t>
      </w:r>
      <w:r w:rsidRPr="00D9571F">
        <w:t xml:space="preserve"> reports that women are asking for promotions and raises at the same rate as men.</w:t>
      </w:r>
      <w:r>
        <w:t xml:space="preserve"> </w:t>
      </w:r>
      <w:r w:rsidRPr="007D2087">
        <w:t xml:space="preserve">Most recently, </w:t>
      </w:r>
      <w:r w:rsidRPr="007D2087">
        <w:rPr>
          <w:noProof/>
        </w:rPr>
        <w:t>Exley, Niederle, and Vesterlund (2020)</w:t>
      </w:r>
      <w:r w:rsidRPr="007D2087">
        <w:t xml:space="preserve"> </w:t>
      </w:r>
      <w:r w:rsidRPr="007D2087">
        <w:lastRenderedPageBreak/>
        <w:t xml:space="preserve">conducted laboratory experiments to examine </w:t>
      </w:r>
      <w:r w:rsidR="004A791B">
        <w:t>negotiation propensity</w:t>
      </w:r>
      <w:r w:rsidRPr="007D2087">
        <w:t xml:space="preserve"> and whether individuals, especially women, would benefit from negotiating more. Their findings do not show significant gender differences in </w:t>
      </w:r>
      <w:r w:rsidR="004A791B">
        <w:t>negotiation propensity</w:t>
      </w:r>
      <w:r w:rsidRPr="007D2087">
        <w:t xml:space="preserve"> and suggest that women are </w:t>
      </w:r>
      <w:r>
        <w:t>instead well-calibrated</w:t>
      </w:r>
      <w:r w:rsidRPr="007D2087">
        <w:t xml:space="preserve"> in diagnosing whether to enter or avoid negotiations given </w:t>
      </w:r>
      <w:r w:rsidR="008F1001">
        <w:t>the</w:t>
      </w:r>
      <w:r w:rsidRPr="007D2087">
        <w:t xml:space="preserve"> circumstances, appropriately approaching situations that are likely to yield positive outcomes and avoiding those that are likely to yield negative returns.</w:t>
      </w:r>
      <w:r>
        <w:t xml:space="preserve"> Taken together, a reasonable conclusion </w:t>
      </w:r>
      <w:r w:rsidR="004569B9">
        <w:t>from</w:t>
      </w:r>
      <w:r>
        <w:t xml:space="preserve"> th</w:t>
      </w:r>
      <w:r w:rsidR="008F1001">
        <w:t>is</w:t>
      </w:r>
      <w:r>
        <w:t xml:space="preserve"> body of research is that small, </w:t>
      </w:r>
      <w:r w:rsidR="004569B9">
        <w:t>variable</w:t>
      </w:r>
      <w:r>
        <w:t xml:space="preserve"> gender differences in laboratory simulations are unlikely to explain large, robust gender differences in economic outcomes in society.</w:t>
      </w:r>
    </w:p>
    <w:p w14:paraId="566A5A73" w14:textId="58230ED9" w:rsidR="0086522A" w:rsidRDefault="0086522A" w:rsidP="00140558">
      <w:pPr>
        <w:spacing w:line="480" w:lineRule="auto"/>
        <w:ind w:firstLine="720"/>
      </w:pPr>
      <w:r>
        <w:t>Despite</w:t>
      </w:r>
      <w:r w:rsidRPr="008D7CAC">
        <w:t xml:space="preserve"> </w:t>
      </w:r>
      <w:r>
        <w:t xml:space="preserve">growing evidence that a gender difference in </w:t>
      </w:r>
      <w:r w:rsidR="004A791B">
        <w:t>negotiation propensity</w:t>
      </w:r>
      <w:r>
        <w:t xml:space="preserve"> may </w:t>
      </w:r>
      <w:r w:rsidR="00DA5065">
        <w:t>not help to explain</w:t>
      </w:r>
      <w:r>
        <w:t xml:space="preserve"> the gender pay gap, </w:t>
      </w:r>
      <w:r w:rsidR="00AE7D88">
        <w:t>a</w:t>
      </w:r>
      <w:r>
        <w:t xml:space="preserve"> simplified message continues to resonate</w:t>
      </w:r>
      <w:r w:rsidR="00DA5065">
        <w:t xml:space="preserve"> with researchers and the public</w:t>
      </w:r>
      <w:r>
        <w:t>: Women don’t ask and therefore do not get as much as men. As one popular press article states, “It’s commonly assumed—and accepted as fact—that women don’t ask for raises as often as men do and so they don’t get them” (Wasserman, 2019)</w:t>
      </w:r>
      <w:r>
        <w:rPr>
          <w:lang w:val="en-GB"/>
        </w:rPr>
        <w:t xml:space="preserve">. </w:t>
      </w:r>
      <w:r>
        <w:t xml:space="preserve">This notion is sticky, </w:t>
      </w:r>
      <w:r w:rsidR="00AE7D88">
        <w:t>emerging</w:t>
      </w:r>
      <w:r>
        <w:t xml:space="preserve"> in both scholarly and popular literature. In </w:t>
      </w:r>
      <w:r w:rsidR="00AE7D88">
        <w:t>this</w:t>
      </w:r>
      <w:r>
        <w:t xml:space="preserve"> work, we </w:t>
      </w:r>
      <w:r w:rsidR="00AE7D88">
        <w:t xml:space="preserve">ask whether </w:t>
      </w:r>
      <w:r>
        <w:t xml:space="preserve">beliefs </w:t>
      </w:r>
      <w:r w:rsidR="00AE7D88">
        <w:t>are dissonant with current</w:t>
      </w:r>
      <w:r>
        <w:t xml:space="preserve"> reality</w:t>
      </w:r>
      <w:r w:rsidR="00AE7D88">
        <w:t xml:space="preserve"> and aim</w:t>
      </w:r>
      <w:r w:rsidR="00DE33A1">
        <w:t xml:space="preserve"> to </w:t>
      </w:r>
      <w:r>
        <w:t xml:space="preserve">understand </w:t>
      </w:r>
      <w:r w:rsidR="00DA5065">
        <w:rPr>
          <w:iCs/>
        </w:rPr>
        <w:t xml:space="preserve">the impact of </w:t>
      </w:r>
      <w:r w:rsidR="00AE7D88">
        <w:rPr>
          <w:iCs/>
        </w:rPr>
        <w:t xml:space="preserve">potentially </w:t>
      </w:r>
      <w:r w:rsidR="00506550">
        <w:rPr>
          <w:iCs/>
        </w:rPr>
        <w:t>outdated belief</w:t>
      </w:r>
      <w:r w:rsidR="00DE33A1">
        <w:rPr>
          <w:iCs/>
        </w:rPr>
        <w:t xml:space="preserve">s on </w:t>
      </w:r>
      <w:r w:rsidR="001B6DF4">
        <w:rPr>
          <w:iCs/>
        </w:rPr>
        <w:t>the endorsement of</w:t>
      </w:r>
      <w:r w:rsidR="00300040">
        <w:rPr>
          <w:iCs/>
        </w:rPr>
        <w:t xml:space="preserve"> </w:t>
      </w:r>
      <w:r w:rsidR="00EA61F9">
        <w:rPr>
          <w:iCs/>
        </w:rPr>
        <w:t xml:space="preserve">gender stereotypes and </w:t>
      </w:r>
      <w:r w:rsidR="001B6DF4">
        <w:rPr>
          <w:iCs/>
        </w:rPr>
        <w:t xml:space="preserve">support for </w:t>
      </w:r>
      <w:r w:rsidR="00DE33A1">
        <w:rPr>
          <w:iCs/>
        </w:rPr>
        <w:t>policies designed to promote pay equity</w:t>
      </w:r>
      <w:r>
        <w:t>.</w:t>
      </w:r>
    </w:p>
    <w:p w14:paraId="491CC7FE" w14:textId="77777777" w:rsidR="0086522A" w:rsidRPr="007C0A38" w:rsidRDefault="0086522A" w:rsidP="00131AB7">
      <w:pPr>
        <w:spacing w:line="480" w:lineRule="auto"/>
        <w:jc w:val="center"/>
        <w:rPr>
          <w:b/>
          <w:bCs/>
        </w:rPr>
      </w:pPr>
      <w:r w:rsidRPr="007C0A38">
        <w:rPr>
          <w:b/>
          <w:bCs/>
        </w:rPr>
        <w:t>THEORY</w:t>
      </w:r>
    </w:p>
    <w:p w14:paraId="7031296C" w14:textId="2333886B" w:rsidR="0086522A" w:rsidRPr="00A67556" w:rsidRDefault="0086522A" w:rsidP="00140558">
      <w:pPr>
        <w:pStyle w:val="Heading1"/>
        <w:jc w:val="left"/>
      </w:pPr>
      <w:r w:rsidRPr="00A67556">
        <w:t xml:space="preserve">The Persistence of </w:t>
      </w:r>
      <w:r w:rsidR="004A791B">
        <w:t>Negotiation Propensity Explanations for</w:t>
      </w:r>
      <w:r>
        <w:t xml:space="preserve"> the Gender Pay Gap</w:t>
      </w:r>
    </w:p>
    <w:p w14:paraId="290EFF62" w14:textId="345FBA2E" w:rsidR="0086522A" w:rsidRDefault="004E7B4B" w:rsidP="00140558">
      <w:pPr>
        <w:spacing w:line="480" w:lineRule="auto"/>
        <w:ind w:firstLine="709"/>
        <w:rPr>
          <w:lang w:eastAsia="ko-KR"/>
        </w:rPr>
      </w:pPr>
      <w:r>
        <w:t>M</w:t>
      </w:r>
      <w:r w:rsidR="001B1641">
        <w:t>en and women are typically more similar than different</w:t>
      </w:r>
      <w:r w:rsidR="00C056F8">
        <w:t>,</w:t>
      </w:r>
      <w:r w:rsidR="001B1641">
        <w:t xml:space="preserve"> and </w:t>
      </w:r>
      <w:r w:rsidR="00C056F8">
        <w:t>trait levels vary widely</w:t>
      </w:r>
      <w:r w:rsidR="001B1641">
        <w:t xml:space="preserve"> </w:t>
      </w:r>
      <w:r w:rsidR="00C056F8">
        <w:t>within</w:t>
      </w:r>
      <w:r w:rsidR="001B1641">
        <w:t xml:space="preserve"> each gender (Hyde, 2014)</w:t>
      </w:r>
      <w:r>
        <w:t>. Nevertheless</w:t>
      </w:r>
      <w:r w:rsidR="001B1641">
        <w:t xml:space="preserve">, </w:t>
      </w:r>
      <w:r>
        <w:t xml:space="preserve">researchers </w:t>
      </w:r>
      <w:r w:rsidRPr="00D9571F">
        <w:t xml:space="preserve">at the intersection of </w:t>
      </w:r>
      <w:r>
        <w:t xml:space="preserve">organizational behavior, </w:t>
      </w:r>
      <w:r w:rsidRPr="00D9571F">
        <w:t>social psychology</w:t>
      </w:r>
      <w:r>
        <w:t>,</w:t>
      </w:r>
      <w:r w:rsidRPr="00D9571F">
        <w:t xml:space="preserve"> and behavioral economics </w:t>
      </w:r>
      <w:r>
        <w:t xml:space="preserve">frequently </w:t>
      </w:r>
      <w:r w:rsidR="001B1641">
        <w:t>compar</w:t>
      </w:r>
      <w:r>
        <w:t xml:space="preserve">e </w:t>
      </w:r>
      <w:r w:rsidR="00C056F8">
        <w:t xml:space="preserve">qualities using </w:t>
      </w:r>
      <w:r w:rsidR="00697BAB">
        <w:t>average</w:t>
      </w:r>
      <w:r w:rsidR="00C056F8">
        <w:t>s</w:t>
      </w:r>
      <w:r w:rsidR="00697BAB">
        <w:t xml:space="preserve"> across</w:t>
      </w:r>
      <w:r>
        <w:t xml:space="preserve"> men </w:t>
      </w:r>
      <w:r w:rsidR="00C056F8">
        <w:t>and</w:t>
      </w:r>
      <w:r w:rsidR="001E1420">
        <w:t xml:space="preserve"> </w:t>
      </w:r>
      <w:r>
        <w:t xml:space="preserve">women, resulting in some significant differences that </w:t>
      </w:r>
      <w:r w:rsidR="009764C1">
        <w:t>render</w:t>
      </w:r>
      <w:r>
        <w:t xml:space="preserve"> plausible a gender difference in </w:t>
      </w:r>
      <w:r w:rsidR="004A791B">
        <w:t>negotiation propensity</w:t>
      </w:r>
      <w:r>
        <w:t>.</w:t>
      </w:r>
      <w:r w:rsidR="001B1641">
        <w:t xml:space="preserve"> </w:t>
      </w:r>
      <w:r w:rsidR="0086522A" w:rsidRPr="00D9571F">
        <w:t xml:space="preserve">For example, </w:t>
      </w:r>
      <w:r w:rsidR="00275BB0">
        <w:t xml:space="preserve">men are typically less averse to risk </w:t>
      </w:r>
      <w:r w:rsidR="00BA134F">
        <w:lastRenderedPageBreak/>
        <w:t>(</w:t>
      </w:r>
      <w:r w:rsidR="00BA134F">
        <w:rPr>
          <w:noProof/>
        </w:rPr>
        <w:t>Croson &amp; Gneezy, 2009) and tend to feel more entitled (Bylsma &amp; Major, 1992; Major, 1989; Major, McFarlin, &amp; Gagnon, 1984)</w:t>
      </w:r>
      <w:r w:rsidR="0099725E">
        <w:rPr>
          <w:noProof/>
        </w:rPr>
        <w:t xml:space="preserve"> than women</w:t>
      </w:r>
      <w:r w:rsidR="00275BB0">
        <w:t>, on average</w:t>
      </w:r>
      <w:r w:rsidR="0086522A" w:rsidRPr="00D9571F">
        <w:t>. Gender differences in entitlement have been explained in terms of differential social comparison</w:t>
      </w:r>
      <w:r w:rsidR="00D87913">
        <w:t>. I</w:t>
      </w:r>
      <w:r w:rsidR="0086522A" w:rsidRPr="00D9571F">
        <w:t>f</w:t>
      </w:r>
      <w:r w:rsidR="00D87913">
        <w:t xml:space="preserve"> women receive less than men and</w:t>
      </w:r>
      <w:r w:rsidR="0086522A" w:rsidRPr="00D9571F">
        <w:t xml:space="preserve"> women compare themselves to other women </w:t>
      </w:r>
      <w:r w:rsidR="00D87913">
        <w:t>while</w:t>
      </w:r>
      <w:r w:rsidR="0086522A" w:rsidRPr="00D9571F">
        <w:t xml:space="preserve"> men to other men, a gender difference </w:t>
      </w:r>
      <w:r w:rsidR="00D87913">
        <w:t xml:space="preserve">in expectations </w:t>
      </w:r>
      <w:r w:rsidR="0086522A" w:rsidRPr="00D9571F">
        <w:t xml:space="preserve">will perpetuate </w:t>
      </w:r>
      <w:r w:rsidR="0086522A">
        <w:rPr>
          <w:noProof/>
        </w:rPr>
        <w:t>(Chesler &amp; Goodman, 1977; Hartmann &amp; Treiman, 1981)</w:t>
      </w:r>
      <w:r w:rsidR="0086522A" w:rsidRPr="00D9571F">
        <w:t xml:space="preserve">. Other research has identified </w:t>
      </w:r>
      <w:r w:rsidR="00D87913">
        <w:t>women as more reluctant to enter competitions than men under some conditions</w:t>
      </w:r>
      <w:r w:rsidR="0086522A" w:rsidRPr="00D9571F">
        <w:t xml:space="preserve"> </w:t>
      </w:r>
      <w:r w:rsidR="0086522A">
        <w:rPr>
          <w:noProof/>
        </w:rPr>
        <w:t>(Croson &amp; Gneezy, 2009; Niederle &amp; Vesterlund, 2011; Walters, Stuhlmacher, &amp; Meyer, 1998)</w:t>
      </w:r>
      <w:r w:rsidR="0086522A" w:rsidRPr="00D9571F">
        <w:t xml:space="preserve">. </w:t>
      </w:r>
      <w:r w:rsidR="0086522A">
        <w:t xml:space="preserve">One explanation is that </w:t>
      </w:r>
      <w:r w:rsidR="0086522A" w:rsidRPr="00D9571F">
        <w:t xml:space="preserve">women </w:t>
      </w:r>
      <w:r w:rsidR="00D87913">
        <w:t xml:space="preserve">sometimes </w:t>
      </w:r>
      <w:r w:rsidR="0086522A" w:rsidRPr="00D9571F">
        <w:t>value interpersonal relationships and monetary gain differently</w:t>
      </w:r>
      <w:r w:rsidR="002A75C0">
        <w:t xml:space="preserve"> than men do</w:t>
      </w:r>
      <w:r w:rsidR="0086522A" w:rsidRPr="00D9571F">
        <w:t xml:space="preserve"> </w:t>
      </w:r>
      <w:r w:rsidR="0086522A">
        <w:rPr>
          <w:noProof/>
        </w:rPr>
        <w:t xml:space="preserve">(Crosby, 1982; </w:t>
      </w:r>
      <w:r w:rsidR="00BA0EBA">
        <w:rPr>
          <w:noProof/>
        </w:rPr>
        <w:t xml:space="preserve">Kray &amp; Gelfand, 2009; </w:t>
      </w:r>
      <w:r w:rsidR="0086522A">
        <w:rPr>
          <w:noProof/>
        </w:rPr>
        <w:t>Rubin &amp; Brown, 1975)</w:t>
      </w:r>
      <w:r w:rsidR="0086522A" w:rsidRPr="00D9571F">
        <w:t xml:space="preserve">. </w:t>
      </w:r>
      <w:r w:rsidR="0086522A" w:rsidRPr="00815927">
        <w:t>Relatedly, both</w:t>
      </w:r>
      <w:r w:rsidR="007E502C">
        <w:t xml:space="preserve"> articles in</w:t>
      </w:r>
      <w:r w:rsidR="0086522A" w:rsidRPr="00815927">
        <w:t xml:space="preserve"> the popular press </w:t>
      </w:r>
      <w:r w:rsidR="0086522A">
        <w:rPr>
          <w:noProof/>
        </w:rPr>
        <w:t>(Kay &amp; Shipman, 2014)</w:t>
      </w:r>
      <w:r w:rsidR="0086522A" w:rsidRPr="00815927">
        <w:t xml:space="preserve"> and recent behavioral economic research </w:t>
      </w:r>
      <w:r w:rsidR="0086522A">
        <w:rPr>
          <w:noProof/>
        </w:rPr>
        <w:t>(Exley &amp; Kessler, 2019)</w:t>
      </w:r>
      <w:r w:rsidR="007C1661">
        <w:t xml:space="preserve"> claim that </w:t>
      </w:r>
      <w:r w:rsidR="0086522A" w:rsidRPr="00815927">
        <w:t>women</w:t>
      </w:r>
      <w:r w:rsidR="007E502C">
        <w:t>’s humility could be holding them back</w:t>
      </w:r>
      <w:r w:rsidR="0086522A" w:rsidRPr="00815927">
        <w:t>.</w:t>
      </w:r>
      <w:r w:rsidR="0086522A">
        <w:t xml:space="preserve"> </w:t>
      </w:r>
      <w:r w:rsidR="001B6DF4">
        <w:t>All</w:t>
      </w:r>
      <w:r w:rsidR="00DD4170">
        <w:t xml:space="preserve"> t</w:t>
      </w:r>
      <w:r w:rsidR="00471E08">
        <w:t>his research characterizes</w:t>
      </w:r>
      <w:r w:rsidR="00A269DD">
        <w:t xml:space="preserve"> average behavior, not the behavior of individual men and women</w:t>
      </w:r>
      <w:r w:rsidR="0024606D">
        <w:t xml:space="preserve"> (which varies widely). Still,</w:t>
      </w:r>
      <w:r w:rsidR="00A269DD">
        <w:t xml:space="preserve"> i</w:t>
      </w:r>
      <w:r w:rsidR="00A4126B">
        <w:rPr>
          <w:lang w:eastAsia="ko-KR"/>
        </w:rPr>
        <w:t xml:space="preserve">f </w:t>
      </w:r>
      <w:r w:rsidR="0086522A">
        <w:rPr>
          <w:lang w:eastAsia="ko-KR"/>
        </w:rPr>
        <w:t>women</w:t>
      </w:r>
      <w:r w:rsidR="00A4126B">
        <w:rPr>
          <w:lang w:eastAsia="ko-KR"/>
        </w:rPr>
        <w:t xml:space="preserve"> </w:t>
      </w:r>
      <w:r w:rsidR="0086522A">
        <w:rPr>
          <w:lang w:eastAsia="ko-KR"/>
        </w:rPr>
        <w:t xml:space="preserve">tend to be more risk averse, feel less entitled, compete less, and </w:t>
      </w:r>
      <w:r w:rsidR="00A4126B">
        <w:rPr>
          <w:lang w:eastAsia="ko-KR"/>
        </w:rPr>
        <w:t xml:space="preserve">display </w:t>
      </w:r>
      <w:r w:rsidR="007E502C">
        <w:rPr>
          <w:lang w:eastAsia="ko-KR"/>
        </w:rPr>
        <w:t>more humility</w:t>
      </w:r>
      <w:r w:rsidR="0086522A">
        <w:rPr>
          <w:lang w:eastAsia="ko-KR"/>
        </w:rPr>
        <w:t xml:space="preserve"> compared to men</w:t>
      </w:r>
      <w:r w:rsidR="00A269DD">
        <w:rPr>
          <w:lang w:eastAsia="ko-KR"/>
        </w:rPr>
        <w:t>, on average</w:t>
      </w:r>
      <w:r w:rsidR="0086522A">
        <w:rPr>
          <w:lang w:eastAsia="ko-KR"/>
        </w:rPr>
        <w:t xml:space="preserve">, then </w:t>
      </w:r>
      <w:r w:rsidR="005231D2">
        <w:rPr>
          <w:lang w:eastAsia="ko-KR"/>
        </w:rPr>
        <w:t>a potential gender difference in the propensity</w:t>
      </w:r>
      <w:r w:rsidR="0086522A">
        <w:rPr>
          <w:lang w:eastAsia="ko-KR"/>
        </w:rPr>
        <w:t xml:space="preserve"> to negotiate </w:t>
      </w:r>
      <w:r w:rsidR="001B6DF4">
        <w:rPr>
          <w:lang w:eastAsia="ko-KR"/>
        </w:rPr>
        <w:t xml:space="preserve">is </w:t>
      </w:r>
      <w:r w:rsidR="0086522A">
        <w:rPr>
          <w:lang w:eastAsia="ko-KR"/>
        </w:rPr>
        <w:t xml:space="preserve">plausible as an explanation for gender gaps in income. </w:t>
      </w:r>
      <w:r w:rsidR="00DD4A4F">
        <w:rPr>
          <w:lang w:eastAsia="ko-KR"/>
        </w:rPr>
        <w:t xml:space="preserve">It sounds even more plausible </w:t>
      </w:r>
      <w:r w:rsidR="00CB085B">
        <w:rPr>
          <w:lang w:eastAsia="ko-KR"/>
        </w:rPr>
        <w:t>considering</w:t>
      </w:r>
      <w:r w:rsidR="00047AF5">
        <w:rPr>
          <w:lang w:eastAsia="ko-KR"/>
        </w:rPr>
        <w:t xml:space="preserve"> </w:t>
      </w:r>
      <w:r w:rsidR="00471E08">
        <w:rPr>
          <w:lang w:eastAsia="ko-KR"/>
        </w:rPr>
        <w:t>the</w:t>
      </w:r>
      <w:r w:rsidR="00DD4A4F">
        <w:rPr>
          <w:lang w:eastAsia="ko-KR"/>
        </w:rPr>
        <w:t xml:space="preserve"> backlash</w:t>
      </w:r>
      <w:r w:rsidR="00471E08">
        <w:rPr>
          <w:lang w:eastAsia="ko-KR"/>
        </w:rPr>
        <w:t xml:space="preserve"> directed at women who negotiate</w:t>
      </w:r>
      <w:r w:rsidR="00DD4A4F">
        <w:rPr>
          <w:lang w:eastAsia="ko-KR"/>
        </w:rPr>
        <w:t xml:space="preserve"> (Bowles</w:t>
      </w:r>
      <w:r w:rsidR="00DD4A4F">
        <w:t>, Babcock, &amp; Lai, 2007)</w:t>
      </w:r>
      <w:r w:rsidR="00471E08">
        <w:t xml:space="preserve">. </w:t>
      </w:r>
      <w:r w:rsidR="0026248F">
        <w:t xml:space="preserve">If women receive </w:t>
      </w:r>
      <w:r w:rsidR="00267188">
        <w:t>more</w:t>
      </w:r>
      <w:r w:rsidR="001B6DF4">
        <w:t xml:space="preserve"> </w:t>
      </w:r>
      <w:r w:rsidR="0026248F">
        <w:t xml:space="preserve">social penalties than men for negotiating, then </w:t>
      </w:r>
      <w:r w:rsidR="004E7BD5">
        <w:t>it seems only rational for them to negotiate less often than men do</w:t>
      </w:r>
      <w:r w:rsidR="00226FA2">
        <w:t xml:space="preserve"> (although this downstream effect has not been demonstrated empirically)</w:t>
      </w:r>
      <w:r w:rsidR="004E7BD5">
        <w:t>.</w:t>
      </w:r>
    </w:p>
    <w:p w14:paraId="3F6822DA" w14:textId="14179AC1" w:rsidR="0086522A" w:rsidRPr="00D9571F" w:rsidRDefault="000A4FB3" w:rsidP="00140558">
      <w:pPr>
        <w:spacing w:line="480" w:lineRule="auto"/>
        <w:ind w:firstLine="709"/>
        <w:rPr>
          <w:lang w:eastAsia="ko-KR"/>
        </w:rPr>
      </w:pPr>
      <w:r>
        <w:t>The laboratory evidence for a gender difference in negotiation propensity</w:t>
      </w:r>
      <w:r w:rsidR="0075276D">
        <w:t xml:space="preserve"> (Small et al., 2007)</w:t>
      </w:r>
      <w:r w:rsidR="0086522A">
        <w:t xml:space="preserve"> is limited by methodological </w:t>
      </w:r>
      <w:r>
        <w:t>issues</w:t>
      </w:r>
      <w:r w:rsidR="0086522A">
        <w:t xml:space="preserve">. There, women were </w:t>
      </w:r>
      <w:r w:rsidR="0075276D">
        <w:t>rated as</w:t>
      </w:r>
      <w:r w:rsidR="0086522A">
        <w:t xml:space="preserve"> initiat</w:t>
      </w:r>
      <w:r w:rsidR="0075276D">
        <w:t>ing</w:t>
      </w:r>
      <w:r w:rsidR="0086522A">
        <w:t xml:space="preserve"> negotiations </w:t>
      </w:r>
      <w:r w:rsidR="0075276D">
        <w:t>less</w:t>
      </w:r>
      <w:r w:rsidR="0086522A">
        <w:t xml:space="preserve"> often than men</w:t>
      </w:r>
      <w:r w:rsidR="007559C2">
        <w:t xml:space="preserve"> following a laboratory task</w:t>
      </w:r>
      <w:r w:rsidR="0086522A">
        <w:t xml:space="preserve">, which translated into lower earnings. </w:t>
      </w:r>
      <w:r w:rsidR="00EC1FC0">
        <w:t>Among the studies meta-analyzed in Kugler et al. (2018),</w:t>
      </w:r>
      <w:r w:rsidR="00EC1FC0" w:rsidDel="00EC1FC0">
        <w:t xml:space="preserve"> </w:t>
      </w:r>
      <w:r w:rsidR="005231D2">
        <w:t>this</w:t>
      </w:r>
      <w:r w:rsidR="0086522A">
        <w:t xml:space="preserve"> research has the largest effect size (i.e., Study </w:t>
      </w:r>
      <w:r w:rsidR="0086522A">
        <w:lastRenderedPageBreak/>
        <w:t xml:space="preserve">1 had an effect size six times larger than the average </w:t>
      </w:r>
      <w:r w:rsidR="00EC1FC0">
        <w:t xml:space="preserve">meta-analytic </w:t>
      </w:r>
      <w:r w:rsidR="0086522A">
        <w:t>effect size)</w:t>
      </w:r>
      <w:r w:rsidR="00EC1FC0">
        <w:t>,</w:t>
      </w:r>
      <w:r w:rsidR="0086522A">
        <w:t xml:space="preserve"> and therefore is often</w:t>
      </w:r>
      <w:r w:rsidR="00267188">
        <w:t xml:space="preserve"> cited</w:t>
      </w:r>
      <w:r w:rsidR="0086522A">
        <w:t xml:space="preserve"> as evidence for a gender difference in </w:t>
      </w:r>
      <w:r w:rsidR="004A791B">
        <w:t>negotiation propensity</w:t>
      </w:r>
      <w:r w:rsidR="0086522A">
        <w:t xml:space="preserve"> causing the gender pay gap. However, this evidence must be interpreted with caution because the research design did not utilize a double-blind procedure. The behavioral protocol in the “Boggle paradigm” involved an experimenter who indicates that pay is variable and then offers undergraduate research participants payment at the low end of the stated range. The key dependent measure was based on a judgment by the experimenter involved in this face-to-face, dyadic interaction. Because experimenters were aware of participant gender, we cannot rule out the possibility of demand effects: Experimenters’ perceptions or beliefs may have unconsciously and nonverbally conveyed expectations that could have impacted participants’ behaviors (Kennedy &amp; Kray, 2015). We are aware of one</w:t>
      </w:r>
      <w:r w:rsidR="0086522A" w:rsidRPr="002E4E46">
        <w:t xml:space="preserve"> replication</w:t>
      </w:r>
      <w:r w:rsidR="0086522A">
        <w:t xml:space="preserve"> study</w:t>
      </w:r>
      <w:r w:rsidR="0086522A" w:rsidRPr="002E4E46">
        <w:t xml:space="preserve"> </w:t>
      </w:r>
      <w:r w:rsidR="0086522A">
        <w:t>of the Boggle experiment</w:t>
      </w:r>
      <w:r w:rsidR="00CA10E5">
        <w:t>, and it</w:t>
      </w:r>
      <w:r w:rsidR="0086522A">
        <w:t xml:space="preserve"> did not find a gender difference in </w:t>
      </w:r>
      <w:r w:rsidR="004A791B">
        <w:t>negotiation propensity</w:t>
      </w:r>
      <w:r w:rsidR="00EC1FC0">
        <w:t xml:space="preserve"> </w:t>
      </w:r>
      <w:r w:rsidR="0086522A">
        <w:rPr>
          <w:noProof/>
        </w:rPr>
        <w:t>(Montag-Smit, Sanborn-Overby, &amp; Batz, 2019)</w:t>
      </w:r>
      <w:r w:rsidR="001A74AE">
        <w:t xml:space="preserve">. </w:t>
      </w:r>
    </w:p>
    <w:p w14:paraId="190DCD47" w14:textId="66B322C3" w:rsidR="0086522A" w:rsidRDefault="0086522A" w:rsidP="00140558">
      <w:pPr>
        <w:spacing w:line="480" w:lineRule="auto"/>
        <w:ind w:firstLine="720"/>
      </w:pPr>
      <w:r>
        <w:t xml:space="preserve">More broadly, the belief that a gender gap in </w:t>
      </w:r>
      <w:r w:rsidR="004A791B">
        <w:t>negotiation propensity</w:t>
      </w:r>
      <w:r>
        <w:t xml:space="preserve"> is a key factor in explaining the gender pay gap may be an instantiation of gender stereotypes relating to our understanding of what determines success in the workplace. The business world, and particularly negotiation, has traditionally been considered a realm where </w:t>
      </w:r>
      <w:r w:rsidR="004568C1">
        <w:t>masculine qualities reign and feminine qualities put people</w:t>
      </w:r>
      <w:r>
        <w:t xml:space="preserve"> at a disadvantage </w:t>
      </w:r>
      <w:r>
        <w:rPr>
          <w:noProof/>
        </w:rPr>
        <w:t>(</w:t>
      </w:r>
      <w:r w:rsidR="00CB085B">
        <w:rPr>
          <w:noProof/>
        </w:rPr>
        <w:t xml:space="preserve">Bowles &amp; Kray, 2013; </w:t>
      </w:r>
      <w:r>
        <w:rPr>
          <w:noProof/>
        </w:rPr>
        <w:t>Thompson, 1998)</w:t>
      </w:r>
      <w:r>
        <w:t>. Lay</w:t>
      </w:r>
      <w:r w:rsidRPr="00D9571F">
        <w:t xml:space="preserve"> theories of what negotiations entail</w:t>
      </w:r>
      <w:r>
        <w:t xml:space="preserve"> suggest that</w:t>
      </w:r>
      <w:r w:rsidRPr="00D9571F">
        <w:t xml:space="preserve"> </w:t>
      </w:r>
      <w:r>
        <w:t>s</w:t>
      </w:r>
      <w:r w:rsidRPr="00D9571F">
        <w:t>tereotypically masculine traits (e.g.</w:t>
      </w:r>
      <w:r>
        <w:t>,</w:t>
      </w:r>
      <w:r w:rsidRPr="00D9571F">
        <w:t xml:space="preserve"> </w:t>
      </w:r>
      <w:r w:rsidR="005231D2">
        <w:t>competitiveness,</w:t>
      </w:r>
      <w:r w:rsidRPr="00D9571F">
        <w:t xml:space="preserve"> assertiveness) </w:t>
      </w:r>
      <w:r w:rsidR="006A1EB0">
        <w:t>support</w:t>
      </w:r>
      <w:r w:rsidRPr="00D9571F">
        <w:t xml:space="preserve"> </w:t>
      </w:r>
      <w:r>
        <w:t xml:space="preserve">negotiation effectiveness </w:t>
      </w:r>
      <w:r w:rsidRPr="00D9571F">
        <w:t>while stereotypically feminine traits (e.g., cooperative</w:t>
      </w:r>
      <w:r w:rsidR="005231D2">
        <w:t>ness</w:t>
      </w:r>
      <w:r w:rsidRPr="00D9571F">
        <w:t>, accommodati</w:t>
      </w:r>
      <w:r w:rsidR="005231D2">
        <w:t>on</w:t>
      </w:r>
      <w:r w:rsidRPr="00D9571F">
        <w:t xml:space="preserve">) </w:t>
      </w:r>
      <w:r w:rsidR="006A1EB0">
        <w:t xml:space="preserve">do </w:t>
      </w:r>
      <w:r>
        <w:t>not</w:t>
      </w:r>
      <w:r w:rsidRPr="00D9571F">
        <w:t xml:space="preserve"> </w:t>
      </w:r>
      <w:r>
        <w:rPr>
          <w:noProof/>
        </w:rPr>
        <w:t>(Kray &amp; Thompson, 2004)</w:t>
      </w:r>
      <w:r w:rsidRPr="00D9571F">
        <w:t xml:space="preserve">. </w:t>
      </w:r>
      <w:r>
        <w:t xml:space="preserve">The notion that women are less </w:t>
      </w:r>
      <w:r w:rsidR="005231D2">
        <w:t>prone</w:t>
      </w:r>
      <w:r>
        <w:t xml:space="preserve"> to negotiate than men is consistent with cultural stereotypes about gender and with lay theories of what is ineffective in negotiations, allowing for ease of persistence. </w:t>
      </w:r>
    </w:p>
    <w:p w14:paraId="4188EC98" w14:textId="211B8937" w:rsidR="0086522A" w:rsidRDefault="005231D2" w:rsidP="00140558">
      <w:pPr>
        <w:spacing w:line="480" w:lineRule="auto"/>
        <w:ind w:firstLine="720"/>
      </w:pPr>
      <w:r>
        <w:lastRenderedPageBreak/>
        <w:t>Holding the belief</w:t>
      </w:r>
      <w:r w:rsidR="0086522A">
        <w:t xml:space="preserve"> that </w:t>
      </w:r>
      <w:r w:rsidR="004A791B">
        <w:t>negotiation propensity</w:t>
      </w:r>
      <w:r w:rsidR="0086522A">
        <w:t xml:space="preserve"> </w:t>
      </w:r>
      <w:r w:rsidR="00A23971">
        <w:t xml:space="preserve">can </w:t>
      </w:r>
      <w:r>
        <w:t>explain</w:t>
      </w:r>
      <w:r w:rsidR="0086522A">
        <w:t xml:space="preserve"> gender difference in </w:t>
      </w:r>
      <w:r w:rsidR="002D2D9D">
        <w:t xml:space="preserve">pay </w:t>
      </w:r>
      <w:r w:rsidR="00D12466">
        <w:t xml:space="preserve">may help to </w:t>
      </w:r>
      <w:r w:rsidR="0086522A">
        <w:t>legitimiz</w:t>
      </w:r>
      <w:r w:rsidR="002D2D9D">
        <w:t>e</w:t>
      </w:r>
      <w:r w:rsidR="0086522A">
        <w:t xml:space="preserve"> </w:t>
      </w:r>
      <w:r w:rsidR="002D2D9D">
        <w:t xml:space="preserve">the pay gap </w:t>
      </w:r>
      <w:r w:rsidR="0086522A">
        <w:t>as fair and just. Stereotypes can persist to make sense of social reality</w:t>
      </w:r>
      <w:r w:rsidR="002D2D9D">
        <w:t xml:space="preserve"> (</w:t>
      </w:r>
      <w:r w:rsidR="002D2D9D">
        <w:rPr>
          <w:noProof/>
        </w:rPr>
        <w:t>Jost &amp; Banaji, 1994)</w:t>
      </w:r>
      <w:r w:rsidR="0086522A">
        <w:t xml:space="preserve">, including existing divisions of labor with men occupying breadwinner roles and women occupying caretaking roles </w:t>
      </w:r>
      <w:r w:rsidR="0086522A">
        <w:rPr>
          <w:noProof/>
        </w:rPr>
        <w:t>(Eagly &amp; Steffen, 1984)</w:t>
      </w:r>
      <w:r w:rsidR="0086522A">
        <w:t xml:space="preserve">. </w:t>
      </w:r>
      <w:r w:rsidR="0086522A" w:rsidRPr="00F44D05">
        <w:t xml:space="preserve">The positive stereotype of male negotiators </w:t>
      </w:r>
      <w:r w:rsidR="0086522A">
        <w:t>legitimizes</w:t>
      </w:r>
      <w:r w:rsidR="0086522A" w:rsidRPr="00F44D05">
        <w:t xml:space="preserve"> their success </w:t>
      </w:r>
      <w:r w:rsidR="0086522A">
        <w:t>a</w:t>
      </w:r>
      <w:r w:rsidR="0086522A" w:rsidRPr="00F44D05">
        <w:t>s well-deserved and justified; the negative stereotype of female negotiators suggests their plight is well-deserved and justified.</w:t>
      </w:r>
      <w:r w:rsidR="0086522A">
        <w:t xml:space="preserve"> By implying that </w:t>
      </w:r>
      <w:r w:rsidR="0086522A" w:rsidRPr="0019574E">
        <w:t>people get what they deserve</w:t>
      </w:r>
      <w:r w:rsidR="0086522A">
        <w:t xml:space="preserve">, the </w:t>
      </w:r>
      <w:r w:rsidR="00D12466">
        <w:t>notion</w:t>
      </w:r>
      <w:r w:rsidR="0086522A">
        <w:t xml:space="preserve"> that women are reluctant negotiators who don’t get what they don’t ask for is consistent with the belief that the world is just </w:t>
      </w:r>
      <w:r w:rsidR="0086522A">
        <w:rPr>
          <w:noProof/>
        </w:rPr>
        <w:t>(Lerner, 1980)</w:t>
      </w:r>
      <w:r w:rsidR="00106E1A">
        <w:rPr>
          <w:noProof/>
        </w:rPr>
        <w:t xml:space="preserve"> and the system is fair (Jost &amp; Banaji, 1994)</w:t>
      </w:r>
      <w:r w:rsidR="0086522A">
        <w:t>. Generally, highlighting choice as a concept reduces concern about inequality (Savani &amp; Rattan, 2012).</w:t>
      </w:r>
    </w:p>
    <w:p w14:paraId="751AD1B1" w14:textId="6A9840E0" w:rsidR="009F359B" w:rsidRDefault="008E2CBC" w:rsidP="008A1DDE">
      <w:pPr>
        <w:spacing w:line="480" w:lineRule="auto"/>
        <w:ind w:firstLine="720"/>
      </w:pPr>
      <w:r>
        <w:t xml:space="preserve">In the same vein, </w:t>
      </w:r>
      <w:r w:rsidR="00DD07BF">
        <w:t xml:space="preserve">explanations for the gender pay gap that are rooted in </w:t>
      </w:r>
      <w:r>
        <w:t xml:space="preserve">human capital theory </w:t>
      </w:r>
      <w:r w:rsidR="00580DDB">
        <w:t xml:space="preserve">look for </w:t>
      </w:r>
      <w:r w:rsidR="00E15DEC">
        <w:t xml:space="preserve">gender differences in </w:t>
      </w:r>
      <w:r w:rsidR="00DD07BF">
        <w:t xml:space="preserve">workers’ knowledge and skills </w:t>
      </w:r>
      <w:r w:rsidR="00EB23D4">
        <w:t>that</w:t>
      </w:r>
      <w:r w:rsidR="00580DDB">
        <w:t xml:space="preserve"> could</w:t>
      </w:r>
      <w:r w:rsidR="00EB23D4">
        <w:t xml:space="preserve"> impact productivity </w:t>
      </w:r>
      <w:r w:rsidR="00DD07BF">
        <w:t xml:space="preserve">(e.g., </w:t>
      </w:r>
      <w:r w:rsidR="00635262">
        <w:t xml:space="preserve">Lips, 2013; </w:t>
      </w:r>
      <w:r w:rsidR="00EE0EAE">
        <w:t>Olson, 2013)</w:t>
      </w:r>
      <w:r w:rsidR="00E15DEC">
        <w:t xml:space="preserve">. </w:t>
      </w:r>
      <w:r w:rsidR="00580DDB">
        <w:t>By this approach</w:t>
      </w:r>
      <w:r w:rsidR="00E15DEC">
        <w:t>, the gender pay gap is more likely to seem fair and legitimate</w:t>
      </w:r>
      <w:r w:rsidR="004B0604">
        <w:t>, especially when differences in human capital (e.g., hours worked</w:t>
      </w:r>
      <w:r w:rsidR="002D6CEF">
        <w:t>, time taken away from work for child-rearing</w:t>
      </w:r>
      <w:r w:rsidR="004B0604">
        <w:t>) are attributable to individual choices. Still, even human capital theory-based explanations leave room for fairness</w:t>
      </w:r>
      <w:r w:rsidR="0079799A">
        <w:t>-based explanations</w:t>
      </w:r>
      <w:r w:rsidR="004B0604">
        <w:t xml:space="preserve">. </w:t>
      </w:r>
      <w:r w:rsidR="00EB23D4">
        <w:t>Men and women can differ in human capital because women lack identical opportunities for networking, training, or skill development. If</w:t>
      </w:r>
      <w:r w:rsidR="009F359B">
        <w:t xml:space="preserve"> women negotiate less </w:t>
      </w:r>
      <w:r w:rsidR="00335D86">
        <w:t xml:space="preserve">well or frequently </w:t>
      </w:r>
      <w:r w:rsidR="009F359B">
        <w:t xml:space="preserve">than men, </w:t>
      </w:r>
      <w:r w:rsidR="0079799A">
        <w:t xml:space="preserve">the question remains whether this is by choice (i.e., they dislike negotiating) or due to fairness issues (i.e., they don’t have access to negotiation training or are discouraged by poor treatment when they </w:t>
      </w:r>
      <w:r w:rsidR="00DD1B27">
        <w:t>do negotiate</w:t>
      </w:r>
      <w:r w:rsidR="0079799A">
        <w:t xml:space="preserve">). The </w:t>
      </w:r>
      <w:r w:rsidR="00CF56DB">
        <w:t>research</w:t>
      </w:r>
      <w:r w:rsidR="0079799A">
        <w:t xml:space="preserve"> by Bowles et al. (2007) </w:t>
      </w:r>
      <w:r w:rsidR="00580DDB">
        <w:t xml:space="preserve">on backlash provides a plausible explanation for why women could </w:t>
      </w:r>
      <w:r w:rsidR="007137F4">
        <w:t xml:space="preserve">theoretically </w:t>
      </w:r>
      <w:r w:rsidR="00580DDB">
        <w:t>initiate negotiation less frequently than men</w:t>
      </w:r>
      <w:r w:rsidR="00335D86">
        <w:t>, making it more acceptable for egalitarian</w:t>
      </w:r>
      <w:r w:rsidR="00A304E8">
        <w:t xml:space="preserve"> </w:t>
      </w:r>
      <w:r w:rsidR="00335D86">
        <w:t>minds to accept.</w:t>
      </w:r>
      <w:r w:rsidR="0079799A">
        <w:t xml:space="preserve"> </w:t>
      </w:r>
      <w:r w:rsidR="00A304E8">
        <w:t xml:space="preserve">The backlash effects could even justify </w:t>
      </w:r>
      <w:r w:rsidR="00117F6C">
        <w:t xml:space="preserve">the </w:t>
      </w:r>
      <w:r w:rsidR="00A304E8">
        <w:t xml:space="preserve">protection </w:t>
      </w:r>
      <w:r w:rsidR="00A304E8">
        <w:lastRenderedPageBreak/>
        <w:t xml:space="preserve">of women from negotiation experiences and suggest men should be willing to negotiate on </w:t>
      </w:r>
      <w:r w:rsidR="007137F4">
        <w:t xml:space="preserve">women’s </w:t>
      </w:r>
      <w:r w:rsidR="00A304E8">
        <w:t xml:space="preserve">behalf. </w:t>
      </w:r>
      <w:r w:rsidR="007321A7" w:rsidRPr="007321A7">
        <w:t xml:space="preserve">We note that, while we use the label “choice” to </w:t>
      </w:r>
      <w:r w:rsidR="00D12466">
        <w:t>reflect</w:t>
      </w:r>
      <w:r w:rsidR="007321A7" w:rsidRPr="007321A7">
        <w:t xml:space="preserve"> </w:t>
      </w:r>
      <w:r w:rsidR="00D12466">
        <w:t>recent</w:t>
      </w:r>
      <w:r w:rsidR="007321A7" w:rsidRPr="007321A7">
        <w:t xml:space="preserve"> literature</w:t>
      </w:r>
      <w:r w:rsidR="00635262">
        <w:t xml:space="preserve"> (e.g., Connor &amp; Fiske, 201</w:t>
      </w:r>
      <w:r w:rsidR="00D12466">
        <w:t>9</w:t>
      </w:r>
      <w:r w:rsidR="00635262">
        <w:t>)</w:t>
      </w:r>
      <w:r w:rsidR="007321A7" w:rsidRPr="007321A7">
        <w:t>, it is consistent with broader human capital explanations</w:t>
      </w:r>
      <w:r w:rsidR="00635262">
        <w:t xml:space="preserve"> (Lips, 2013)</w:t>
      </w:r>
      <w:r w:rsidR="00D12466">
        <w:t>, including</w:t>
      </w:r>
      <w:r w:rsidR="009C4F1A">
        <w:t xml:space="preserve"> </w:t>
      </w:r>
      <w:r w:rsidR="007321A7" w:rsidRPr="007321A7">
        <w:t>qualifications</w:t>
      </w:r>
      <w:r w:rsidR="002D6CEF">
        <w:t>, skills</w:t>
      </w:r>
      <w:r w:rsidR="007321A7" w:rsidRPr="007321A7">
        <w:t>,</w:t>
      </w:r>
      <w:r w:rsidR="002D6CEF">
        <w:t xml:space="preserve"> and</w:t>
      </w:r>
      <w:r w:rsidR="007321A7" w:rsidRPr="007321A7">
        <w:t xml:space="preserve"> immutable characteristics associated with biological sex such as childbearing. </w:t>
      </w:r>
      <w:r w:rsidR="00DD1B27">
        <w:t>The</w:t>
      </w:r>
      <w:r w:rsidR="00DD1B27" w:rsidRPr="007321A7">
        <w:t xml:space="preserve"> </w:t>
      </w:r>
      <w:r w:rsidR="007321A7" w:rsidRPr="007321A7">
        <w:t xml:space="preserve">range of </w:t>
      </w:r>
      <w:r w:rsidR="00635262">
        <w:t xml:space="preserve">human capital-based </w:t>
      </w:r>
      <w:r w:rsidR="007321A7" w:rsidRPr="007321A7">
        <w:t>reasons</w:t>
      </w:r>
      <w:r w:rsidR="007137F4">
        <w:t xml:space="preserve"> for the gender pay gap</w:t>
      </w:r>
      <w:r w:rsidR="00635262">
        <w:t>, whether emphasizing women’s choices</w:t>
      </w:r>
      <w:r w:rsidR="007137F4">
        <w:t xml:space="preserve">, </w:t>
      </w:r>
      <w:r w:rsidR="00763975">
        <w:t xml:space="preserve">preferences, or </w:t>
      </w:r>
      <w:r w:rsidR="007137F4">
        <w:t>opportunities</w:t>
      </w:r>
      <w:r w:rsidR="00763975">
        <w:t xml:space="preserve"> </w:t>
      </w:r>
      <w:r w:rsidR="00DD1B27">
        <w:t>are likely imperfectly but positively associated</w:t>
      </w:r>
      <w:r w:rsidR="007321A7" w:rsidRPr="007321A7">
        <w:t xml:space="preserve"> with the belief that the gender system is fair.</w:t>
      </w:r>
      <w:r w:rsidR="00D12466">
        <w:t xml:space="preserve"> </w:t>
      </w:r>
    </w:p>
    <w:p w14:paraId="3CE947DB" w14:textId="77777777" w:rsidR="0086522A" w:rsidRDefault="0086522A" w:rsidP="00140558">
      <w:pPr>
        <w:pStyle w:val="Heading2"/>
        <w:spacing w:line="240" w:lineRule="auto"/>
      </w:pPr>
      <w:r>
        <w:t xml:space="preserve">Legitimizing </w:t>
      </w:r>
      <w:r w:rsidRPr="00D9571F">
        <w:t xml:space="preserve">Gender </w:t>
      </w:r>
      <w:r>
        <w:t xml:space="preserve">Income Inequality through the </w:t>
      </w:r>
      <w:r w:rsidRPr="007E3B63">
        <w:t>Negative</w:t>
      </w:r>
      <w:r>
        <w:t xml:space="preserve"> Stereotyping of Women Negotiators</w:t>
      </w:r>
    </w:p>
    <w:p w14:paraId="5C765EB8" w14:textId="77777777" w:rsidR="0086522A" w:rsidRPr="00015161" w:rsidRDefault="0086522A" w:rsidP="00140558">
      <w:pPr>
        <w:keepNext/>
        <w:widowControl w:val="0"/>
        <w:spacing w:line="276" w:lineRule="auto"/>
        <w:jc w:val="center"/>
        <w:rPr>
          <w:b/>
          <w:bCs/>
        </w:rPr>
      </w:pPr>
    </w:p>
    <w:p w14:paraId="441CA198" w14:textId="1D58F1C1" w:rsidR="0086522A" w:rsidRDefault="0086522A" w:rsidP="00140558">
      <w:pPr>
        <w:spacing w:line="480" w:lineRule="auto"/>
        <w:ind w:firstLine="720"/>
      </w:pPr>
      <w:r>
        <w:t xml:space="preserve">Relative group status influences the attributions that are made about the differential distribution of resources in society between social groups, with </w:t>
      </w:r>
      <w:r w:rsidR="00117F6C" w:rsidRPr="00D9571F">
        <w:t>high</w:t>
      </w:r>
      <w:r w:rsidR="00117F6C">
        <w:t>-</w:t>
      </w:r>
      <w:r w:rsidRPr="00D9571F">
        <w:t>status group members tend</w:t>
      </w:r>
      <w:r>
        <w:t>ing</w:t>
      </w:r>
      <w:r w:rsidRPr="00D9571F">
        <w:t xml:space="preserve"> to favor individualistic explanations and </w:t>
      </w:r>
      <w:r w:rsidR="00117F6C" w:rsidRPr="00D9571F">
        <w:t>low</w:t>
      </w:r>
      <w:r w:rsidR="00117F6C">
        <w:t>-</w:t>
      </w:r>
      <w:r w:rsidRPr="00D9571F">
        <w:t>status group members tend</w:t>
      </w:r>
      <w:r>
        <w:t>ing</w:t>
      </w:r>
      <w:r w:rsidRPr="00D9571F">
        <w:t xml:space="preserve"> to favor structural explanations </w:t>
      </w:r>
      <w:r>
        <w:rPr>
          <w:noProof/>
        </w:rPr>
        <w:t>(Kluegel &amp; Smith, 1986)</w:t>
      </w:r>
      <w:r>
        <w:t>. In the case of gender income inequality, this implies that men</w:t>
      </w:r>
      <w:r w:rsidR="009C4F1A">
        <w:t>,</w:t>
      </w:r>
      <w:r>
        <w:t xml:space="preserve"> </w:t>
      </w:r>
      <w:r w:rsidR="009C4F1A">
        <w:t xml:space="preserve">as </w:t>
      </w:r>
      <w:r w:rsidR="00757E86">
        <w:t>historically</w:t>
      </w:r>
      <w:r w:rsidR="001351D6">
        <w:t xml:space="preserve"> </w:t>
      </w:r>
      <w:r w:rsidR="009C4F1A">
        <w:t>high</w:t>
      </w:r>
      <w:r w:rsidR="001351D6">
        <w:t>er</w:t>
      </w:r>
      <w:r w:rsidR="009C4F1A">
        <w:t>-status members of society,</w:t>
      </w:r>
      <w:r w:rsidR="009C4F1A" w:rsidRPr="00D9571F">
        <w:t xml:space="preserve"> </w:t>
      </w:r>
      <w:r>
        <w:t>are more likely than women</w:t>
      </w:r>
      <w:r w:rsidR="009C4F1A">
        <w:t>,</w:t>
      </w:r>
      <w:r>
        <w:t xml:space="preserve"> </w:t>
      </w:r>
      <w:r w:rsidR="009C4F1A">
        <w:t xml:space="preserve">as </w:t>
      </w:r>
      <w:r w:rsidR="00757E86">
        <w:t>historically</w:t>
      </w:r>
      <w:r w:rsidR="001351D6">
        <w:t xml:space="preserve"> </w:t>
      </w:r>
      <w:r w:rsidR="009C4F1A">
        <w:t>low</w:t>
      </w:r>
      <w:r w:rsidR="00385956">
        <w:t>er</w:t>
      </w:r>
      <w:r w:rsidR="009C4F1A">
        <w:t xml:space="preserve">-status members of society, </w:t>
      </w:r>
      <w:r>
        <w:t xml:space="preserve">to explain the gender pay gap in terms of women’s choices and personal deficiencies while women are more likely to explain the gender pay gap in terms of discrimination. Indeed, recent research has found evidence </w:t>
      </w:r>
      <w:r w:rsidR="005F625F">
        <w:t>supporting</w:t>
      </w:r>
      <w:r>
        <w:t xml:space="preserve"> this ideological polarization in how gender income inequality is explained in contemporary U.S. society </w:t>
      </w:r>
      <w:r>
        <w:rPr>
          <w:noProof/>
        </w:rPr>
        <w:t>(Connor &amp; Fiske, 2019)</w:t>
      </w:r>
      <w:r w:rsidR="009C4F1A">
        <w:t xml:space="preserve">. </w:t>
      </w:r>
    </w:p>
    <w:p w14:paraId="19701B83" w14:textId="334348C0" w:rsidR="0086522A" w:rsidRDefault="0086522A" w:rsidP="00140558">
      <w:pPr>
        <w:spacing w:line="480" w:lineRule="auto"/>
        <w:ind w:firstLine="720"/>
      </w:pPr>
      <w:r>
        <w:t xml:space="preserve">We posit that explanations </w:t>
      </w:r>
      <w:r w:rsidR="003620C0">
        <w:t xml:space="preserve">citing </w:t>
      </w:r>
      <w:r>
        <w:t xml:space="preserve">gender differences in </w:t>
      </w:r>
      <w:r w:rsidR="004A791B">
        <w:t>negotiation propensity</w:t>
      </w:r>
      <w:r>
        <w:t xml:space="preserve"> </w:t>
      </w:r>
      <w:r w:rsidR="00635262">
        <w:t xml:space="preserve">may be </w:t>
      </w:r>
      <w:r>
        <w:t xml:space="preserve">an exception to this gendered pattern of endorsement. The existence of a negative stereotype about women negotiators </w:t>
      </w:r>
      <w:r>
        <w:rPr>
          <w:noProof/>
        </w:rPr>
        <w:t>(Kray</w:t>
      </w:r>
      <w:r w:rsidR="00A52D76">
        <w:rPr>
          <w:noProof/>
        </w:rPr>
        <w:t xml:space="preserve"> et al.</w:t>
      </w:r>
      <w:r>
        <w:rPr>
          <w:noProof/>
        </w:rPr>
        <w:t>, 2001)</w:t>
      </w:r>
      <w:r>
        <w:t xml:space="preserve"> and the abundance of popular messages indicating women do not ask for more pay </w:t>
      </w:r>
      <w:r>
        <w:rPr>
          <w:noProof/>
        </w:rPr>
        <w:t>(Babcock &amp; Laschever, 2003)</w:t>
      </w:r>
      <w:r>
        <w:t xml:space="preserve"> may lead women to be as likely as men to attribute the gender pay gap to women’s negotiating deficits. This would be consistent with </w:t>
      </w:r>
      <w:r>
        <w:lastRenderedPageBreak/>
        <w:t xml:space="preserve">social psychological theories </w:t>
      </w:r>
      <w:r w:rsidR="003620C0">
        <w:t>that</w:t>
      </w:r>
      <w:r>
        <w:t xml:space="preserve"> explain why </w:t>
      </w:r>
      <w:r w:rsidR="003620C0">
        <w:t xml:space="preserve">empirically unsound </w:t>
      </w:r>
      <w:r>
        <w:t>belief</w:t>
      </w:r>
      <w:r w:rsidR="003620C0">
        <w:t>s</w:t>
      </w:r>
      <w:r>
        <w:t xml:space="preserve"> continue to exist. Social dominance theory refers to “legitimizing myths” as the set of attitudes, beliefs, and practices that provide moral and intellectual justification to enable dominant groups to fare better than subordinate groups </w:t>
      </w:r>
      <w:r>
        <w:rPr>
          <w:noProof/>
        </w:rPr>
        <w:t>(Sidanius, Pratto, &amp; Bobo, 1994)</w:t>
      </w:r>
      <w:r>
        <w:t xml:space="preserve">. Others have referred to the legitimizing ideologies adopted by both dominant and subordinate group members to justify unequal shares of societal resources </w:t>
      </w:r>
      <w:r>
        <w:rPr>
          <w:noProof/>
        </w:rPr>
        <w:t>(Major et al., 2002)</w:t>
      </w:r>
      <w:r>
        <w:t xml:space="preserve">. System justification theory addresses why subordinate group members at times hold </w:t>
      </w:r>
      <w:r w:rsidR="00506550">
        <w:t>belief</w:t>
      </w:r>
      <w:r>
        <w:t xml:space="preserve">s that run counter to their personal and group interests. </w:t>
      </w:r>
      <w:r w:rsidR="00D43249">
        <w:t>Believing</w:t>
      </w:r>
      <w:r>
        <w:t xml:space="preserve"> that women are paid less than men because they </w:t>
      </w:r>
      <w:r w:rsidR="00D12466">
        <w:t>are not prone to</w:t>
      </w:r>
      <w:r>
        <w:t xml:space="preserve"> negotiate their pay may help people make sense of otherwise hard</w:t>
      </w:r>
      <w:r w:rsidR="00117F6C">
        <w:t>-to-</w:t>
      </w:r>
      <w:r>
        <w:t>explain disparities in income</w:t>
      </w:r>
      <w:r w:rsidRPr="00D9571F">
        <w:t xml:space="preserve">. </w:t>
      </w:r>
      <w:r w:rsidR="00D43249">
        <w:t>If it serves an ideological function, b</w:t>
      </w:r>
      <w:r>
        <w:t xml:space="preserve">elief in a gender gap in </w:t>
      </w:r>
      <w:r w:rsidR="004A791B">
        <w:t>negotiation propensity</w:t>
      </w:r>
      <w:r>
        <w:t xml:space="preserve"> may continue to exist </w:t>
      </w:r>
      <w:r w:rsidR="00D43249">
        <w:t>even if it is empirically untrue</w:t>
      </w:r>
      <w:r>
        <w:t xml:space="preserve">. </w:t>
      </w:r>
      <w:r w:rsidR="00D43249">
        <w:t xml:space="preserve">People </w:t>
      </w:r>
      <w:r>
        <w:t xml:space="preserve">have a fundamental need to believe that the world that they live in is fair and just </w:t>
      </w:r>
      <w:r>
        <w:rPr>
          <w:noProof/>
        </w:rPr>
        <w:t>(Jost &amp; Banaji, 1994; Lerner</w:t>
      </w:r>
      <w:r w:rsidR="000359FE">
        <w:rPr>
          <w:noProof/>
        </w:rPr>
        <w:t xml:space="preserve"> &amp; Miller</w:t>
      </w:r>
      <w:r>
        <w:rPr>
          <w:noProof/>
        </w:rPr>
        <w:t>, 19</w:t>
      </w:r>
      <w:r w:rsidR="000359FE">
        <w:rPr>
          <w:noProof/>
        </w:rPr>
        <w:t>78</w:t>
      </w:r>
      <w:r>
        <w:rPr>
          <w:noProof/>
        </w:rPr>
        <w:t>)</w:t>
      </w:r>
      <w:r>
        <w:t xml:space="preserve">. Especially for women, believing that </w:t>
      </w:r>
      <w:r w:rsidR="00A6023A">
        <w:t xml:space="preserve">the </w:t>
      </w:r>
      <w:r>
        <w:t>gender pay ga</w:t>
      </w:r>
      <w:r w:rsidR="00A6023A">
        <w:t>p is</w:t>
      </w:r>
      <w:r>
        <w:t xml:space="preserve"> attributable to women’s negotiating shortcomings may be an instantiation of </w:t>
      </w:r>
      <w:r w:rsidRPr="00CD4A7B">
        <w:rPr>
          <w:i/>
        </w:rPr>
        <w:t>false consciousness</w:t>
      </w:r>
      <w:r>
        <w:t xml:space="preserve"> </w:t>
      </w:r>
      <w:r>
        <w:rPr>
          <w:noProof/>
        </w:rPr>
        <w:t>(Jost &amp; Banaji, 1994)</w:t>
      </w:r>
      <w:r>
        <w:t xml:space="preserve">, </w:t>
      </w:r>
      <w:r w:rsidR="00787F32">
        <w:t>a state</w:t>
      </w:r>
      <w:r>
        <w:t xml:space="preserve"> </w:t>
      </w:r>
      <w:r w:rsidR="00787F32">
        <w:t>marked by holding</w:t>
      </w:r>
      <w:r>
        <w:t xml:space="preserve"> negative beliefs about one’s social group that are </w:t>
      </w:r>
      <w:r w:rsidR="00787F32">
        <w:t xml:space="preserve">epistemologically </w:t>
      </w:r>
      <w:r>
        <w:t xml:space="preserve">false but </w:t>
      </w:r>
      <w:r w:rsidR="00787F32">
        <w:t xml:space="preserve">useful for preserving </w:t>
      </w:r>
      <w:r>
        <w:t xml:space="preserve">existing social arrangements </w:t>
      </w:r>
      <w:r>
        <w:rPr>
          <w:noProof/>
        </w:rPr>
        <w:t>(Jost, 1995)</w:t>
      </w:r>
      <w:r>
        <w:t>.</w:t>
      </w:r>
    </w:p>
    <w:p w14:paraId="7CDC3B84" w14:textId="075C340E" w:rsidR="0086522A" w:rsidRDefault="006D13F1" w:rsidP="00140558">
      <w:pPr>
        <w:spacing w:line="480" w:lineRule="auto"/>
        <w:ind w:firstLine="720"/>
      </w:pPr>
      <w:r>
        <w:t>Here</w:t>
      </w:r>
      <w:r w:rsidR="0086522A">
        <w:t xml:space="preserve">, we explore </w:t>
      </w:r>
      <w:r w:rsidR="00D12466">
        <w:t>whether a gap exists between the</w:t>
      </w:r>
      <w:r>
        <w:t xml:space="preserve"> beliefs</w:t>
      </w:r>
      <w:r w:rsidR="00D12466">
        <w:t xml:space="preserve"> that people hold</w:t>
      </w:r>
      <w:r>
        <w:t xml:space="preserve"> about </w:t>
      </w:r>
      <w:r w:rsidR="0086522A">
        <w:t xml:space="preserve">a gender difference in </w:t>
      </w:r>
      <w:r w:rsidR="004A791B">
        <w:t>negotiation propensity</w:t>
      </w:r>
      <w:r w:rsidR="00D12466">
        <w:t xml:space="preserve"> </w:t>
      </w:r>
      <w:r w:rsidR="009C4F1A">
        <w:t xml:space="preserve">and current reality. For </w:t>
      </w:r>
      <w:proofErr w:type="gramStart"/>
      <w:r w:rsidR="009C4F1A">
        <w:t xml:space="preserve">women in particular, </w:t>
      </w:r>
      <w:r w:rsidR="00254C6B">
        <w:t>expecting</w:t>
      </w:r>
      <w:proofErr w:type="gramEnd"/>
      <w:r w:rsidR="009C4F1A">
        <w:t xml:space="preserve"> a larger gender gap in </w:t>
      </w:r>
      <w:r w:rsidR="004A791B">
        <w:t>negotiation propensity</w:t>
      </w:r>
      <w:r w:rsidR="009C4F1A">
        <w:t xml:space="preserve"> than </w:t>
      </w:r>
      <w:proofErr w:type="gramStart"/>
      <w:r w:rsidR="00254C6B">
        <w:t xml:space="preserve">actually </w:t>
      </w:r>
      <w:r w:rsidR="009C4F1A">
        <w:t>exists</w:t>
      </w:r>
      <w:proofErr w:type="gramEnd"/>
      <w:r w:rsidR="009C4F1A">
        <w:t xml:space="preserve"> today would be consistent with </w:t>
      </w:r>
      <w:r w:rsidR="0086522A">
        <w:t xml:space="preserve">false consciousness </w:t>
      </w:r>
      <w:r w:rsidR="0086522A">
        <w:rPr>
          <w:noProof/>
        </w:rPr>
        <w:t>(</w:t>
      </w:r>
      <w:r w:rsidR="00FA6BB0">
        <w:rPr>
          <w:noProof/>
        </w:rPr>
        <w:t xml:space="preserve">Crosby, 1982; </w:t>
      </w:r>
      <w:r w:rsidR="0086522A">
        <w:rPr>
          <w:noProof/>
        </w:rPr>
        <w:t>Jost &amp; Kay, 2005)</w:t>
      </w:r>
      <w:r w:rsidR="0086522A">
        <w:t xml:space="preserve">. </w:t>
      </w:r>
      <w:r w:rsidR="009C4F1A">
        <w:t>The</w:t>
      </w:r>
      <w:r w:rsidR="0086522A">
        <w:t xml:space="preserve"> original </w:t>
      </w:r>
      <w:r w:rsidR="0086522A">
        <w:rPr>
          <w:i/>
          <w:iCs/>
        </w:rPr>
        <w:t xml:space="preserve">Women Don’t Ask </w:t>
      </w:r>
      <w:r w:rsidR="0086522A">
        <w:t>book (</w:t>
      </w:r>
      <w:proofErr w:type="spellStart"/>
      <w:r w:rsidR="0086522A">
        <w:t>Babock</w:t>
      </w:r>
      <w:proofErr w:type="spellEnd"/>
      <w:r w:rsidR="0086522A">
        <w:t xml:space="preserve"> &amp; </w:t>
      </w:r>
      <w:proofErr w:type="spellStart"/>
      <w:r w:rsidR="0086522A">
        <w:t>Laschever</w:t>
      </w:r>
      <w:proofErr w:type="spellEnd"/>
      <w:r w:rsidR="0086522A">
        <w:t xml:space="preserve">, 2003) was clearly undertaken with the positive intention of promoting gender equality, </w:t>
      </w:r>
      <w:r w:rsidR="009C4F1A">
        <w:t>and it is consistent with the</w:t>
      </w:r>
      <w:r w:rsidR="0086522A">
        <w:t xml:space="preserve"> </w:t>
      </w:r>
      <w:r w:rsidR="00FD6693">
        <w:t xml:space="preserve">feminist </w:t>
      </w:r>
      <w:r w:rsidR="0086522A">
        <w:t xml:space="preserve">zeitgeist </w:t>
      </w:r>
      <w:r w:rsidR="00830564">
        <w:t>during the 21</w:t>
      </w:r>
      <w:r w:rsidR="00830564" w:rsidRPr="00254C6B">
        <w:rPr>
          <w:vertAlign w:val="superscript"/>
        </w:rPr>
        <w:t>st</w:t>
      </w:r>
      <w:r w:rsidR="00830564">
        <w:t xml:space="preserve"> century </w:t>
      </w:r>
      <w:r w:rsidR="0086522A">
        <w:t>encouraging women to “lean in” and try harder (e.g., Sheryl Sandberg’s message).</w:t>
      </w:r>
      <w:r w:rsidR="00830564">
        <w:t xml:space="preserve"> It is </w:t>
      </w:r>
      <w:r w:rsidR="00830564">
        <w:lastRenderedPageBreak/>
        <w:t xml:space="preserve">possible that </w:t>
      </w:r>
      <w:r w:rsidR="00267188">
        <w:t>popular</w:t>
      </w:r>
      <w:r w:rsidR="00830564">
        <w:t xml:space="preserve"> messages</w:t>
      </w:r>
      <w:r w:rsidR="00D65A79">
        <w:t xml:space="preserve"> across the last two decades</w:t>
      </w:r>
      <w:r w:rsidR="00830564">
        <w:t xml:space="preserve"> </w:t>
      </w:r>
      <w:r w:rsidR="00D65A79">
        <w:t>encouraging</w:t>
      </w:r>
      <w:r w:rsidR="00830564">
        <w:t xml:space="preserve"> women to </w:t>
      </w:r>
      <w:r w:rsidR="00254C6B">
        <w:t xml:space="preserve">be more assertive </w:t>
      </w:r>
      <w:r w:rsidR="00267188">
        <w:t>have</w:t>
      </w:r>
      <w:r w:rsidR="00830564">
        <w:t xml:space="preserve"> </w:t>
      </w:r>
      <w:r w:rsidR="00023AE3">
        <w:t>contributed</w:t>
      </w:r>
      <w:r w:rsidR="00830564">
        <w:t xml:space="preserve"> to a closing</w:t>
      </w:r>
      <w:r w:rsidR="00D65A79">
        <w:t>, or possibly even a reversal,</w:t>
      </w:r>
      <w:r w:rsidR="00830564">
        <w:t xml:space="preserve"> of historical gender gaps in </w:t>
      </w:r>
      <w:r w:rsidR="004A791B">
        <w:t>negotiation propensity</w:t>
      </w:r>
      <w:r w:rsidR="00830564">
        <w:t>.</w:t>
      </w:r>
    </w:p>
    <w:p w14:paraId="27E4295F" w14:textId="76BBB7E7" w:rsidR="0086522A" w:rsidRPr="000F1A19" w:rsidRDefault="0086522A" w:rsidP="00140558">
      <w:pPr>
        <w:pStyle w:val="Heading1"/>
        <w:jc w:val="left"/>
      </w:pPr>
      <w:r>
        <w:t xml:space="preserve">Consequences of </w:t>
      </w:r>
      <w:r w:rsidR="00D65A79">
        <w:t xml:space="preserve">Outdated </w:t>
      </w:r>
      <w:r>
        <w:t xml:space="preserve">Beliefs about </w:t>
      </w:r>
      <w:r w:rsidR="004A791B">
        <w:t xml:space="preserve">Negotiation </w:t>
      </w:r>
      <w:r w:rsidR="00D12466">
        <w:t>P</w:t>
      </w:r>
      <w:r w:rsidR="004A791B">
        <w:t>ropensity</w:t>
      </w:r>
      <w:r>
        <w:t xml:space="preserve"> and the Gender Pay Gap</w:t>
      </w:r>
    </w:p>
    <w:p w14:paraId="7713E312" w14:textId="74C16573" w:rsidR="0086522A" w:rsidRPr="003D55CA" w:rsidRDefault="00B31500" w:rsidP="00140558">
      <w:pPr>
        <w:spacing w:line="480" w:lineRule="auto"/>
        <w:ind w:firstLine="720"/>
      </w:pPr>
      <w:r>
        <w:t>Lay</w:t>
      </w:r>
      <w:r w:rsidR="0086522A">
        <w:t xml:space="preserve"> beliefs about gender income inequality </w:t>
      </w:r>
      <w:r>
        <w:t>could</w:t>
      </w:r>
      <w:r w:rsidR="0086522A">
        <w:rPr>
          <w:lang w:eastAsia="ko-KR"/>
        </w:rPr>
        <w:t xml:space="preserve"> determine </w:t>
      </w:r>
      <w:r w:rsidR="00117F6C">
        <w:rPr>
          <w:lang w:eastAsia="ko-KR"/>
        </w:rPr>
        <w:t>real-</w:t>
      </w:r>
      <w:r w:rsidR="0086522A">
        <w:rPr>
          <w:lang w:eastAsia="ko-KR"/>
        </w:rPr>
        <w:t xml:space="preserve">world decisions and outcomes. </w:t>
      </w:r>
      <w:r>
        <w:rPr>
          <w:lang w:eastAsia="ko-KR"/>
        </w:rPr>
        <w:t>Beliefs about the</w:t>
      </w:r>
      <w:r w:rsidR="0086522A">
        <w:rPr>
          <w:lang w:eastAsia="ko-KR"/>
        </w:rPr>
        <w:t xml:space="preserve"> right remedies for the gender pay gap may depend on </w:t>
      </w:r>
      <w:r>
        <w:rPr>
          <w:lang w:eastAsia="ko-KR"/>
        </w:rPr>
        <w:t>its perceived causes</w:t>
      </w:r>
      <w:r w:rsidR="0086522A">
        <w:rPr>
          <w:lang w:eastAsia="ko-KR"/>
        </w:rPr>
        <w:t xml:space="preserve">. </w:t>
      </w:r>
      <w:r w:rsidR="0086522A">
        <w:t xml:space="preserve">Indeed, empowerment messages such as “lean in” </w:t>
      </w:r>
      <w:r>
        <w:t xml:space="preserve">lead people to </w:t>
      </w:r>
      <w:r w:rsidR="0086522A">
        <w:t>attribut</w:t>
      </w:r>
      <w:r>
        <w:t>e more</w:t>
      </w:r>
      <w:r w:rsidR="0086522A">
        <w:t xml:space="preserve"> responsibility for gender inequality</w:t>
      </w:r>
      <w:r>
        <w:t xml:space="preserve"> to women themselves</w:t>
      </w:r>
      <w:r w:rsidR="0086522A">
        <w:t xml:space="preserve"> (Kim</w:t>
      </w:r>
      <w:r w:rsidR="0093021A">
        <w:t xml:space="preserve">, Fitzsimons, &amp; Kay, </w:t>
      </w:r>
      <w:r w:rsidR="0086522A">
        <w:t xml:space="preserve">2018). </w:t>
      </w:r>
      <w:r w:rsidR="0086522A">
        <w:rPr>
          <w:lang w:eastAsia="ko-KR"/>
        </w:rPr>
        <w:t>In contrast</w:t>
      </w:r>
      <w:r w:rsidR="0086522A">
        <w:t xml:space="preserve">, </w:t>
      </w:r>
      <w:r w:rsidR="0086522A" w:rsidRPr="00D9571F">
        <w:t xml:space="preserve">research </w:t>
      </w:r>
      <w:r w:rsidR="0086522A">
        <w:t xml:space="preserve">has found that </w:t>
      </w:r>
      <w:r w:rsidR="00F70589">
        <w:t xml:space="preserve">gender </w:t>
      </w:r>
      <w:r w:rsidR="0086522A">
        <w:t xml:space="preserve">differences in </w:t>
      </w:r>
      <w:r w:rsidR="00F70589">
        <w:t xml:space="preserve">negotiation </w:t>
      </w:r>
      <w:r w:rsidR="0086522A">
        <w:t xml:space="preserve">outcomes </w:t>
      </w:r>
      <w:r w:rsidR="00F70589">
        <w:t xml:space="preserve">often </w:t>
      </w:r>
      <w:r w:rsidR="0086522A">
        <w:t>occur because</w:t>
      </w:r>
      <w:r w:rsidR="0086522A" w:rsidRPr="00D9571F">
        <w:t xml:space="preserve"> women are</w:t>
      </w:r>
      <w:r w:rsidR="0086522A">
        <w:t xml:space="preserve"> especially likely to be </w:t>
      </w:r>
      <w:r w:rsidR="00F70589">
        <w:t>treated worse</w:t>
      </w:r>
      <w:r w:rsidR="0086522A">
        <w:t xml:space="preserve"> at the bargaining table</w:t>
      </w:r>
      <w:r w:rsidR="00F70589">
        <w:t>. For instance, b</w:t>
      </w:r>
      <w:r w:rsidR="0086522A" w:rsidRPr="00D9571F">
        <w:t>oth field and experimental evidence indicate men</w:t>
      </w:r>
      <w:r w:rsidR="0086522A">
        <w:t xml:space="preserve"> often</w:t>
      </w:r>
      <w:r w:rsidR="0086522A" w:rsidRPr="00D9571F">
        <w:t xml:space="preserve"> </w:t>
      </w:r>
      <w:r w:rsidR="0086522A">
        <w:t xml:space="preserve">receive better offers than women. </w:t>
      </w:r>
      <w:r w:rsidR="00F70589">
        <w:t>One study examined offers</w:t>
      </w:r>
      <w:r w:rsidR="005D7771">
        <w:t xml:space="preserve"> to sellers</w:t>
      </w:r>
      <w:r w:rsidR="00F70589">
        <w:t xml:space="preserve"> on</w:t>
      </w:r>
      <w:r w:rsidR="0086522A">
        <w:t xml:space="preserve"> eBay, finding that for </w:t>
      </w:r>
      <w:r w:rsidR="00F70589">
        <w:t>an</w:t>
      </w:r>
      <w:r w:rsidR="0086522A">
        <w:t xml:space="preserve"> </w:t>
      </w:r>
      <w:r w:rsidR="0086522A" w:rsidRPr="00D9571F">
        <w:t xml:space="preserve">identical </w:t>
      </w:r>
      <w:r w:rsidR="0086522A">
        <w:t xml:space="preserve">product, women received roughly 80 cents for every dollar </w:t>
      </w:r>
      <w:proofErr w:type="gramStart"/>
      <w:r w:rsidR="0086522A">
        <w:t>men</w:t>
      </w:r>
      <w:proofErr w:type="gramEnd"/>
      <w:r w:rsidR="0086522A">
        <w:t xml:space="preserve"> received </w:t>
      </w:r>
      <w:r w:rsidR="0086522A">
        <w:rPr>
          <w:noProof/>
        </w:rPr>
        <w:t>(Kricheli-Katz &amp; Regev, 2016)</w:t>
      </w:r>
      <w:r w:rsidR="0086522A" w:rsidRPr="00D9571F">
        <w:t>.</w:t>
      </w:r>
      <w:r w:rsidR="0086522A">
        <w:t xml:space="preserve"> Even for gift cards with the same monetary</w:t>
      </w:r>
      <w:r w:rsidR="00117F6C">
        <w:t xml:space="preserve"> </w:t>
      </w:r>
      <w:r w:rsidR="0086522A">
        <w:t xml:space="preserve">value, people were willing to pay less to a female seller than a male seller. </w:t>
      </w:r>
      <w:r w:rsidR="0086522A" w:rsidRPr="00D9571F">
        <w:t xml:space="preserve">In a </w:t>
      </w:r>
      <w:r w:rsidR="0086522A">
        <w:t>field</w:t>
      </w:r>
      <w:r w:rsidR="0086522A" w:rsidRPr="00D9571F">
        <w:t xml:space="preserve"> </w:t>
      </w:r>
      <w:r w:rsidR="0086522A">
        <w:t>experiment</w:t>
      </w:r>
      <w:r w:rsidR="0086522A" w:rsidRPr="00D9571F">
        <w:t xml:space="preserve">, </w:t>
      </w:r>
      <w:r w:rsidR="0086522A">
        <w:t xml:space="preserve">female </w:t>
      </w:r>
      <w:r w:rsidR="0086522A" w:rsidRPr="00D9571F">
        <w:t xml:space="preserve">confederates attempting to negotiate the purchase </w:t>
      </w:r>
      <w:r w:rsidR="0086522A">
        <w:t xml:space="preserve">of cars were given worse deals by car salespeople </w:t>
      </w:r>
      <w:r w:rsidR="0086522A" w:rsidRPr="00D9571F">
        <w:t>than male</w:t>
      </w:r>
      <w:r w:rsidR="0086522A">
        <w:t xml:space="preserve"> confederates </w:t>
      </w:r>
      <w:r w:rsidR="0086522A">
        <w:rPr>
          <w:noProof/>
        </w:rPr>
        <w:t>(Ayres &amp; Siegelman, 1995)</w:t>
      </w:r>
      <w:r w:rsidR="0086522A" w:rsidRPr="00D9571F">
        <w:t>.</w:t>
      </w:r>
      <w:r w:rsidR="0086522A">
        <w:t xml:space="preserve"> </w:t>
      </w:r>
      <w:r w:rsidR="005D7771">
        <w:t xml:space="preserve">A study examining pay </w:t>
      </w:r>
      <w:r w:rsidR="00B23401">
        <w:t>(</w:t>
      </w:r>
      <w:r w:rsidR="005D7771">
        <w:t>but not negotiation</w:t>
      </w:r>
      <w:r w:rsidR="00B23401">
        <w:t>)</w:t>
      </w:r>
      <w:r w:rsidR="005D7771">
        <w:t xml:space="preserve"> found that</w:t>
      </w:r>
      <w:r w:rsidR="007842FD">
        <w:t xml:space="preserve"> </w:t>
      </w:r>
      <w:r w:rsidR="0086522A">
        <w:t xml:space="preserve">women rated as </w:t>
      </w:r>
      <w:r w:rsidR="00117F6C">
        <w:t xml:space="preserve">having </w:t>
      </w:r>
      <w:r w:rsidR="0086522A">
        <w:t xml:space="preserve">high potential </w:t>
      </w:r>
      <w:r w:rsidR="00832D01">
        <w:t>were</w:t>
      </w:r>
      <w:r w:rsidR="005D7771">
        <w:t xml:space="preserve"> </w:t>
      </w:r>
      <w:r w:rsidR="00023AE3">
        <w:t>more highly compensated</w:t>
      </w:r>
      <w:r w:rsidR="00B23401">
        <w:t xml:space="preserve"> than </w:t>
      </w:r>
      <w:r w:rsidR="00023AE3">
        <w:t>men</w:t>
      </w:r>
      <w:r w:rsidR="00832D01">
        <w:t xml:space="preserve"> under some conditions</w:t>
      </w:r>
      <w:r w:rsidR="005D7771">
        <w:t xml:space="preserve"> </w:t>
      </w:r>
      <w:r w:rsidR="0086522A">
        <w:t xml:space="preserve">(Leslie, Manchester, &amp; Dahm, 2017). </w:t>
      </w:r>
      <w:r w:rsidR="00397A6C">
        <w:t>I</w:t>
      </w:r>
      <w:r w:rsidR="0086522A">
        <w:t>n consumer industries and when diversity goals were present, high-potential women were paid more than high-potential men. However, for typical women, a gender pay gap favoring men continued to emerge</w:t>
      </w:r>
      <w:r w:rsidR="009F32B4">
        <w:t>. N</w:t>
      </w:r>
      <w:r w:rsidR="0086522A">
        <w:t xml:space="preserve">otably, this research did not </w:t>
      </w:r>
      <w:r w:rsidR="002C1ADC">
        <w:t xml:space="preserve">examine </w:t>
      </w:r>
      <w:r w:rsidR="00832D01">
        <w:t>women’s negotiation attempts per se</w:t>
      </w:r>
      <w:r w:rsidR="00C7507C">
        <w:t xml:space="preserve">, </w:t>
      </w:r>
      <w:r w:rsidR="00267188">
        <w:t>thus the role of</w:t>
      </w:r>
      <w:r w:rsidR="00023AE3">
        <w:t xml:space="preserve"> </w:t>
      </w:r>
      <w:r w:rsidR="004A791B">
        <w:t>negotiation propensity</w:t>
      </w:r>
      <w:r w:rsidR="00267188">
        <w:t xml:space="preserve"> in this instance of a pay gap reversal</w:t>
      </w:r>
      <w:r w:rsidR="00023AE3">
        <w:t xml:space="preserve"> </w:t>
      </w:r>
      <w:r w:rsidR="00C7507C">
        <w:t>is un</w:t>
      </w:r>
      <w:r w:rsidR="00EB3E67">
        <w:t>known</w:t>
      </w:r>
      <w:r w:rsidR="0086522A">
        <w:t>.</w:t>
      </w:r>
    </w:p>
    <w:p w14:paraId="50FB2745" w14:textId="12705296" w:rsidR="0086522A" w:rsidRPr="00D9571F" w:rsidRDefault="00D45BD8" w:rsidP="00140558">
      <w:pPr>
        <w:spacing w:line="480" w:lineRule="auto"/>
        <w:ind w:firstLine="720"/>
      </w:pPr>
      <w:r>
        <w:lastRenderedPageBreak/>
        <w:t>To</w:t>
      </w:r>
      <w:r w:rsidR="0086522A">
        <w:t xml:space="preserve"> combat unequal treatment</w:t>
      </w:r>
      <w:r>
        <w:t>, some</w:t>
      </w:r>
      <w:r w:rsidR="0086522A">
        <w:t xml:space="preserve"> legislation prohibits employers from asking for salary histories. The salary history ban legislation generates a structural change </w:t>
      </w:r>
      <w:r w:rsidR="00654DC8">
        <w:t>to limit</w:t>
      </w:r>
      <w:r w:rsidR="0086522A" w:rsidRPr="00BF3BF1">
        <w:t xml:space="preserve"> perpetuat</w:t>
      </w:r>
      <w:r w:rsidR="00654DC8">
        <w:t>ion</w:t>
      </w:r>
      <w:r w:rsidR="0086522A" w:rsidRPr="00BF3BF1">
        <w:t xml:space="preserve"> </w:t>
      </w:r>
      <w:r w:rsidR="00654DC8">
        <w:t>of women’s</w:t>
      </w:r>
      <w:r w:rsidR="0086522A" w:rsidRPr="00BF3BF1">
        <w:t xml:space="preserve"> unequal compensation.</w:t>
      </w:r>
      <w:r w:rsidR="0086522A">
        <w:t xml:space="preserve"> Given that women have been disadvantaged in receiving equal pay in the past (and still in the present), the purpose of a salary history ban is to eliminate the possibility of inequality carrying over into new salary negotiations. Whatever men </w:t>
      </w:r>
      <w:r w:rsidR="00654DC8">
        <w:t xml:space="preserve">and </w:t>
      </w:r>
      <w:r w:rsidR="0086522A">
        <w:t>women were earning previously, a salary history ban aims to give everyone a fair wage offer</w:t>
      </w:r>
      <w:r w:rsidR="00AF6D75">
        <w:t xml:space="preserve"> upon receipt of a new job offer</w:t>
      </w:r>
      <w:r w:rsidR="0086522A">
        <w:t>. A</w:t>
      </w:r>
      <w:r w:rsidR="0086522A" w:rsidRPr="00BF3BF1">
        <w:t>s of 202</w:t>
      </w:r>
      <w:r w:rsidR="00205C19">
        <w:t>3</w:t>
      </w:r>
      <w:r w:rsidR="0086522A" w:rsidRPr="00BF3BF1">
        <w:t xml:space="preserve">, </w:t>
      </w:r>
      <w:r w:rsidR="0086522A">
        <w:t>2</w:t>
      </w:r>
      <w:r w:rsidR="003E7F2A">
        <w:t>1</w:t>
      </w:r>
      <w:r w:rsidR="0086522A" w:rsidRPr="00BF3BF1">
        <w:t xml:space="preserve"> states in the U</w:t>
      </w:r>
      <w:r w:rsidR="0086522A">
        <w:t>.</w:t>
      </w:r>
      <w:r w:rsidR="0086522A" w:rsidRPr="00BF3BF1">
        <w:t>S</w:t>
      </w:r>
      <w:r w:rsidR="0086522A">
        <w:t>.</w:t>
      </w:r>
      <w:r w:rsidR="0086522A" w:rsidRPr="00BF3BF1">
        <w:t xml:space="preserve"> have passed laws instituting salary history bans (HR Dive, 202</w:t>
      </w:r>
      <w:r w:rsidR="0086522A">
        <w:t>2</w:t>
      </w:r>
      <w:r w:rsidR="0086522A" w:rsidRPr="00BF3BF1">
        <w:t>)</w:t>
      </w:r>
      <w:r w:rsidR="0086522A">
        <w:t xml:space="preserve">, and the U.S. House of Representatives passed the Paycheck Fairness Act of 2022 which includes a section regarding salary history bans. Research has found that a salary history ban improves outcomes for women (as well as minorities) </w:t>
      </w:r>
      <w:r w:rsidR="0086522A">
        <w:rPr>
          <w:noProof/>
        </w:rPr>
        <w:t>(Bessen, Meng, &amp; Denk, 2020; Hansen &amp; McNichols, 2020; Sinha, 2019)</w:t>
      </w:r>
      <w:r w:rsidR="0086522A">
        <w:t xml:space="preserve">. </w:t>
      </w:r>
    </w:p>
    <w:p w14:paraId="4E1E541D" w14:textId="400E6E4B" w:rsidR="0086522A" w:rsidRDefault="00851EA4" w:rsidP="00140558">
      <w:pPr>
        <w:spacing w:line="480" w:lineRule="auto"/>
        <w:ind w:firstLine="720"/>
      </w:pPr>
      <w:r>
        <w:t>We</w:t>
      </w:r>
      <w:r w:rsidR="0086522A">
        <w:t xml:space="preserve"> </w:t>
      </w:r>
      <w:r>
        <w:t>ask whether</w:t>
      </w:r>
      <w:r w:rsidRPr="00851EA4">
        <w:t xml:space="preserve"> support for salary history bans</w:t>
      </w:r>
      <w:r>
        <w:t xml:space="preserve"> could</w:t>
      </w:r>
      <w:r w:rsidRPr="00851EA4">
        <w:t xml:space="preserve"> covary with beliefs about the causes of the gender pay gap</w:t>
      </w:r>
      <w:r>
        <w:t xml:space="preserve">. </w:t>
      </w:r>
      <w:r w:rsidR="00E84129">
        <w:t>A</w:t>
      </w:r>
      <w:r w:rsidR="0086522A">
        <w:t xml:space="preserve">ttributing the gender pay gap to women’s lower </w:t>
      </w:r>
      <w:r w:rsidR="004A791B">
        <w:t>negotiation propensity</w:t>
      </w:r>
      <w:r>
        <w:t xml:space="preserve"> could be associated with different levels of</w:t>
      </w:r>
      <w:r w:rsidR="0086522A">
        <w:t xml:space="preserve"> support </w:t>
      </w:r>
      <w:r>
        <w:t>for a</w:t>
      </w:r>
      <w:r w:rsidR="0086522A">
        <w:t xml:space="preserve"> salary history ban policy</w:t>
      </w:r>
      <w:r w:rsidR="00D3423E">
        <w:t>. If negotiation-based explanations imply that</w:t>
      </w:r>
      <w:r w:rsidR="0086522A">
        <w:t xml:space="preserve"> women’s lower wages are justified, </w:t>
      </w:r>
      <w:r w:rsidR="00D3423E">
        <w:t>then people who hold these beliefs might</w:t>
      </w:r>
      <w:r w:rsidR="0086522A">
        <w:t xml:space="preserve"> see less reason </w:t>
      </w:r>
      <w:r w:rsidR="005E21B9">
        <w:t>to support</w:t>
      </w:r>
      <w:r w:rsidR="0086522A">
        <w:t xml:space="preserve"> policies </w:t>
      </w:r>
      <w:r w:rsidR="00E84129">
        <w:t>designed</w:t>
      </w:r>
      <w:r w:rsidR="0086522A">
        <w:t xml:space="preserve"> to amend </w:t>
      </w:r>
      <w:r w:rsidR="002B47B0">
        <w:t>the broader system</w:t>
      </w:r>
      <w:r w:rsidR="0086522A">
        <w:t xml:space="preserve">. </w:t>
      </w:r>
    </w:p>
    <w:p w14:paraId="7C8DB266" w14:textId="77777777" w:rsidR="0086522A" w:rsidRPr="00D9571F" w:rsidRDefault="0086522A" w:rsidP="00140558">
      <w:pPr>
        <w:pStyle w:val="Heading1"/>
      </w:pPr>
      <w:r w:rsidRPr="007E3B63">
        <w:t>OVERVIEW</w:t>
      </w:r>
      <w:r>
        <w:t xml:space="preserve"> OF STUDIES</w:t>
      </w:r>
    </w:p>
    <w:p w14:paraId="6301F966" w14:textId="529A970F" w:rsidR="0086522A" w:rsidRDefault="0086522A" w:rsidP="00140558">
      <w:pPr>
        <w:spacing w:line="480" w:lineRule="auto"/>
        <w:ind w:firstLine="720"/>
      </w:pPr>
      <w:r>
        <w:t xml:space="preserve">Study 1 </w:t>
      </w:r>
      <w:r w:rsidR="007D7082">
        <w:t xml:space="preserve">explores </w:t>
      </w:r>
      <w:r>
        <w:t>people’s predictions about the negotiating behavior of women and men—in general</w:t>
      </w:r>
      <w:r w:rsidR="00117F6C">
        <w:t>,</w:t>
      </w:r>
      <w:r>
        <w:t xml:space="preserve"> and among those who hold MBA degrees. We drew from a </w:t>
      </w:r>
      <w:r w:rsidR="0083448E">
        <w:t>nationally</w:t>
      </w:r>
      <w:r w:rsidR="00494323">
        <w:t xml:space="preserve"> </w:t>
      </w:r>
      <w:r w:rsidR="0083448E">
        <w:t xml:space="preserve">representative </w:t>
      </w:r>
      <w:r>
        <w:t xml:space="preserve">pool, selecting adults who </w:t>
      </w:r>
      <w:r w:rsidR="0083448E">
        <w:t>might</w:t>
      </w:r>
      <w:r>
        <w:t xml:space="preserve"> offer </w:t>
      </w:r>
      <w:r w:rsidR="00FD6693">
        <w:t>a</w:t>
      </w:r>
      <w:r>
        <w:t xml:space="preserve"> </w:t>
      </w:r>
      <w:r w:rsidR="0083448E">
        <w:t xml:space="preserve">diverse set of </w:t>
      </w:r>
      <w:r w:rsidR="00973A3B">
        <w:t xml:space="preserve">incentive-compatible </w:t>
      </w:r>
      <w:r>
        <w:t xml:space="preserve">predictions. The estimates made in Study 1 correspond to the data in Studies 2A and 2B, enabling a comparison of predicted </w:t>
      </w:r>
      <w:r w:rsidR="007D7082">
        <w:t xml:space="preserve">to </w:t>
      </w:r>
      <w:r>
        <w:t xml:space="preserve">actual differences. We </w:t>
      </w:r>
      <w:r w:rsidR="00BD320F">
        <w:t>asked</w:t>
      </w:r>
      <w:r>
        <w:t xml:space="preserve"> for overall estimates of </w:t>
      </w:r>
      <w:r>
        <w:lastRenderedPageBreak/>
        <w:t xml:space="preserve">propensity to negotiate </w:t>
      </w:r>
      <w:r w:rsidR="00BD320F">
        <w:t>and</w:t>
      </w:r>
      <w:r>
        <w:t xml:space="preserve"> for more specific estimates of compensation-related events in the workplace. </w:t>
      </w:r>
    </w:p>
    <w:p w14:paraId="5DC9B21E" w14:textId="5A30B92D" w:rsidR="0086522A" w:rsidRDefault="0086522A" w:rsidP="00140558">
      <w:pPr>
        <w:spacing w:line="480" w:lineRule="auto"/>
        <w:ind w:firstLine="720"/>
      </w:pPr>
      <w:r>
        <w:t xml:space="preserve">Then, we explore in MBA datasets whether any gender difference in </w:t>
      </w:r>
      <w:r w:rsidR="004A791B">
        <w:t>negotiation propensity</w:t>
      </w:r>
      <w:r>
        <w:t xml:space="preserve"> emerge</w:t>
      </w:r>
      <w:r w:rsidR="009E3874">
        <w:t>s</w:t>
      </w:r>
      <w:r>
        <w:t xml:space="preserve"> and, if so, in what direction. Doing so enables us to compare </w:t>
      </w:r>
      <w:r w:rsidR="00117F6C">
        <w:t>real-</w:t>
      </w:r>
      <w:r>
        <w:t xml:space="preserve">world patterns of data with lay beliefs. We examined </w:t>
      </w:r>
      <w:r>
        <w:rPr>
          <w:lang w:val="en-GB"/>
        </w:rPr>
        <w:t xml:space="preserve">data in the context of the </w:t>
      </w:r>
      <w:r w:rsidRPr="00081139">
        <w:t>highly</w:t>
      </w:r>
      <w:r w:rsidR="007C1C37">
        <w:t xml:space="preserve"> </w:t>
      </w:r>
      <w:r w:rsidRPr="00081139">
        <w:t>educated, upper echelon</w:t>
      </w:r>
      <w:r>
        <w:t xml:space="preserve"> of the income spectrum, namely men and women who have their MBA</w:t>
      </w:r>
      <w:r w:rsidR="009E3874">
        <w:t xml:space="preserve"> degree</w:t>
      </w:r>
      <w:r w:rsidR="00117F6C">
        <w:t>s</w:t>
      </w:r>
      <w:r>
        <w:t xml:space="preserve">. We believe that focusing on this subset of the population is appropriate for two reasons. First, as mentioned in the introduction, the gender pay gap is pronounced at </w:t>
      </w:r>
      <w:r w:rsidRPr="00D9571F">
        <w:t>the higher end of the earnings spectrum</w:t>
      </w:r>
      <w:r>
        <w:rPr>
          <w:lang w:val="en-GB"/>
        </w:rPr>
        <w:t>,</w:t>
      </w:r>
      <w:r>
        <w:t xml:space="preserve"> which is generally where MBA graduates tend to be. Therefore, if women’s lower propensity to negotiate is indeed a reason for the gender pay gap, we should find it where the gap is the greatest. Second, men and women with MBAs have received the same formal advanced education in business-related skills, and therefore finding that gender differences in the propensity to negotiate exist even in this population would suggest the </w:t>
      </w:r>
      <w:r w:rsidR="004A791B">
        <w:t>negotiation propensity</w:t>
      </w:r>
      <w:r>
        <w:t xml:space="preserve"> gap observed in laboratory settings</w:t>
      </w:r>
      <w:r w:rsidR="0046070F">
        <w:t xml:space="preserve"> among undergraduate students</w:t>
      </w:r>
      <w:r>
        <w:t xml:space="preserve"> extends to working professionals. </w:t>
      </w:r>
    </w:p>
    <w:p w14:paraId="1DC3109A" w14:textId="454D72E8" w:rsidR="0086522A" w:rsidRDefault="0086522A" w:rsidP="00140558">
      <w:pPr>
        <w:spacing w:line="480" w:lineRule="auto"/>
        <w:ind w:firstLine="720"/>
      </w:pPr>
      <w:r w:rsidRPr="00D9571F">
        <w:t xml:space="preserve">Studies </w:t>
      </w:r>
      <w:r>
        <w:t>2</w:t>
      </w:r>
      <w:r w:rsidRPr="00D9571F">
        <w:t xml:space="preserve">A through </w:t>
      </w:r>
      <w:r>
        <w:t>2B</w:t>
      </w:r>
      <w:r w:rsidRPr="00D9571F">
        <w:t xml:space="preserve"> </w:t>
      </w:r>
      <w:r>
        <w:t xml:space="preserve">present real-world data from a population of current and former MBA students at a top U.S. business school. We examine self-reported negotiating behavior in an exit survey among graduating MBA students (Study 2A) and compensation-related experiences from a survey administered by an MBA alumni office (Study 2B). </w:t>
      </w:r>
      <w:r w:rsidR="00FF5D20">
        <w:t>H</w:t>
      </w:r>
      <w:r>
        <w:t xml:space="preserve">aving data from students and alumni of the same MBA program provides a unique opportunity to examine whether negotiation-related behavioral tendencies can provide explanatory insights into the gender pay gap within the same population. We </w:t>
      </w:r>
      <w:r w:rsidR="00FB677C">
        <w:t>test for</w:t>
      </w:r>
      <w:r>
        <w:t xml:space="preserve"> a gender pay gap among this elite sample to replicate findings from prior research (Lee &amp; Kray, 2021) and consider the possibility that </w:t>
      </w:r>
      <w:r>
        <w:lastRenderedPageBreak/>
        <w:t xml:space="preserve">women </w:t>
      </w:r>
      <w:r w:rsidR="0046070F">
        <w:t xml:space="preserve">in this population </w:t>
      </w:r>
      <w:r>
        <w:t>could command a pay premium due to their high levels of potential combined with the diversity goals now common in some fields of business (Leslie et al., 2017).</w:t>
      </w:r>
    </w:p>
    <w:p w14:paraId="42B47460" w14:textId="305D4C71" w:rsidR="0083448E" w:rsidRDefault="00B05B61" w:rsidP="00140558">
      <w:pPr>
        <w:spacing w:line="480" w:lineRule="auto"/>
        <w:ind w:firstLine="720"/>
      </w:pPr>
      <w:r w:rsidRPr="00B05B61">
        <w:t xml:space="preserve">Study </w:t>
      </w:r>
      <w:r w:rsidR="0083448E" w:rsidRPr="00B05B61">
        <w:t>2C</w:t>
      </w:r>
      <w:r w:rsidR="0063512F">
        <w:t xml:space="preserve"> re-analyzes data from a recent meta-analysis (Kugler et al., 2018) to understand how our findings from Studies 2A and 2B square with its conclusion that, although the size of the gender difference in negotiation propensity varies widely, women typically negotiate less than men. We focus</w:t>
      </w:r>
      <w:r w:rsidR="00EE2A45">
        <w:t xml:space="preserve"> on the self-reported initiation of salary negotiations</w:t>
      </w:r>
      <w:r w:rsidR="0063512F">
        <w:t xml:space="preserve"> </w:t>
      </w:r>
      <w:r w:rsidR="00EF1D5E">
        <w:t xml:space="preserve">and explore </w:t>
      </w:r>
      <w:r w:rsidR="0046070F">
        <w:t>gender differences</w:t>
      </w:r>
      <w:r w:rsidR="00EF1D5E">
        <w:t xml:space="preserve"> along with the dimension of time</w:t>
      </w:r>
      <w:r w:rsidR="001C6D73">
        <w:t xml:space="preserve"> (i.e., publication year)</w:t>
      </w:r>
      <w:r w:rsidR="00254C6B">
        <w:t xml:space="preserve"> because</w:t>
      </w:r>
      <w:r w:rsidR="00267188">
        <w:t xml:space="preserve"> we are </w:t>
      </w:r>
      <w:r w:rsidR="0046070F">
        <w:t xml:space="preserve">curious whether changes in </w:t>
      </w:r>
      <w:r w:rsidR="0051240F">
        <w:t xml:space="preserve">salary </w:t>
      </w:r>
      <w:r w:rsidR="0046070F">
        <w:t>negotiati</w:t>
      </w:r>
      <w:r w:rsidR="0051240F">
        <w:t>on</w:t>
      </w:r>
      <w:r w:rsidR="0046070F">
        <w:t xml:space="preserve"> propensity over time are similar or different for women and men.</w:t>
      </w:r>
      <w:r w:rsidR="00EF1D5E">
        <w:t xml:space="preserve"> </w:t>
      </w:r>
    </w:p>
    <w:p w14:paraId="3B135193" w14:textId="7D4F9E7F" w:rsidR="0048791E" w:rsidRPr="00D9571F" w:rsidRDefault="0086522A" w:rsidP="00140558">
      <w:pPr>
        <w:spacing w:line="480" w:lineRule="auto"/>
        <w:ind w:firstLine="720"/>
      </w:pPr>
      <w:r>
        <w:t>Study 3 further measures people’s</w:t>
      </w:r>
      <w:r w:rsidRPr="00D9571F">
        <w:t xml:space="preserve"> </w:t>
      </w:r>
      <w:r>
        <w:t>lay beliefs about</w:t>
      </w:r>
      <w:r w:rsidRPr="00D9571F">
        <w:t xml:space="preserve"> </w:t>
      </w:r>
      <w:r>
        <w:t xml:space="preserve">the underlying causes of the gender pay gap. This study </w:t>
      </w:r>
      <w:r w:rsidR="0051240F">
        <w:t>examines</w:t>
      </w:r>
      <w:r>
        <w:t xml:space="preserve"> negotiation-based explanations </w:t>
      </w:r>
      <w:r w:rsidR="00FD6693">
        <w:t xml:space="preserve">relative </w:t>
      </w:r>
      <w:r>
        <w:t>to</w:t>
      </w:r>
      <w:r w:rsidR="00296FA4">
        <w:t xml:space="preserve"> </w:t>
      </w:r>
      <w:r w:rsidR="00FD6693">
        <w:t xml:space="preserve">a subset of popular </w:t>
      </w:r>
      <w:r w:rsidRPr="00D9571F">
        <w:t>choice</w:t>
      </w:r>
      <w:r>
        <w:t xml:space="preserve">-based and </w:t>
      </w:r>
      <w:r w:rsidRPr="00D9571F">
        <w:t>fairness</w:t>
      </w:r>
      <w:r>
        <w:t>-based</w:t>
      </w:r>
      <w:r w:rsidRPr="00D9571F">
        <w:t xml:space="preserve"> explanations </w:t>
      </w:r>
      <w:r>
        <w:rPr>
          <w:noProof/>
        </w:rPr>
        <w:t>(Connor &amp; Fiske, 2019)</w:t>
      </w:r>
      <w:r>
        <w:t xml:space="preserve">, </w:t>
      </w:r>
      <w:r w:rsidR="00FD6693">
        <w:t xml:space="preserve">enabling us to </w:t>
      </w:r>
      <w:r>
        <w:t xml:space="preserve">quantify the </w:t>
      </w:r>
      <w:r w:rsidR="00FD6693">
        <w:t xml:space="preserve">relative </w:t>
      </w:r>
      <w:r>
        <w:t xml:space="preserve">size of the gender pay gap that educated adults attribute to women’s negotiating skills. This study also examines correlates of beliefs that “women don’t ask” by measuring gender-specific system justification (Jost &amp; Kay, 2015) and levels of </w:t>
      </w:r>
      <w:r w:rsidRPr="00D9571F">
        <w:t xml:space="preserve">support for </w:t>
      </w:r>
      <w:r>
        <w:t>legislation designed to promote pay equity</w:t>
      </w:r>
      <w:r w:rsidRPr="00D9571F">
        <w:t xml:space="preserve">. </w:t>
      </w:r>
      <w:r>
        <w:t xml:space="preserve">Finally, Study 4 experimentally induces beliefs that “women don’t ask” and </w:t>
      </w:r>
      <w:r w:rsidR="00DA433C">
        <w:t xml:space="preserve">investigates </w:t>
      </w:r>
      <w:r>
        <w:t>the consequences for system justification</w:t>
      </w:r>
      <w:r w:rsidR="00DA433C">
        <w:t xml:space="preserve">. We explore </w:t>
      </w:r>
      <w:r w:rsidR="00FD6693">
        <w:t xml:space="preserve">changes in </w:t>
      </w:r>
      <w:r w:rsidR="00DA433C">
        <w:t xml:space="preserve">the </w:t>
      </w:r>
      <w:r w:rsidR="00FD6693">
        <w:t>endorsement of</w:t>
      </w:r>
      <w:r>
        <w:t xml:space="preserve"> gender stereotypes and</w:t>
      </w:r>
      <w:r w:rsidRPr="00D9571F">
        <w:t xml:space="preserve"> </w:t>
      </w:r>
      <w:r>
        <w:t xml:space="preserve">attributions of gender income inequality </w:t>
      </w:r>
      <w:r w:rsidR="00FD6693">
        <w:t xml:space="preserve">to </w:t>
      </w:r>
      <w:r w:rsidR="0046070F">
        <w:t>choice, fairness, and negotiation-based</w:t>
      </w:r>
      <w:r w:rsidR="000652CE">
        <w:t xml:space="preserve"> explanations</w:t>
      </w:r>
      <w:r w:rsidR="00FD6693">
        <w:t xml:space="preserve"> as </w:t>
      </w:r>
      <w:r w:rsidR="005B23A1">
        <w:t>outcomes</w:t>
      </w:r>
      <w:r w:rsidR="00FD6693">
        <w:t xml:space="preserve"> of exposure to the “women don’t ask” message</w:t>
      </w:r>
      <w:r>
        <w:t xml:space="preserve">. </w:t>
      </w:r>
      <w:r w:rsidRPr="00C2220A">
        <w:t xml:space="preserve">Taken together, </w:t>
      </w:r>
      <w:r>
        <w:t>our studies</w:t>
      </w:r>
      <w:r w:rsidRPr="00C2220A">
        <w:t xml:space="preserve"> </w:t>
      </w:r>
      <w:r>
        <w:t xml:space="preserve">reveal </w:t>
      </w:r>
      <w:r w:rsidR="000652CE">
        <w:t>a mismatch between beliefs about</w:t>
      </w:r>
      <w:r w:rsidRPr="00C2220A">
        <w:t xml:space="preserve"> women</w:t>
      </w:r>
      <w:r>
        <w:t>’s</w:t>
      </w:r>
      <w:r w:rsidR="005B23A1">
        <w:t xml:space="preserve"> relative</w:t>
      </w:r>
      <w:r w:rsidRPr="00C2220A">
        <w:t xml:space="preserve"> </w:t>
      </w:r>
      <w:r w:rsidR="004A791B">
        <w:t>negotiation propensity</w:t>
      </w:r>
      <w:r>
        <w:t xml:space="preserve"> </w:t>
      </w:r>
      <w:r w:rsidR="000652CE">
        <w:t>and the actual patter</w:t>
      </w:r>
      <w:r w:rsidR="00FD6693">
        <w:t>n</w:t>
      </w:r>
      <w:r w:rsidR="005B23A1">
        <w:t xml:space="preserve"> compared to men’s</w:t>
      </w:r>
      <w:r>
        <w:t xml:space="preserve"> and document consequences of </w:t>
      </w:r>
      <w:r w:rsidR="005A199B">
        <w:t>these potentially</w:t>
      </w:r>
      <w:r>
        <w:t xml:space="preserve"> </w:t>
      </w:r>
      <w:r w:rsidR="00506550">
        <w:t>outdated belief</w:t>
      </w:r>
      <w:r>
        <w:t xml:space="preserve">s. </w:t>
      </w:r>
      <w:r w:rsidR="0048791E">
        <w:t xml:space="preserve">We pre-registered Studies 1, 3, and 4, and </w:t>
      </w:r>
      <w:r w:rsidR="001C6D73">
        <w:t>share stimulus materials</w:t>
      </w:r>
      <w:r w:rsidR="006459EE">
        <w:t xml:space="preserve"> and</w:t>
      </w:r>
      <w:r w:rsidR="0046070F">
        <w:t xml:space="preserve"> data</w:t>
      </w:r>
      <w:r w:rsidR="006459EE">
        <w:t xml:space="preserve"> </w:t>
      </w:r>
      <w:r w:rsidR="00D844D6">
        <w:t>here</w:t>
      </w:r>
      <w:r w:rsidR="009039F4">
        <w:t xml:space="preserve">: </w:t>
      </w:r>
      <w:hyperlink r:id="rId8" w:history="1">
        <w:r w:rsidR="001E035F" w:rsidRPr="0007486F">
          <w:rPr>
            <w:rStyle w:val="Hyperlink"/>
          </w:rPr>
          <w:t>https://osf.io/jmvba/</w:t>
        </w:r>
      </w:hyperlink>
      <w:r w:rsidR="001E035F">
        <w:t>.</w:t>
      </w:r>
    </w:p>
    <w:p w14:paraId="19DCC20B" w14:textId="77777777" w:rsidR="0086522A" w:rsidRDefault="0086522A" w:rsidP="00140558">
      <w:pPr>
        <w:pStyle w:val="Heading1"/>
      </w:pPr>
      <w:r>
        <w:lastRenderedPageBreak/>
        <w:t>STUDY 1</w:t>
      </w:r>
    </w:p>
    <w:p w14:paraId="450CE6CE" w14:textId="34C334AC" w:rsidR="0086522A" w:rsidRDefault="0086522A" w:rsidP="00140558">
      <w:pPr>
        <w:spacing w:line="480" w:lineRule="auto"/>
        <w:rPr>
          <w:lang w:eastAsia="ko-KR"/>
        </w:rPr>
      </w:pPr>
      <w:r>
        <w:rPr>
          <w:lang w:eastAsia="ko-KR"/>
        </w:rPr>
        <w:tab/>
        <w:t xml:space="preserve">We first examined lay beliefs about gender differences in </w:t>
      </w:r>
      <w:r w:rsidR="004A791B">
        <w:rPr>
          <w:lang w:eastAsia="ko-KR"/>
        </w:rPr>
        <w:t>negotiation propensity</w:t>
      </w:r>
      <w:r>
        <w:rPr>
          <w:lang w:eastAsia="ko-KR"/>
        </w:rPr>
        <w:t xml:space="preserve"> by asking for overall estimations, specific estimations </w:t>
      </w:r>
      <w:r w:rsidR="00D844D6">
        <w:rPr>
          <w:lang w:eastAsia="ko-KR"/>
        </w:rPr>
        <w:t>for</w:t>
      </w:r>
      <w:r>
        <w:rPr>
          <w:lang w:eastAsia="ko-KR"/>
        </w:rPr>
        <w:t xml:space="preserve"> compensation-related events in the workplace, and finally, </w:t>
      </w:r>
      <w:r w:rsidR="00D844D6">
        <w:rPr>
          <w:lang w:eastAsia="ko-KR"/>
        </w:rPr>
        <w:t xml:space="preserve">offer </w:t>
      </w:r>
      <w:r>
        <w:rPr>
          <w:lang w:eastAsia="ko-KR"/>
        </w:rPr>
        <w:t>amounts in a negotiation scenario.</w:t>
      </w:r>
      <w:r w:rsidR="00557032">
        <w:rPr>
          <w:lang w:eastAsia="ko-KR"/>
        </w:rPr>
        <w:t xml:space="preserve"> </w:t>
      </w:r>
    </w:p>
    <w:p w14:paraId="795AFB35" w14:textId="352BA60C" w:rsidR="00010560" w:rsidRPr="00BA0EBA" w:rsidRDefault="00010560" w:rsidP="00140558">
      <w:pPr>
        <w:spacing w:line="480" w:lineRule="auto"/>
        <w:rPr>
          <w:b/>
          <w:bCs/>
        </w:rPr>
      </w:pPr>
      <w:r w:rsidRPr="00BA0EBA">
        <w:rPr>
          <w:b/>
          <w:bCs/>
          <w:lang w:eastAsia="ko-KR"/>
        </w:rPr>
        <w:t>Method</w:t>
      </w:r>
    </w:p>
    <w:p w14:paraId="4C44A3AB" w14:textId="1B67F897" w:rsidR="0086522A" w:rsidRDefault="0086522A" w:rsidP="00BA0EBA">
      <w:pPr>
        <w:keepNext/>
        <w:spacing w:line="480" w:lineRule="auto"/>
        <w:ind w:firstLine="720"/>
        <w:rPr>
          <w:lang w:eastAsia="ko-KR"/>
        </w:rPr>
      </w:pPr>
      <w:r w:rsidRPr="00BA0EBA">
        <w:rPr>
          <w:b/>
          <w:bCs/>
          <w:i/>
          <w:iCs/>
          <w:lang w:eastAsia="ko-KR"/>
        </w:rPr>
        <w:t>Participants</w:t>
      </w:r>
      <w:r w:rsidR="009C2AC0" w:rsidRPr="00BA0EBA">
        <w:rPr>
          <w:b/>
          <w:bCs/>
          <w:i/>
          <w:iCs/>
          <w:lang w:eastAsia="ko-KR"/>
        </w:rPr>
        <w:t xml:space="preserve">. </w:t>
      </w:r>
      <w:r>
        <w:rPr>
          <w:lang w:eastAsia="ko-KR"/>
        </w:rPr>
        <w:t xml:space="preserve">Participants were 300 respondents from Prolific. We selected a </w:t>
      </w:r>
      <w:r w:rsidR="00C32E87">
        <w:rPr>
          <w:lang w:eastAsia="ko-KR"/>
        </w:rPr>
        <w:t>nationally representative</w:t>
      </w:r>
      <w:r>
        <w:rPr>
          <w:lang w:eastAsia="ko-KR"/>
        </w:rPr>
        <w:t xml:space="preserve"> sample</w:t>
      </w:r>
      <w:r w:rsidR="00352D05">
        <w:rPr>
          <w:lang w:eastAsia="ko-KR"/>
        </w:rPr>
        <w:t>. We</w:t>
      </w:r>
      <w:r>
        <w:rPr>
          <w:lang w:eastAsia="ko-KR"/>
        </w:rPr>
        <w:t xml:space="preserve"> excluded four people who missed a question checking for reading comprehension. The final </w:t>
      </w:r>
      <w:r w:rsidRPr="002E7FEF">
        <w:rPr>
          <w:lang w:eastAsia="ko-KR"/>
        </w:rPr>
        <w:t>sample (</w:t>
      </w:r>
      <w:r w:rsidRPr="002E7FEF">
        <w:rPr>
          <w:i/>
          <w:iCs/>
          <w:lang w:eastAsia="ko-KR"/>
        </w:rPr>
        <w:t xml:space="preserve">n </w:t>
      </w:r>
      <w:r w:rsidRPr="002E7FEF">
        <w:rPr>
          <w:lang w:eastAsia="ko-KR"/>
        </w:rPr>
        <w:t>= 29</w:t>
      </w:r>
      <w:r w:rsidR="00B96CC3">
        <w:rPr>
          <w:lang w:eastAsia="ko-KR"/>
        </w:rPr>
        <w:t>6</w:t>
      </w:r>
      <w:r w:rsidRPr="002E7FEF">
        <w:rPr>
          <w:lang w:eastAsia="ko-KR"/>
        </w:rPr>
        <w:t xml:space="preserve">) included </w:t>
      </w:r>
      <w:r>
        <w:rPr>
          <w:lang w:eastAsia="ko-KR"/>
        </w:rPr>
        <w:t>145 men, 14</w:t>
      </w:r>
      <w:r w:rsidR="00B96CC3">
        <w:rPr>
          <w:lang w:eastAsia="ko-KR"/>
        </w:rPr>
        <w:t>7</w:t>
      </w:r>
      <w:r>
        <w:rPr>
          <w:lang w:eastAsia="ko-KR"/>
        </w:rPr>
        <w:t xml:space="preserve"> women, and 4 gender non-binary people (</w:t>
      </w:r>
      <w:r>
        <w:rPr>
          <w:i/>
          <w:iCs/>
          <w:lang w:eastAsia="ko-KR"/>
        </w:rPr>
        <w:t>M</w:t>
      </w:r>
      <w:r>
        <w:rPr>
          <w:vertAlign w:val="subscript"/>
          <w:lang w:eastAsia="ko-KR"/>
        </w:rPr>
        <w:t>age</w:t>
      </w:r>
      <w:r>
        <w:rPr>
          <w:lang w:eastAsia="ko-KR"/>
        </w:rPr>
        <w:t xml:space="preserve"> = 45.7, </w:t>
      </w:r>
      <w:r w:rsidRPr="00463612">
        <w:rPr>
          <w:i/>
          <w:iCs/>
          <w:lang w:eastAsia="ko-KR"/>
        </w:rPr>
        <w:t>SD</w:t>
      </w:r>
      <w:r>
        <w:rPr>
          <w:lang w:eastAsia="ko-KR"/>
        </w:rPr>
        <w:t xml:space="preserve"> = 16.2). Participants had an average of 22.2 years of work experience (</w:t>
      </w:r>
      <w:r>
        <w:rPr>
          <w:i/>
          <w:iCs/>
          <w:lang w:eastAsia="ko-KR"/>
        </w:rPr>
        <w:t>SD</w:t>
      </w:r>
      <w:r>
        <w:rPr>
          <w:lang w:eastAsia="ko-KR"/>
        </w:rPr>
        <w:t xml:space="preserve"> = 14.5), and 67% reported </w:t>
      </w:r>
      <w:r w:rsidR="00EF2084">
        <w:rPr>
          <w:lang w:eastAsia="ko-KR"/>
        </w:rPr>
        <w:t>being</w:t>
      </w:r>
      <w:r>
        <w:rPr>
          <w:lang w:eastAsia="ko-KR"/>
        </w:rPr>
        <w:t xml:space="preserve"> currently employed. In terms of ethnicity, 11% were African American, 7% were Asian, 73% were Caucasian, 6% were Hispanic, 1% were Native American, and 2% identified with “other” categories.</w:t>
      </w:r>
    </w:p>
    <w:p w14:paraId="5A9BB0AF" w14:textId="1A717C84" w:rsidR="0086522A" w:rsidRDefault="0086522A" w:rsidP="00140558">
      <w:pPr>
        <w:spacing w:line="480" w:lineRule="auto"/>
        <w:ind w:firstLine="720"/>
        <w:rPr>
          <w:lang w:eastAsia="ko-KR"/>
        </w:rPr>
      </w:pPr>
      <w:r w:rsidRPr="00BA0EBA">
        <w:rPr>
          <w:b/>
          <w:bCs/>
          <w:i/>
          <w:iCs/>
          <w:lang w:eastAsia="ko-KR"/>
        </w:rPr>
        <w:t>Procedure</w:t>
      </w:r>
      <w:r w:rsidR="009C2AC0" w:rsidRPr="00BA0EBA">
        <w:rPr>
          <w:b/>
          <w:bCs/>
          <w:i/>
          <w:iCs/>
          <w:lang w:eastAsia="ko-KR"/>
        </w:rPr>
        <w:t xml:space="preserve">. </w:t>
      </w:r>
      <w:r>
        <w:rPr>
          <w:lang w:eastAsia="ko-KR"/>
        </w:rPr>
        <w:t>The order in which participants responded to the tasks was randomized. Participants were incentivized by a bonus payment to make accurate estimates.</w:t>
      </w:r>
      <w:r w:rsidR="00271A1D">
        <w:rPr>
          <w:lang w:eastAsia="ko-KR"/>
        </w:rPr>
        <w:t xml:space="preserve"> </w:t>
      </w:r>
      <w:r w:rsidR="00486364">
        <w:rPr>
          <w:lang w:eastAsia="ko-KR"/>
        </w:rPr>
        <w:t>B</w:t>
      </w:r>
      <w:r w:rsidR="00271A1D" w:rsidRPr="00271A1D">
        <w:rPr>
          <w:lang w:eastAsia="ko-KR"/>
        </w:rPr>
        <w:t>onus payment</w:t>
      </w:r>
      <w:r w:rsidR="00486364">
        <w:rPr>
          <w:lang w:eastAsia="ko-KR"/>
        </w:rPr>
        <w:t>s were awarded</w:t>
      </w:r>
      <w:r w:rsidR="00271A1D" w:rsidRPr="00271A1D">
        <w:rPr>
          <w:lang w:eastAsia="ko-KR"/>
        </w:rPr>
        <w:t xml:space="preserve"> for estimates that were within </w:t>
      </w:r>
      <w:r w:rsidR="00486364">
        <w:rPr>
          <w:lang w:eastAsia="ko-KR"/>
        </w:rPr>
        <w:t>five percentage points</w:t>
      </w:r>
      <w:r w:rsidR="00271A1D" w:rsidRPr="00271A1D">
        <w:rPr>
          <w:lang w:eastAsia="ko-KR"/>
        </w:rPr>
        <w:t xml:space="preserve"> of the actual figures.</w:t>
      </w:r>
      <w:r w:rsidR="00DC5A7C">
        <w:rPr>
          <w:lang w:eastAsia="ko-KR"/>
        </w:rPr>
        <w:t xml:space="preserve"> Base pay for the study was $0.65 and potential bonus pay was up to $2.80, meaning participants could earn nearly five times their base pay for </w:t>
      </w:r>
      <w:r w:rsidR="007123BD">
        <w:rPr>
          <w:lang w:eastAsia="ko-KR"/>
        </w:rPr>
        <w:t>estimating a</w:t>
      </w:r>
      <w:r w:rsidR="00DC5A7C">
        <w:rPr>
          <w:lang w:eastAsia="ko-KR"/>
        </w:rPr>
        <w:t>ccurately.</w:t>
      </w:r>
    </w:p>
    <w:p w14:paraId="21D605E4" w14:textId="6700DBF9" w:rsidR="0086522A" w:rsidRDefault="0086522A" w:rsidP="00140558">
      <w:pPr>
        <w:spacing w:line="480" w:lineRule="auto"/>
        <w:ind w:firstLine="720"/>
        <w:rPr>
          <w:lang w:eastAsia="ko-KR"/>
        </w:rPr>
      </w:pPr>
      <w:r>
        <w:rPr>
          <w:b/>
          <w:bCs/>
          <w:i/>
          <w:iCs/>
          <w:lang w:eastAsia="ko-KR"/>
        </w:rPr>
        <w:t xml:space="preserve">Negotiation propensity estimates. </w:t>
      </w:r>
      <w:r>
        <w:rPr>
          <w:lang w:eastAsia="ko-KR"/>
        </w:rPr>
        <w:t>Participants read that we had surveyed women and men in a</w:t>
      </w:r>
      <w:r w:rsidR="006459EE">
        <w:rPr>
          <w:lang w:eastAsia="ko-KR"/>
        </w:rPr>
        <w:t>n</w:t>
      </w:r>
      <w:r>
        <w:rPr>
          <w:lang w:eastAsia="ko-KR"/>
        </w:rPr>
        <w:t xml:space="preserve"> </w:t>
      </w:r>
      <w:r w:rsidR="0046070F">
        <w:rPr>
          <w:lang w:eastAsia="ko-KR"/>
        </w:rPr>
        <w:t>MBA</w:t>
      </w:r>
      <w:r>
        <w:rPr>
          <w:lang w:eastAsia="ko-KR"/>
        </w:rPr>
        <w:t xml:space="preserve"> program on whether they negotiated their job offer (actual results reported in Study 2A). Participants were asked to estimate the percentage of women and men that responded that they had negotiated their job offer. Participants were given two sliders ranging from 0 to 100, one for estimating a percentage for women and one for men. The order in which the “men” </w:t>
      </w:r>
      <w:r>
        <w:rPr>
          <w:lang w:eastAsia="ko-KR"/>
        </w:rPr>
        <w:lastRenderedPageBreak/>
        <w:t xml:space="preserve">and “women” sliders were presented was randomized. Participants were offered a bonus for each estimate within 5 points of the actual percentage (determined by percentages from Study 2A). </w:t>
      </w:r>
    </w:p>
    <w:p w14:paraId="2AACB54D" w14:textId="525DB9F4" w:rsidR="0086522A" w:rsidRDefault="0086522A" w:rsidP="00140558">
      <w:pPr>
        <w:spacing w:line="480" w:lineRule="auto"/>
        <w:rPr>
          <w:lang w:eastAsia="ko-KR"/>
        </w:rPr>
      </w:pPr>
      <w:r>
        <w:rPr>
          <w:lang w:eastAsia="ko-KR"/>
        </w:rPr>
        <w:tab/>
      </w:r>
      <w:r>
        <w:rPr>
          <w:b/>
          <w:bCs/>
          <w:i/>
          <w:iCs/>
          <w:lang w:eastAsia="ko-KR"/>
        </w:rPr>
        <w:t xml:space="preserve">Compensation-related events estimates. </w:t>
      </w:r>
      <w:r>
        <w:rPr>
          <w:lang w:eastAsia="ko-KR"/>
        </w:rPr>
        <w:t xml:space="preserve">Participants were then told that we had surveyed working adults who are alumni of an MBA program on compensation-related events during their work experiences. Participants were asked to estimate the percentage of women and men with MBAs that reported having experienced seven types of events in the workplace. </w:t>
      </w:r>
      <w:r>
        <w:t xml:space="preserve">The seven events fell into four categories drawn from Artz et al. (2018): </w:t>
      </w:r>
      <w:r w:rsidRPr="00D822BA">
        <w:rPr>
          <w:i/>
        </w:rPr>
        <w:t>positive</w:t>
      </w:r>
      <w:r>
        <w:t xml:space="preserve"> </w:t>
      </w:r>
      <w:r w:rsidRPr="00F72307">
        <w:rPr>
          <w:i/>
          <w:iCs/>
        </w:rPr>
        <w:t>outcomes from</w:t>
      </w:r>
      <w:r>
        <w:t xml:space="preserve"> </w:t>
      </w:r>
      <w:r>
        <w:rPr>
          <w:i/>
        </w:rPr>
        <w:t>asking</w:t>
      </w:r>
      <w:r w:rsidRPr="00D822BA">
        <w:rPr>
          <w:i/>
        </w:rPr>
        <w:t xml:space="preserve"> </w:t>
      </w:r>
      <w:r>
        <w:rPr>
          <w:i/>
        </w:rPr>
        <w:t>events, negative outcomes from asking</w:t>
      </w:r>
      <w:r w:rsidRPr="00CF30E4">
        <w:rPr>
          <w:i/>
        </w:rPr>
        <w:t xml:space="preserve"> </w:t>
      </w:r>
      <w:r>
        <w:rPr>
          <w:i/>
        </w:rPr>
        <w:t>events,</w:t>
      </w:r>
      <w:r>
        <w:t xml:space="preserve"> </w:t>
      </w:r>
      <w:r>
        <w:rPr>
          <w:i/>
        </w:rPr>
        <w:t>positive</w:t>
      </w:r>
      <w:r w:rsidRPr="00CF30E4">
        <w:rPr>
          <w:i/>
        </w:rPr>
        <w:t xml:space="preserve"> </w:t>
      </w:r>
      <w:r>
        <w:rPr>
          <w:i/>
        </w:rPr>
        <w:t xml:space="preserve">outcomes from </w:t>
      </w:r>
      <w:r w:rsidR="00EF2084" w:rsidRPr="00CF30E4">
        <w:rPr>
          <w:i/>
        </w:rPr>
        <w:t>no</w:t>
      </w:r>
      <w:r w:rsidR="00EF2084">
        <w:rPr>
          <w:i/>
        </w:rPr>
        <w:t>-</w:t>
      </w:r>
      <w:r w:rsidRPr="00CF30E4">
        <w:rPr>
          <w:i/>
        </w:rPr>
        <w:t>asking event</w:t>
      </w:r>
      <w:r w:rsidR="00EF2084">
        <w:rPr>
          <w:i/>
        </w:rPr>
        <w:t>s</w:t>
      </w:r>
      <w:r>
        <w:rPr>
          <w:i/>
        </w:rPr>
        <w:t xml:space="preserve">, </w:t>
      </w:r>
      <w:r>
        <w:t xml:space="preserve">and </w:t>
      </w:r>
      <w:r>
        <w:rPr>
          <w:i/>
        </w:rPr>
        <w:t>negative outcomes from no asking events</w:t>
      </w:r>
      <w:r>
        <w:t xml:space="preserve">. </w:t>
      </w:r>
      <w:r>
        <w:rPr>
          <w:lang w:eastAsia="ko-KR"/>
        </w:rPr>
        <w:t>Participants were offered a bonus for each estimate within 5 points of the actual percentage</w:t>
      </w:r>
      <w:r w:rsidR="00693BDE">
        <w:rPr>
          <w:lang w:eastAsia="ko-KR"/>
        </w:rPr>
        <w:t xml:space="preserve">. </w:t>
      </w:r>
      <w:r>
        <w:rPr>
          <w:lang w:eastAsia="ko-KR"/>
        </w:rPr>
        <w:t xml:space="preserve">Actual percentages for this measure were measured and determined using the data in Study 2B. </w:t>
      </w:r>
    </w:p>
    <w:p w14:paraId="3EB40AAA" w14:textId="77777777" w:rsidR="0086522A" w:rsidRDefault="0086522A" w:rsidP="00140558">
      <w:pPr>
        <w:keepNext/>
        <w:spacing w:line="480" w:lineRule="auto"/>
        <w:rPr>
          <w:lang w:eastAsia="ko-KR"/>
        </w:rPr>
      </w:pPr>
      <w:r>
        <w:rPr>
          <w:b/>
          <w:bCs/>
          <w:lang w:eastAsia="ko-KR"/>
        </w:rPr>
        <w:t>Results</w:t>
      </w:r>
    </w:p>
    <w:p w14:paraId="1C09DE5F" w14:textId="2703DEC3" w:rsidR="0086522A" w:rsidRPr="00E20F93" w:rsidRDefault="0086522A" w:rsidP="00140558">
      <w:pPr>
        <w:spacing w:line="480" w:lineRule="auto"/>
        <w:ind w:firstLine="720"/>
        <w:rPr>
          <w:lang w:val="en-GB" w:eastAsia="ko-KR"/>
        </w:rPr>
      </w:pPr>
      <w:r>
        <w:rPr>
          <w:b/>
          <w:bCs/>
          <w:i/>
          <w:iCs/>
          <w:lang w:eastAsia="ko-KR"/>
        </w:rPr>
        <w:t>Negotiation propensity estimates.</w:t>
      </w:r>
      <w:r>
        <w:rPr>
          <w:lang w:eastAsia="ko-KR"/>
        </w:rPr>
        <w:t xml:space="preserve"> Participants estimated that a lower percentage of women (</w:t>
      </w:r>
      <w:r>
        <w:rPr>
          <w:i/>
          <w:iCs/>
          <w:lang w:eastAsia="ko-KR"/>
        </w:rPr>
        <w:t xml:space="preserve">M </w:t>
      </w:r>
      <w:r>
        <w:rPr>
          <w:lang w:eastAsia="ko-KR"/>
        </w:rPr>
        <w:t xml:space="preserve">= </w:t>
      </w:r>
      <w:r w:rsidRPr="00166815">
        <w:rPr>
          <w:lang w:eastAsia="ko-KR"/>
        </w:rPr>
        <w:t>4</w:t>
      </w:r>
      <w:r>
        <w:rPr>
          <w:lang w:eastAsia="ko-KR"/>
        </w:rPr>
        <w:t xml:space="preserve">6.80, </w:t>
      </w:r>
      <w:r>
        <w:rPr>
          <w:i/>
          <w:iCs/>
          <w:lang w:eastAsia="ko-KR"/>
        </w:rPr>
        <w:t>SD</w:t>
      </w:r>
      <w:r>
        <w:rPr>
          <w:lang w:eastAsia="ko-KR"/>
        </w:rPr>
        <w:t xml:space="preserve"> = 21.92) than men (</w:t>
      </w:r>
      <w:r>
        <w:rPr>
          <w:i/>
          <w:iCs/>
          <w:lang w:eastAsia="ko-KR"/>
        </w:rPr>
        <w:t>M</w:t>
      </w:r>
      <w:r>
        <w:rPr>
          <w:lang w:eastAsia="ko-KR"/>
        </w:rPr>
        <w:t xml:space="preserve"> = 63.99, </w:t>
      </w:r>
      <w:r>
        <w:rPr>
          <w:i/>
          <w:iCs/>
          <w:lang w:eastAsia="ko-KR"/>
        </w:rPr>
        <w:t>SD</w:t>
      </w:r>
      <w:r>
        <w:rPr>
          <w:lang w:eastAsia="ko-KR"/>
        </w:rPr>
        <w:t xml:space="preserve"> = 20.46) negotiated their job offer, </w:t>
      </w:r>
      <w:proofErr w:type="gramStart"/>
      <w:r>
        <w:rPr>
          <w:i/>
          <w:iCs/>
          <w:lang w:eastAsia="ko-KR"/>
        </w:rPr>
        <w:t>t</w:t>
      </w:r>
      <w:r>
        <w:rPr>
          <w:lang w:eastAsia="ko-KR"/>
        </w:rPr>
        <w:t>(</w:t>
      </w:r>
      <w:proofErr w:type="gramEnd"/>
      <w:r>
        <w:rPr>
          <w:lang w:eastAsia="ko-KR"/>
        </w:rPr>
        <w:t xml:space="preserve">294) = -15.24, </w:t>
      </w:r>
      <w:r>
        <w:rPr>
          <w:i/>
          <w:iCs/>
          <w:lang w:eastAsia="ko-KR"/>
        </w:rPr>
        <w:t>p</w:t>
      </w:r>
      <w:r>
        <w:rPr>
          <w:lang w:eastAsia="ko-KR"/>
        </w:rPr>
        <w:t xml:space="preserve"> &lt; .001, </w:t>
      </w:r>
      <w:r>
        <w:rPr>
          <w:i/>
          <w:iCs/>
          <w:lang w:eastAsia="ko-KR"/>
        </w:rPr>
        <w:t>d</w:t>
      </w:r>
      <w:r>
        <w:rPr>
          <w:lang w:eastAsia="ko-KR"/>
        </w:rPr>
        <w:t xml:space="preserve"> = 0.89. </w:t>
      </w:r>
      <w:r>
        <w:t xml:space="preserve">The results indicate acceptance of the “women don’t ask” adage among a population of people </w:t>
      </w:r>
      <w:r w:rsidR="00010560">
        <w:t xml:space="preserve">representative of the U.S. adult population, suggesting this belief </w:t>
      </w:r>
      <w:r w:rsidR="008D4987">
        <w:t>is widely accepted</w:t>
      </w:r>
      <w:r w:rsidR="00010560">
        <w:t xml:space="preserve"> throughout American society</w:t>
      </w:r>
      <w:r>
        <w:t xml:space="preserve">. </w:t>
      </w:r>
    </w:p>
    <w:p w14:paraId="41A4A858" w14:textId="77777777" w:rsidR="0086522A" w:rsidRDefault="0086522A" w:rsidP="00140558">
      <w:pPr>
        <w:spacing w:line="480" w:lineRule="auto"/>
        <w:rPr>
          <w:lang w:eastAsia="ko-KR"/>
        </w:rPr>
      </w:pPr>
      <w:r>
        <w:rPr>
          <w:lang w:eastAsia="ko-KR"/>
        </w:rPr>
        <w:tab/>
      </w:r>
      <w:r>
        <w:rPr>
          <w:b/>
          <w:bCs/>
          <w:i/>
          <w:iCs/>
          <w:lang w:eastAsia="ko-KR"/>
        </w:rPr>
        <w:t>Compensation-related events estimates.</w:t>
      </w:r>
      <w:r>
        <w:rPr>
          <w:lang w:eastAsia="ko-KR"/>
        </w:rPr>
        <w:t xml:space="preserve"> Participants made different estimates for women and men for each of the event estimates. Table 1 shows means and comparison statistics. </w:t>
      </w:r>
    </w:p>
    <w:p w14:paraId="64DB1CE5" w14:textId="77777777" w:rsidR="0086522A" w:rsidRDefault="0086522A" w:rsidP="00140558">
      <w:pPr>
        <w:keepNext/>
        <w:jc w:val="center"/>
        <w:rPr>
          <w:lang w:val="en-GB" w:eastAsia="ko-KR"/>
        </w:rPr>
      </w:pPr>
      <w:r w:rsidRPr="00E20F93">
        <w:rPr>
          <w:lang w:val="en-GB" w:eastAsia="ko-KR"/>
        </w:rPr>
        <w:t>------------------------------------</w:t>
      </w:r>
    </w:p>
    <w:p w14:paraId="44F070BB" w14:textId="77777777" w:rsidR="0086522A" w:rsidRDefault="0086522A" w:rsidP="00140558">
      <w:pPr>
        <w:keepNext/>
        <w:jc w:val="center"/>
        <w:rPr>
          <w:lang w:val="en-GB" w:eastAsia="ko-KR"/>
        </w:rPr>
      </w:pPr>
      <w:r w:rsidRPr="00E20F93">
        <w:rPr>
          <w:lang w:val="en-GB" w:eastAsia="ko-KR"/>
        </w:rPr>
        <w:t xml:space="preserve">Insert Table </w:t>
      </w:r>
      <w:r>
        <w:rPr>
          <w:lang w:val="en-GB" w:eastAsia="ko-KR"/>
        </w:rPr>
        <w:t>1</w:t>
      </w:r>
      <w:r w:rsidRPr="00E20F93">
        <w:rPr>
          <w:lang w:val="en-GB" w:eastAsia="ko-KR"/>
        </w:rPr>
        <w:t xml:space="preserve"> about here</w:t>
      </w:r>
    </w:p>
    <w:p w14:paraId="57219338" w14:textId="77777777" w:rsidR="0086522A" w:rsidRPr="00E20F93" w:rsidRDefault="0086522A" w:rsidP="00140558">
      <w:pPr>
        <w:spacing w:line="480" w:lineRule="auto"/>
        <w:jc w:val="center"/>
        <w:rPr>
          <w:lang w:val="en-GB" w:eastAsia="ko-KR"/>
        </w:rPr>
      </w:pPr>
      <w:r w:rsidRPr="00E20F93">
        <w:rPr>
          <w:lang w:val="en-GB" w:eastAsia="ko-KR"/>
        </w:rPr>
        <w:t>------------------------------------</w:t>
      </w:r>
    </w:p>
    <w:p w14:paraId="3E19AAA7" w14:textId="0FA38037" w:rsidR="0086522A" w:rsidRPr="00C160BA" w:rsidRDefault="0086522A" w:rsidP="00140558">
      <w:pPr>
        <w:spacing w:line="480" w:lineRule="auto"/>
        <w:ind w:firstLine="720"/>
      </w:pPr>
      <w:r>
        <w:rPr>
          <w:lang w:eastAsia="ko-KR"/>
        </w:rPr>
        <w:t xml:space="preserve">Participants estimated that a greater percentage of women than men reported having negative </w:t>
      </w:r>
      <w:r w:rsidR="00EF2084">
        <w:rPr>
          <w:lang w:eastAsia="ko-KR"/>
        </w:rPr>
        <w:t>no-</w:t>
      </w:r>
      <w:r>
        <w:rPr>
          <w:lang w:eastAsia="ko-KR"/>
        </w:rPr>
        <w:t xml:space="preserve">asking events (e.g., women not asking). Participants estimated that more women </w:t>
      </w:r>
      <w:r>
        <w:rPr>
          <w:lang w:eastAsia="ko-KR"/>
        </w:rPr>
        <w:lastRenderedPageBreak/>
        <w:t xml:space="preserve">than men reported never attempting to negotiate for better compensation. Estimates of never attempting to attain a promotion were similar, with more women estimated to not attempt than men. </w:t>
      </w:r>
    </w:p>
    <w:p w14:paraId="79B4A44D" w14:textId="061C562F" w:rsidR="0086522A" w:rsidRDefault="0086522A" w:rsidP="00140558">
      <w:pPr>
        <w:spacing w:line="480" w:lineRule="auto"/>
        <w:ind w:firstLine="720"/>
      </w:pPr>
      <w:r>
        <w:t>Interestingly, l</w:t>
      </w:r>
      <w:r>
        <w:rPr>
          <w:lang w:eastAsia="ko-KR"/>
        </w:rPr>
        <w:t xml:space="preserve">ay beliefs have a complexity: in addition to the belief that women are not asking as much as men, participants also estimated that even in the cases where women do ask, they face less success and more failure. People held a baseline expectation of more positive treatment of men than women. Participants estimated that fewer women than men </w:t>
      </w:r>
      <w:r w:rsidRPr="009547E0">
        <w:rPr>
          <w:lang w:eastAsia="ko-KR"/>
        </w:rPr>
        <w:t>reported</w:t>
      </w:r>
      <w:r>
        <w:rPr>
          <w:lang w:eastAsia="ko-KR"/>
        </w:rPr>
        <w:t xml:space="preserve"> having successfully negotiated for better compensation. Participants also estimated that more women than men reported being unsuccessful at negotiating for better compensation. A nearly identical pattern emerged for promotions, with fewer women than men expected to have successfully negotiated for a promotion. Participants also estimated that more women than men reported being unsuccessful at negotiating for a promotion. Finally, more men were thought to receive better compensation without asking for it than women. </w:t>
      </w:r>
    </w:p>
    <w:p w14:paraId="221023CC" w14:textId="77777777" w:rsidR="0086522A" w:rsidRDefault="0086522A" w:rsidP="00140558">
      <w:pPr>
        <w:keepNext/>
        <w:spacing w:line="480" w:lineRule="auto"/>
        <w:rPr>
          <w:b/>
          <w:bCs/>
          <w:lang w:eastAsia="ko-KR"/>
        </w:rPr>
      </w:pPr>
      <w:r w:rsidRPr="002F115C">
        <w:rPr>
          <w:b/>
          <w:bCs/>
          <w:lang w:eastAsia="ko-KR"/>
        </w:rPr>
        <w:t>Discussion</w:t>
      </w:r>
    </w:p>
    <w:p w14:paraId="603A0C78" w14:textId="0A107B42" w:rsidR="0086522A" w:rsidRDefault="0086522A" w:rsidP="00140558">
      <w:pPr>
        <w:spacing w:line="480" w:lineRule="auto"/>
        <w:ind w:firstLine="720"/>
      </w:pPr>
      <w:r>
        <w:t>Study 1</w:t>
      </w:r>
      <w:r w:rsidRPr="00D9571F">
        <w:t xml:space="preserve"> </w:t>
      </w:r>
      <w:r w:rsidR="00CF2C28">
        <w:t>measures</w:t>
      </w:r>
      <w:r>
        <w:t xml:space="preserve"> lay beliefs regarding a gender difference in </w:t>
      </w:r>
      <w:r w:rsidR="004A791B">
        <w:t>negotiation propensity</w:t>
      </w:r>
      <w:r w:rsidRPr="00D9571F">
        <w:t xml:space="preserve">. </w:t>
      </w:r>
      <w:r>
        <w:t xml:space="preserve">People believe that “women don’t ask” – that is, they negotiate their salaries less often than men and they are more likely than men to have never negotiated their compensation. </w:t>
      </w:r>
      <w:r>
        <w:rPr>
          <w:lang w:eastAsia="ko-KR"/>
        </w:rPr>
        <w:t xml:space="preserve">The </w:t>
      </w:r>
      <w:r w:rsidR="00EF3B68">
        <w:rPr>
          <w:lang w:eastAsia="ko-KR"/>
        </w:rPr>
        <w:t xml:space="preserve">estimates of </w:t>
      </w:r>
      <w:r>
        <w:rPr>
          <w:lang w:eastAsia="ko-KR"/>
        </w:rPr>
        <w:t xml:space="preserve">compensation-related events indicate additional nuance; people not only estimate that fewer women successfully negotiated for better compensation and promotions than men, but also estimate that women face less success and more failure when they do ask. Men, in contrast, are estimated as more likely to receive better compensation without even asking for it. The results reflect two types of lay beliefs: Women are understood to approach promotions and compensation differently than men (i.e., by not asking), and people are understood to react </w:t>
      </w:r>
      <w:r>
        <w:rPr>
          <w:lang w:eastAsia="ko-KR"/>
        </w:rPr>
        <w:lastRenderedPageBreak/>
        <w:t xml:space="preserve">differently to men and women both when they ask and when they don’t. In the next set of studies, we examine whether “women don’t ask” reflects </w:t>
      </w:r>
      <w:r w:rsidR="008D4987">
        <w:rPr>
          <w:lang w:eastAsia="ko-KR"/>
        </w:rPr>
        <w:t xml:space="preserve">recent trends among </w:t>
      </w:r>
      <w:r w:rsidR="006459EE">
        <w:rPr>
          <w:lang w:eastAsia="ko-KR"/>
        </w:rPr>
        <w:t>MBA and working adult populations</w:t>
      </w:r>
      <w:r>
        <w:rPr>
          <w:lang w:eastAsia="ko-KR"/>
        </w:rPr>
        <w:t>.</w:t>
      </w:r>
      <w:r>
        <w:t xml:space="preserve"> We also explored how often men and women experience the compensation-related events estimated here.</w:t>
      </w:r>
    </w:p>
    <w:p w14:paraId="2DFD3CC0" w14:textId="77777777" w:rsidR="0086522A" w:rsidRPr="00D9571F" w:rsidRDefault="0086522A" w:rsidP="00140558">
      <w:pPr>
        <w:pStyle w:val="Heading1"/>
      </w:pPr>
      <w:r>
        <w:t>STUDY</w:t>
      </w:r>
      <w:r w:rsidRPr="00D9571F">
        <w:t xml:space="preserve"> </w:t>
      </w:r>
      <w:r>
        <w:t>2</w:t>
      </w:r>
      <w:r w:rsidRPr="00D9571F">
        <w:t>A</w:t>
      </w:r>
    </w:p>
    <w:p w14:paraId="015C8564" w14:textId="77777777" w:rsidR="001D5062" w:rsidRDefault="0086522A" w:rsidP="001D5062">
      <w:pPr>
        <w:spacing w:line="480" w:lineRule="auto"/>
      </w:pPr>
      <w:r w:rsidRPr="00D9571F">
        <w:tab/>
      </w:r>
      <w:r>
        <w:t>Study 2A examined the actual negotiation propensity of women and men who hold MBAs. Negotiating is a critical skill within this population and a large pay gap emerges within it, increasing over time (Bertrand et al., 2010; Lee &amp; Kray, 2021), making it an interesting context in which to test for gender differences in negotiation propensity. Specifically, w</w:t>
      </w:r>
      <w:r w:rsidRPr="00D9571F">
        <w:t xml:space="preserve">e </w:t>
      </w:r>
      <w:r>
        <w:t>analyzed</w:t>
      </w:r>
      <w:r w:rsidRPr="00D9571F">
        <w:t xml:space="preserve"> archival data from a</w:t>
      </w:r>
      <w:r>
        <w:t>n exit</w:t>
      </w:r>
      <w:r w:rsidRPr="00D9571F">
        <w:t xml:space="preserve"> survey conducted </w:t>
      </w:r>
      <w:r>
        <w:t xml:space="preserve">by a career management office </w:t>
      </w:r>
      <w:r w:rsidRPr="00D9571F">
        <w:t>with</w:t>
      </w:r>
      <w:r>
        <w:t xml:space="preserve"> graduating</w:t>
      </w:r>
      <w:r w:rsidRPr="00D9571F">
        <w:t xml:space="preserve"> </w:t>
      </w:r>
      <w:r>
        <w:t xml:space="preserve">MBA </w:t>
      </w:r>
      <w:r w:rsidRPr="00D9571F">
        <w:t xml:space="preserve">students </w:t>
      </w:r>
      <w:r>
        <w:t>on whether they negotiated their job offers for their first jobs out of the MBA program</w:t>
      </w:r>
      <w:r w:rsidRPr="00D9571F">
        <w:t xml:space="preserve">. </w:t>
      </w:r>
    </w:p>
    <w:p w14:paraId="29D347AB" w14:textId="77777777" w:rsidR="00123A60" w:rsidRDefault="00BE2A10" w:rsidP="00123A60">
      <w:pPr>
        <w:spacing w:line="480" w:lineRule="auto"/>
        <w:rPr>
          <w:b/>
        </w:rPr>
      </w:pPr>
      <w:r w:rsidRPr="001D5062">
        <w:rPr>
          <w:b/>
        </w:rPr>
        <w:t>Method</w:t>
      </w:r>
    </w:p>
    <w:p w14:paraId="6F3E3962" w14:textId="5890106F" w:rsidR="0086522A" w:rsidRPr="00123A60" w:rsidRDefault="0086522A" w:rsidP="00123A60">
      <w:pPr>
        <w:spacing w:line="480" w:lineRule="auto"/>
        <w:ind w:firstLine="720"/>
        <w:rPr>
          <w:b/>
        </w:rPr>
      </w:pPr>
      <w:r w:rsidRPr="00123A60">
        <w:rPr>
          <w:i/>
        </w:rPr>
        <w:t>Participants</w:t>
      </w:r>
      <w:r w:rsidR="00BE2A10">
        <w:t xml:space="preserve">. </w:t>
      </w:r>
      <w:r w:rsidRPr="00BA0EBA">
        <w:t xml:space="preserve">Participants included </w:t>
      </w:r>
      <w:r w:rsidR="00053ADA" w:rsidRPr="00123A60">
        <w:rPr>
          <w:i/>
        </w:rPr>
        <w:t>n</w:t>
      </w:r>
      <w:r w:rsidR="00053ADA" w:rsidRPr="00BA0EBA">
        <w:t xml:space="preserve"> = </w:t>
      </w:r>
      <w:r w:rsidRPr="00BA0EBA">
        <w:t>990 MBA students (</w:t>
      </w:r>
      <w:r w:rsidR="00053ADA" w:rsidRPr="00BA0EBA">
        <w:t>596 men and 394 women</w:t>
      </w:r>
      <w:r w:rsidRPr="00BA0EBA">
        <w:t xml:space="preserve">) </w:t>
      </w:r>
      <w:r w:rsidR="00053ADA" w:rsidRPr="00BA0EBA">
        <w:t xml:space="preserve">in their final year </w:t>
      </w:r>
      <w:r w:rsidRPr="00BA0EBA">
        <w:t>graduating between the years of 2015 and 2019. This represents 79% of the graduating classes. We were not privy to any other demographic information of the respondents, but materials on this MBA program’s website state that MBA classes are 40% women, 29% US minority students, and 39% international students</w:t>
      </w:r>
      <w:r w:rsidR="00693BDE" w:rsidRPr="00BA0EBA">
        <w:t>.</w:t>
      </w:r>
      <w:r w:rsidR="00693BDE">
        <w:t xml:space="preserve"> </w:t>
      </w:r>
    </w:p>
    <w:p w14:paraId="5DD69395" w14:textId="06C72E42" w:rsidR="0086522A" w:rsidRPr="00BE2A10" w:rsidRDefault="0086522A" w:rsidP="00BA0EBA">
      <w:pPr>
        <w:pStyle w:val="Heading3"/>
        <w:ind w:firstLine="720"/>
      </w:pPr>
      <w:r w:rsidRPr="00BA0EBA">
        <w:rPr>
          <w:b w:val="0"/>
          <w:bCs w:val="0"/>
        </w:rPr>
        <w:t>Procedure</w:t>
      </w:r>
      <w:r w:rsidR="00BE2A10" w:rsidRPr="00BA0EBA">
        <w:rPr>
          <w:b w:val="0"/>
          <w:bCs w:val="0"/>
        </w:rPr>
        <w:t xml:space="preserve">. </w:t>
      </w:r>
      <w:r w:rsidRPr="00BE2A10">
        <w:rPr>
          <w:b w:val="0"/>
          <w:bCs w:val="0"/>
          <w:i w:val="0"/>
          <w:iCs w:val="0"/>
        </w:rPr>
        <w:t xml:space="preserve">Graduating students were asked to share information regarding their job search process and outcomes in a general exit survey conducted by the career management office. The question of interest to our research was a question asking students, “Did you </w:t>
      </w:r>
      <w:r w:rsidRPr="00BE2A10">
        <w:rPr>
          <w:b w:val="0"/>
          <w:bCs w:val="0"/>
          <w:i w:val="0"/>
          <w:iCs w:val="0"/>
        </w:rPr>
        <w:lastRenderedPageBreak/>
        <w:t xml:space="preserve">negotiate your offer?” referring to the offer they received for the job they accepted upon graduation. Students responded using a binary choice response with either “Yes” or “No.” </w:t>
      </w:r>
    </w:p>
    <w:p w14:paraId="0BE8AD2C" w14:textId="77777777" w:rsidR="0086522A" w:rsidRPr="0005578F" w:rsidRDefault="0086522A" w:rsidP="00140558">
      <w:pPr>
        <w:pStyle w:val="Heading2"/>
        <w:keepNext w:val="0"/>
        <w:widowControl w:val="0"/>
      </w:pPr>
      <w:r w:rsidRPr="00D9571F">
        <w:t xml:space="preserve">Results </w:t>
      </w:r>
      <w:r>
        <w:t>and Discussion</w:t>
      </w:r>
    </w:p>
    <w:p w14:paraId="784835FD" w14:textId="265C80B5" w:rsidR="0086522A" w:rsidRDefault="0086522A" w:rsidP="00140558">
      <w:pPr>
        <w:spacing w:line="480" w:lineRule="auto"/>
        <w:ind w:firstLine="720"/>
      </w:pPr>
      <w:r>
        <w:t>The</w:t>
      </w:r>
      <w:r w:rsidRPr="00D9571F">
        <w:t xml:space="preserve"> percentage of women who reported that they negotiated their offer (54%) was greater than that of men (4</w:t>
      </w:r>
      <w:r>
        <w:t>4</w:t>
      </w:r>
      <w:r w:rsidRPr="00D9571F">
        <w:t xml:space="preserve">%), </w:t>
      </w:r>
      <w:r w:rsidRPr="006A4BBF">
        <w:sym w:font="Symbol" w:char="F063"/>
      </w:r>
      <w:r w:rsidRPr="006A4BBF">
        <w:rPr>
          <w:vertAlign w:val="superscript"/>
        </w:rPr>
        <w:t>2</w:t>
      </w:r>
      <w:r w:rsidRPr="00D9571F" w:rsidDel="00A746AE">
        <w:rPr>
          <w:i/>
          <w:iCs/>
        </w:rPr>
        <w:t xml:space="preserve"> </w:t>
      </w:r>
      <w:r w:rsidRPr="00D9571F">
        <w:t xml:space="preserve">(1) = 11.21, </w:t>
      </w:r>
      <w:r w:rsidRPr="00D9571F">
        <w:rPr>
          <w:i/>
          <w:iCs/>
        </w:rPr>
        <w:t>p</w:t>
      </w:r>
      <w:r w:rsidRPr="00D9571F">
        <w:t xml:space="preserve"> = .001. </w:t>
      </w:r>
      <w:r>
        <w:t xml:space="preserve">These results are inconsistent with the notion that </w:t>
      </w:r>
      <w:r w:rsidR="008D4987">
        <w:t>“</w:t>
      </w:r>
      <w:r>
        <w:t xml:space="preserve">women </w:t>
      </w:r>
      <w:r w:rsidR="008D4987">
        <w:t>don’t</w:t>
      </w:r>
      <w:r>
        <w:t xml:space="preserve"> </w:t>
      </w:r>
      <w:r w:rsidR="008D4987">
        <w:t>ask”</w:t>
      </w:r>
      <w:r w:rsidRPr="00D9571F">
        <w:t xml:space="preserve"> </w:t>
      </w:r>
      <w:r>
        <w:t>as, in this sample,</w:t>
      </w:r>
      <w:r w:rsidRPr="00D9571F">
        <w:t xml:space="preserve"> women </w:t>
      </w:r>
      <w:r>
        <w:t>negotiated at an</w:t>
      </w:r>
      <w:r w:rsidRPr="00D9571F">
        <w:t xml:space="preserve"> even higher rate</w:t>
      </w:r>
      <w:r>
        <w:t xml:space="preserve"> than </w:t>
      </w:r>
      <w:r w:rsidRPr="00D9571F">
        <w:t>men</w:t>
      </w:r>
      <w:r>
        <w:t xml:space="preserve">, a </w:t>
      </w:r>
      <w:r w:rsidR="008D4987">
        <w:t>pattern</w:t>
      </w:r>
      <w:r>
        <w:t xml:space="preserve"> that cannot be explained by existing theory</w:t>
      </w:r>
      <w:r w:rsidRPr="00D9571F">
        <w:t xml:space="preserve">. </w:t>
      </w:r>
      <w:r>
        <w:t xml:space="preserve">Figure 1 compares the difference in men’s and women’s actual </w:t>
      </w:r>
      <w:r w:rsidR="004A791B">
        <w:t>negotiation propensity</w:t>
      </w:r>
      <w:r>
        <w:t xml:space="preserve"> in Study 2A with participants’ estimations from Study 1. In the actual data, a greater percentage of women than men reported negotiating their job offers. </w:t>
      </w:r>
    </w:p>
    <w:p w14:paraId="054C3648" w14:textId="77777777" w:rsidR="0086522A" w:rsidRDefault="0086522A" w:rsidP="00140558">
      <w:pPr>
        <w:keepNext/>
        <w:jc w:val="center"/>
        <w:rPr>
          <w:lang w:val="en-GB" w:eastAsia="ko-KR"/>
        </w:rPr>
      </w:pPr>
      <w:r w:rsidRPr="00E20F93">
        <w:rPr>
          <w:lang w:val="en-GB" w:eastAsia="ko-KR"/>
        </w:rPr>
        <w:t>------------------------------------</w:t>
      </w:r>
    </w:p>
    <w:p w14:paraId="57CB15F0" w14:textId="77777777" w:rsidR="0086522A" w:rsidRDefault="0086522A" w:rsidP="00140558">
      <w:pPr>
        <w:keepNext/>
        <w:jc w:val="center"/>
        <w:rPr>
          <w:lang w:val="en-GB" w:eastAsia="ko-KR"/>
        </w:rPr>
      </w:pPr>
      <w:r w:rsidRPr="00E20F93">
        <w:rPr>
          <w:lang w:val="en-GB" w:eastAsia="ko-KR"/>
        </w:rPr>
        <w:t xml:space="preserve">Insert </w:t>
      </w:r>
      <w:r>
        <w:rPr>
          <w:lang w:val="en-GB" w:eastAsia="ko-KR"/>
        </w:rPr>
        <w:t>Figure 1</w:t>
      </w:r>
      <w:r w:rsidRPr="00E20F93">
        <w:rPr>
          <w:lang w:val="en-GB" w:eastAsia="ko-KR"/>
        </w:rPr>
        <w:t xml:space="preserve"> about here</w:t>
      </w:r>
    </w:p>
    <w:p w14:paraId="2515715B" w14:textId="77777777" w:rsidR="0086522A" w:rsidRPr="00E20F93" w:rsidRDefault="0086522A" w:rsidP="00140558">
      <w:pPr>
        <w:spacing w:line="480" w:lineRule="auto"/>
        <w:jc w:val="center"/>
        <w:rPr>
          <w:lang w:val="en-GB" w:eastAsia="ko-KR"/>
        </w:rPr>
      </w:pPr>
      <w:r w:rsidRPr="00E20F93">
        <w:rPr>
          <w:lang w:val="en-GB" w:eastAsia="ko-KR"/>
        </w:rPr>
        <w:t>------------------------------------</w:t>
      </w:r>
    </w:p>
    <w:p w14:paraId="42AA6961" w14:textId="4CBCFFE7" w:rsidR="0086522A" w:rsidRPr="00B86FF0" w:rsidRDefault="0086522A" w:rsidP="00140558">
      <w:pPr>
        <w:widowControl w:val="0"/>
        <w:spacing w:line="480" w:lineRule="auto"/>
        <w:ind w:firstLine="720"/>
      </w:pPr>
      <w:r w:rsidRPr="00B86FF0">
        <w:t xml:space="preserve">We also examined whether negotiating tendencies increased over the </w:t>
      </w:r>
      <w:r w:rsidR="00EF2084">
        <w:t>five years</w:t>
      </w:r>
      <w:r w:rsidRPr="00B86FF0">
        <w:t xml:space="preserve"> in which the data were collected</w:t>
      </w:r>
      <w:r w:rsidR="00693BDE">
        <w:t xml:space="preserve">. </w:t>
      </w:r>
      <w:r>
        <w:t>However</w:t>
      </w:r>
      <w:r w:rsidRPr="00B86FF0">
        <w:t>,</w:t>
      </w:r>
      <w:r>
        <w:t xml:space="preserve"> </w:t>
      </w:r>
      <w:r w:rsidRPr="00B86FF0">
        <w:t>we did not find evidence to support this possibility</w:t>
      </w:r>
      <w:r w:rsidR="00B04763">
        <w:t xml:space="preserve"> between 2015 and 2019</w:t>
      </w:r>
      <w:r w:rsidRPr="00B86FF0">
        <w:t xml:space="preserve">, </w:t>
      </w:r>
      <w:r w:rsidRPr="002E2A84">
        <w:rPr>
          <w:i/>
          <w:iCs/>
        </w:rPr>
        <w:sym w:font="Symbol" w:char="F063"/>
      </w:r>
      <w:r w:rsidRPr="00B86FF0">
        <w:rPr>
          <w:vertAlign w:val="superscript"/>
        </w:rPr>
        <w:t xml:space="preserve">2 </w:t>
      </w:r>
      <w:r w:rsidRPr="00B86FF0">
        <w:t xml:space="preserve">(1) = 2.88, </w:t>
      </w:r>
      <w:r w:rsidRPr="00B86FF0">
        <w:rPr>
          <w:i/>
          <w:iCs/>
        </w:rPr>
        <w:t>p</w:t>
      </w:r>
      <w:r w:rsidRPr="00B86FF0">
        <w:t xml:space="preserve"> = .58. </w:t>
      </w:r>
    </w:p>
    <w:p w14:paraId="1E99865B" w14:textId="4DCE6FC6" w:rsidR="0086522A" w:rsidRPr="0075049F" w:rsidRDefault="0086522A" w:rsidP="00140558">
      <w:pPr>
        <w:widowControl w:val="0"/>
        <w:spacing w:line="480" w:lineRule="auto"/>
        <w:ind w:firstLine="720"/>
      </w:pPr>
      <w:r>
        <w:t xml:space="preserve">The results of Study 2A suggest that contrary to existing theory and the gender similarities hypothesis (Hyde, 2014), women in this MBA program exhibit a greater </w:t>
      </w:r>
      <w:r w:rsidR="004A791B">
        <w:t>negotiation propensity</w:t>
      </w:r>
      <w:r>
        <w:t xml:space="preserve"> than their male counterparts when </w:t>
      </w:r>
      <w:r w:rsidR="000540F6">
        <w:t>seeking</w:t>
      </w:r>
      <w:r>
        <w:t xml:space="preserve"> their first job after their MBA graduation. If their negotiating propensities are greater than men’s, then the data cast doubt on the ability of women’s negotiation propensities to explain gender differences in pay that typically exist in this population (Bertrand et al., 2010; Lee &amp; Kray, 2021). Our findings could </w:t>
      </w:r>
      <w:r w:rsidR="00EF2084">
        <w:t>explain</w:t>
      </w:r>
      <w:r>
        <w:t xml:space="preserve"> the results of Leslie et al. (2017), where high-potential women were paid more than men in some industries and when diversity goals were active. </w:t>
      </w:r>
      <w:r w:rsidR="00544444">
        <w:t xml:space="preserve">Perhaps those women are negotiating their offers more </w:t>
      </w:r>
      <w:r w:rsidR="00544444">
        <w:lastRenderedPageBreak/>
        <w:t xml:space="preserve">frequently. </w:t>
      </w:r>
      <w:r>
        <w:t>In the following study, we tested more directly whether negotiating behavior was a viable explanation for the gender pay gap in this MBA population.</w:t>
      </w:r>
    </w:p>
    <w:p w14:paraId="02C41BEB" w14:textId="77777777" w:rsidR="0086522A" w:rsidRPr="00D9571F" w:rsidRDefault="0086522A" w:rsidP="00140558">
      <w:pPr>
        <w:pStyle w:val="Heading1"/>
      </w:pPr>
      <w:r>
        <w:t>STUDY</w:t>
      </w:r>
      <w:r w:rsidRPr="00D9571F">
        <w:t xml:space="preserve"> </w:t>
      </w:r>
      <w:r>
        <w:t>2B</w:t>
      </w:r>
    </w:p>
    <w:p w14:paraId="6AEAF9FB" w14:textId="0CDA1735" w:rsidR="001D5062" w:rsidRDefault="0086522A" w:rsidP="001D5062">
      <w:pPr>
        <w:spacing w:line="480" w:lineRule="auto"/>
      </w:pPr>
      <w:r w:rsidRPr="00D9571F">
        <w:tab/>
      </w:r>
      <w:r>
        <w:t xml:space="preserve">Study 2B </w:t>
      </w:r>
      <w:r w:rsidRPr="00D9571F">
        <w:t xml:space="preserve">took advantage of </w:t>
      </w:r>
      <w:r>
        <w:t xml:space="preserve">a data collection </w:t>
      </w:r>
      <w:r w:rsidRPr="00D9571F">
        <w:t xml:space="preserve">opportunity </w:t>
      </w:r>
      <w:r>
        <w:t>through the MBA Alumni Office from the same business school as in Study 2</w:t>
      </w:r>
      <w:r w:rsidR="00C10797">
        <w:t>A</w:t>
      </w:r>
      <w:r>
        <w:t xml:space="preserve">. We measured both compensation and the occurrence of events affecting compensation, such as negotiating for higher compensation or asking for a promotion to examine whether gender differences in these behaviors could explain the gender pay gap. This alumni office conducts a “compensation survey” every few years to gather data on the outcomes of their graduates. For their 2019 collection, the alumni office included a multi-pronged question borrowed from </w:t>
      </w:r>
      <w:r>
        <w:rPr>
          <w:noProof/>
        </w:rPr>
        <w:t>Artz et al. (2018)</w:t>
      </w:r>
      <w:r>
        <w:t xml:space="preserve"> on compensation-related events, along with a broader collection of compensation and job characteristics data. These data allowed us to examine the relation between these events and earned compensation.</w:t>
      </w:r>
      <w:r w:rsidRPr="00D9571F">
        <w:t xml:space="preserve"> </w:t>
      </w:r>
      <w:r>
        <w:t>In this way, we could examine whether gender income inequality exists in this population and, if so, whether it corresponds with a pay gap favoring men as previously documented among MBA</w:t>
      </w:r>
      <w:r w:rsidR="00EF2084">
        <w:t xml:space="preserve"> </w:t>
      </w:r>
      <w:r>
        <w:t>program graduates (Bertrand et al., 2010; Lee &amp; Kray, 2021) or with a pay gap favoring women as documented among the highest-potential employees in some industries (Leslie et al., 2017). More importantly, the data allowed us to test whether the pay gap can be explained by women’s lesser tendencies to negotiate, as past research has suggested.</w:t>
      </w:r>
    </w:p>
    <w:p w14:paraId="7E26C6FB" w14:textId="77777777" w:rsidR="00123A60" w:rsidRDefault="009E66D3" w:rsidP="00123A60">
      <w:pPr>
        <w:spacing w:line="480" w:lineRule="auto"/>
        <w:rPr>
          <w:b/>
        </w:rPr>
      </w:pPr>
      <w:r w:rsidRPr="001D5062">
        <w:rPr>
          <w:b/>
        </w:rPr>
        <w:t>Method</w:t>
      </w:r>
    </w:p>
    <w:p w14:paraId="3579308B" w14:textId="3754837F" w:rsidR="0086522A" w:rsidRPr="00123A60" w:rsidRDefault="0086522A" w:rsidP="00123A60">
      <w:pPr>
        <w:spacing w:line="480" w:lineRule="auto"/>
        <w:ind w:firstLine="720"/>
        <w:rPr>
          <w:b/>
        </w:rPr>
      </w:pPr>
      <w:r w:rsidRPr="00123A60">
        <w:rPr>
          <w:i/>
        </w:rPr>
        <w:t>Participants</w:t>
      </w:r>
      <w:r w:rsidR="009E66D3" w:rsidRPr="00BA0EBA">
        <w:t xml:space="preserve">. </w:t>
      </w:r>
      <w:r w:rsidRPr="00D43C77">
        <w:t xml:space="preserve">In total, </w:t>
      </w:r>
      <w:r w:rsidR="006742AE" w:rsidRPr="00D43C77">
        <w:t>2</w:t>
      </w:r>
      <w:r w:rsidR="006F2AAB" w:rsidRPr="00D43C77">
        <w:t>,</w:t>
      </w:r>
      <w:r w:rsidR="006742AE" w:rsidRPr="00D43C77">
        <w:t>191</w:t>
      </w:r>
      <w:r w:rsidRPr="00D43C77">
        <w:t xml:space="preserve"> MBA graduates (71% male, 28% female, 1% declined to state, 1</w:t>
      </w:r>
      <w:r w:rsidR="00EF2084">
        <w:t>%</w:t>
      </w:r>
      <w:r w:rsidRPr="00D43C77">
        <w:t xml:space="preserve"> non-binary) completed the survey.</w:t>
      </w:r>
      <w:r w:rsidRPr="00D43C77">
        <w:rPr>
          <w:rStyle w:val="FootnoteReference"/>
        </w:rPr>
        <w:footnoteReference w:id="2"/>
      </w:r>
      <w:r w:rsidRPr="00D43C77">
        <w:t xml:space="preserve"> Due to our interest in comparing male and female </w:t>
      </w:r>
      <w:r w:rsidRPr="00D43C77">
        <w:lastRenderedPageBreak/>
        <w:t>respondents, and since some participants did not respond to all the survey questions, the sample size in our analyses included data from 1,939 (72% male, 28% female) respondents.</w:t>
      </w:r>
    </w:p>
    <w:p w14:paraId="39594B15" w14:textId="1033E330" w:rsidR="0086522A" w:rsidRPr="00D43C77" w:rsidRDefault="0086522A" w:rsidP="00BA0EBA">
      <w:pPr>
        <w:pStyle w:val="Heading3"/>
        <w:ind w:firstLine="720"/>
      </w:pPr>
      <w:r w:rsidRPr="00BA0EBA">
        <w:rPr>
          <w:b w:val="0"/>
          <w:bCs w:val="0"/>
        </w:rPr>
        <w:t>Procedure</w:t>
      </w:r>
      <w:r w:rsidR="009E66D3" w:rsidRPr="00BA0EBA">
        <w:rPr>
          <w:b w:val="0"/>
          <w:bCs w:val="0"/>
        </w:rPr>
        <w:t xml:space="preserve">. </w:t>
      </w:r>
      <w:r w:rsidRPr="00D43C77">
        <w:rPr>
          <w:b w:val="0"/>
          <w:bCs w:val="0"/>
          <w:i w:val="0"/>
          <w:iCs w:val="0"/>
        </w:rPr>
        <w:t xml:space="preserve">An online survey was sent to alumni through the alumni relations office </w:t>
      </w:r>
      <w:r w:rsidR="00EF2084">
        <w:rPr>
          <w:b w:val="0"/>
          <w:bCs w:val="0"/>
          <w:i w:val="0"/>
          <w:iCs w:val="0"/>
        </w:rPr>
        <w:t>to assess</w:t>
      </w:r>
      <w:r w:rsidRPr="00D43C77">
        <w:rPr>
          <w:b w:val="0"/>
          <w:bCs w:val="0"/>
          <w:i w:val="0"/>
          <w:iCs w:val="0"/>
        </w:rPr>
        <w:t xml:space="preserve"> compensation levels of graduates along their career trajectories. The survey was</w:t>
      </w:r>
      <w:r w:rsidRPr="00D43C77">
        <w:rPr>
          <w:b w:val="0"/>
          <w:bCs w:val="0"/>
          <w:i w:val="0"/>
          <w:iCs w:val="0"/>
          <w:lang w:eastAsia="ko-KR"/>
        </w:rPr>
        <w:t xml:space="preserve"> collected in the autumn of </w:t>
      </w:r>
      <w:r w:rsidRPr="00D43C77">
        <w:rPr>
          <w:b w:val="0"/>
          <w:bCs w:val="0"/>
          <w:i w:val="0"/>
          <w:iCs w:val="0"/>
        </w:rPr>
        <w:t>2019.</w:t>
      </w:r>
      <w:r w:rsidRPr="00BA0EBA">
        <w:rPr>
          <w:b w:val="0"/>
          <w:bCs w:val="0"/>
          <w:i w:val="0"/>
          <w:iCs w:val="0"/>
        </w:rPr>
        <w:t xml:space="preserve"> </w:t>
      </w:r>
      <w:r w:rsidRPr="00D43C77">
        <w:rPr>
          <w:b w:val="0"/>
          <w:bCs w:val="0"/>
          <w:i w:val="0"/>
          <w:iCs w:val="0"/>
        </w:rPr>
        <w:t xml:space="preserve">The alumni office sent out an e-mail to their entire alumni database with a link to the survey. </w:t>
      </w:r>
    </w:p>
    <w:p w14:paraId="31A22811" w14:textId="7AAC2428" w:rsidR="0086522A" w:rsidRPr="00740194" w:rsidRDefault="0086522A" w:rsidP="00140558">
      <w:pPr>
        <w:widowControl w:val="0"/>
        <w:spacing w:line="480" w:lineRule="auto"/>
        <w:ind w:firstLine="720"/>
        <w:rPr>
          <w:b/>
          <w:bCs/>
        </w:rPr>
      </w:pPr>
      <w:r>
        <w:rPr>
          <w:b/>
          <w:bCs/>
          <w:i/>
          <w:iCs/>
        </w:rPr>
        <w:t xml:space="preserve">Negotiating behaviors. </w:t>
      </w:r>
      <w:r>
        <w:rPr>
          <w:bCs/>
          <w:iCs/>
        </w:rPr>
        <w:t>The</w:t>
      </w:r>
      <w:r>
        <w:t xml:space="preserve"> question taken from </w:t>
      </w:r>
      <w:r>
        <w:rPr>
          <w:noProof/>
        </w:rPr>
        <w:t>Artz et al. (2018)</w:t>
      </w:r>
      <w:r>
        <w:t xml:space="preserve"> asked respondents about the same seven compensation-related events from Study 1. Participants indicated whether they experienced the four types of events (</w:t>
      </w:r>
      <w:r w:rsidRPr="00D822BA">
        <w:rPr>
          <w:i/>
        </w:rPr>
        <w:t>positive</w:t>
      </w:r>
      <w:r>
        <w:t xml:space="preserve"> </w:t>
      </w:r>
      <w:r w:rsidRPr="00F72307">
        <w:rPr>
          <w:i/>
          <w:iCs/>
        </w:rPr>
        <w:t>outcomes from</w:t>
      </w:r>
      <w:r>
        <w:t xml:space="preserve"> </w:t>
      </w:r>
      <w:r>
        <w:rPr>
          <w:i/>
        </w:rPr>
        <w:t>asking</w:t>
      </w:r>
      <w:r w:rsidRPr="00D822BA">
        <w:rPr>
          <w:i/>
        </w:rPr>
        <w:t xml:space="preserve"> </w:t>
      </w:r>
      <w:r>
        <w:rPr>
          <w:i/>
        </w:rPr>
        <w:t>events, negative outcomes from asking</w:t>
      </w:r>
      <w:r w:rsidRPr="00CF30E4">
        <w:rPr>
          <w:i/>
        </w:rPr>
        <w:t xml:space="preserve"> </w:t>
      </w:r>
      <w:r>
        <w:rPr>
          <w:i/>
        </w:rPr>
        <w:t>events,</w:t>
      </w:r>
      <w:r>
        <w:t xml:space="preserve"> </w:t>
      </w:r>
      <w:r>
        <w:rPr>
          <w:i/>
        </w:rPr>
        <w:t>positive</w:t>
      </w:r>
      <w:r w:rsidRPr="00CF30E4">
        <w:rPr>
          <w:i/>
        </w:rPr>
        <w:t xml:space="preserve"> </w:t>
      </w:r>
      <w:r>
        <w:rPr>
          <w:i/>
        </w:rPr>
        <w:t xml:space="preserve">outcomes from </w:t>
      </w:r>
      <w:r w:rsidR="00EF2084" w:rsidRPr="00CF30E4">
        <w:rPr>
          <w:i/>
        </w:rPr>
        <w:t>no</w:t>
      </w:r>
      <w:r w:rsidR="00EF2084">
        <w:rPr>
          <w:i/>
        </w:rPr>
        <w:t>-</w:t>
      </w:r>
      <w:r w:rsidRPr="00CF30E4">
        <w:rPr>
          <w:i/>
        </w:rPr>
        <w:t>asking event</w:t>
      </w:r>
      <w:r>
        <w:rPr>
          <w:i/>
        </w:rPr>
        <w:t xml:space="preserve">, </w:t>
      </w:r>
      <w:r>
        <w:t xml:space="preserve">and </w:t>
      </w:r>
      <w:r>
        <w:rPr>
          <w:i/>
        </w:rPr>
        <w:t>negative outcomes from no asking events</w:t>
      </w:r>
      <w:r>
        <w:t xml:space="preserve">) </w:t>
      </w:r>
      <w:r w:rsidR="00EF2084">
        <w:t>throughout</w:t>
      </w:r>
      <w:r>
        <w:t xml:space="preserve"> their employment with their current employer (average length of employment: </w:t>
      </w:r>
      <w:r w:rsidRPr="00D822BA">
        <w:rPr>
          <w:i/>
        </w:rPr>
        <w:t>M</w:t>
      </w:r>
      <w:r w:rsidRPr="00D822BA">
        <w:t xml:space="preserve"> = </w:t>
      </w:r>
      <w:r>
        <w:t>3.30</w:t>
      </w:r>
      <w:r w:rsidRPr="00D822BA">
        <w:t xml:space="preserve"> years, </w:t>
      </w:r>
      <w:r w:rsidRPr="00D822BA">
        <w:rPr>
          <w:i/>
        </w:rPr>
        <w:t>SD</w:t>
      </w:r>
      <w:r w:rsidRPr="00D822BA">
        <w:t xml:space="preserve"> = </w:t>
      </w:r>
      <w:r>
        <w:t>2.08). Specifically, the question stated, “Which of the following best describes the actions you have taken in relation to your wage/salary since you commenced your employment with your employer?” Participants were asked to indicate each event that applied to them (</w:t>
      </w:r>
      <w:r w:rsidRPr="00C62B03">
        <w:rPr>
          <w:i/>
        </w:rPr>
        <w:t>M</w:t>
      </w:r>
      <w:r>
        <w:t xml:space="preserve"> = 1.32, </w:t>
      </w:r>
      <w:r w:rsidRPr="00C62B03">
        <w:rPr>
          <w:i/>
        </w:rPr>
        <w:t>SD</w:t>
      </w:r>
      <w:r>
        <w:t xml:space="preserve"> = 0.59; range: 1-4). </w:t>
      </w:r>
    </w:p>
    <w:p w14:paraId="34E7D9EF" w14:textId="0E02810C" w:rsidR="0086522A" w:rsidRDefault="0086522A" w:rsidP="00140558">
      <w:pPr>
        <w:spacing w:line="480" w:lineRule="auto"/>
        <w:ind w:firstLine="720"/>
      </w:pPr>
      <w:r>
        <w:t xml:space="preserve">The events included two types of </w:t>
      </w:r>
      <w:r w:rsidRPr="00D822BA">
        <w:rPr>
          <w:i/>
        </w:rPr>
        <w:t>positive</w:t>
      </w:r>
      <w:r>
        <w:t xml:space="preserve"> </w:t>
      </w:r>
      <w:r>
        <w:rPr>
          <w:i/>
        </w:rPr>
        <w:t>outcome</w:t>
      </w:r>
      <w:r w:rsidR="00EF2084">
        <w:rPr>
          <w:i/>
        </w:rPr>
        <w:t>s</w:t>
      </w:r>
      <w:r>
        <w:rPr>
          <w:i/>
        </w:rPr>
        <w:t xml:space="preserve"> from asking events</w:t>
      </w:r>
      <w:r>
        <w:rPr>
          <w:iCs/>
        </w:rPr>
        <w:t>, where asking behavior resulted in a positive outcome</w:t>
      </w:r>
      <w:r>
        <w:t>:</w:t>
      </w:r>
      <w:r w:rsidRPr="00D9571F">
        <w:t xml:space="preserve"> </w:t>
      </w:r>
      <w:r>
        <w:t xml:space="preserve">1) successfully attained a promotion, and 2) successfully negotiated better compensation; two types of </w:t>
      </w:r>
      <w:r>
        <w:rPr>
          <w:i/>
        </w:rPr>
        <w:t>negative outcome</w:t>
      </w:r>
      <w:r w:rsidR="00EF2084">
        <w:rPr>
          <w:i/>
        </w:rPr>
        <w:t>s</w:t>
      </w:r>
      <w:r>
        <w:rPr>
          <w:i/>
        </w:rPr>
        <w:t xml:space="preserve"> from asking events</w:t>
      </w:r>
      <w:r>
        <w:rPr>
          <w:iCs/>
        </w:rPr>
        <w:t>, where an asking behavior resulted in a negative outcome</w:t>
      </w:r>
      <w:r>
        <w:t xml:space="preserve">: 1) attempted to attain a promotion but was unsuccessful, and 2) attempted to negotiate better compensation but was unsuccessful; one type of </w:t>
      </w:r>
      <w:r>
        <w:rPr>
          <w:i/>
        </w:rPr>
        <w:t>positive</w:t>
      </w:r>
      <w:r w:rsidRPr="00CF30E4">
        <w:rPr>
          <w:i/>
        </w:rPr>
        <w:t xml:space="preserve"> </w:t>
      </w:r>
      <w:r>
        <w:rPr>
          <w:i/>
        </w:rPr>
        <w:t>outcome from no asking event</w:t>
      </w:r>
      <w:r>
        <w:rPr>
          <w:iCs/>
        </w:rPr>
        <w:t>, where a positive outcome occurred without an action taken</w:t>
      </w:r>
      <w:r>
        <w:t xml:space="preserve">: received better compensation without asking for it; and finally, two types of </w:t>
      </w:r>
      <w:r>
        <w:rPr>
          <w:i/>
        </w:rPr>
        <w:t>negative outcome</w:t>
      </w:r>
      <w:r w:rsidR="00EF2084">
        <w:rPr>
          <w:i/>
        </w:rPr>
        <w:t>s</w:t>
      </w:r>
      <w:r>
        <w:rPr>
          <w:i/>
        </w:rPr>
        <w:t xml:space="preserve"> from no</w:t>
      </w:r>
      <w:r w:rsidR="00EF2084">
        <w:rPr>
          <w:i/>
        </w:rPr>
        <w:t>-</w:t>
      </w:r>
      <w:r>
        <w:rPr>
          <w:i/>
        </w:rPr>
        <w:t>asking event</w:t>
      </w:r>
      <w:r w:rsidR="00EF2084">
        <w:rPr>
          <w:i/>
        </w:rPr>
        <w:t>s</w:t>
      </w:r>
      <w:r>
        <w:rPr>
          <w:iCs/>
        </w:rPr>
        <w:t>, where a negative outcome occurred without an action taken</w:t>
      </w:r>
      <w:r>
        <w:t xml:space="preserve">: 1) </w:t>
      </w:r>
      <w:r>
        <w:lastRenderedPageBreak/>
        <w:t xml:space="preserve">did not attempt to attain a promotion, and 2) did not attempt to attain better compensation. </w:t>
      </w:r>
      <w:r w:rsidR="00EF2084">
        <w:t xml:space="preserve">The exact </w:t>
      </w:r>
      <w:r>
        <w:t>wording of the compensation-related events appears in Appendix A</w:t>
      </w:r>
      <w:r w:rsidR="00130B3B">
        <w:t xml:space="preserve"> in the Supplemental Online Materials</w:t>
      </w:r>
      <w:r>
        <w:t>.</w:t>
      </w:r>
    </w:p>
    <w:p w14:paraId="3DA083C9" w14:textId="6DE6069A" w:rsidR="0086522A" w:rsidRDefault="0086522A" w:rsidP="00140558">
      <w:pPr>
        <w:spacing w:line="480" w:lineRule="auto"/>
        <w:ind w:firstLine="720"/>
      </w:pPr>
      <w:r>
        <w:rPr>
          <w:b/>
          <w:bCs/>
          <w:i/>
          <w:iCs/>
        </w:rPr>
        <w:t>Compensation</w:t>
      </w:r>
      <w:r>
        <w:rPr>
          <w:b/>
          <w:bCs/>
        </w:rPr>
        <w:t>.</w:t>
      </w:r>
      <w:r>
        <w:t xml:space="preserve"> Respondents provided details about their current compensation, including their annual base salary and annual bonus. The combination of these two elements </w:t>
      </w:r>
      <w:r w:rsidR="00EF2084">
        <w:t xml:space="preserve">was </w:t>
      </w:r>
      <w:r>
        <w:t>used as a measure of compensation.</w:t>
      </w:r>
    </w:p>
    <w:p w14:paraId="51EC8751" w14:textId="77777777" w:rsidR="0086522A" w:rsidRPr="007831D4" w:rsidRDefault="0086522A" w:rsidP="00140558">
      <w:pPr>
        <w:pStyle w:val="Heading2"/>
      </w:pPr>
      <w:r>
        <w:t>Results and Discussion</w:t>
      </w:r>
    </w:p>
    <w:p w14:paraId="7A100B55" w14:textId="5C4B27A6" w:rsidR="0086522A" w:rsidRDefault="0086522A" w:rsidP="00140558">
      <w:pPr>
        <w:spacing w:line="480" w:lineRule="auto"/>
        <w:ind w:firstLine="720"/>
      </w:pPr>
      <w:r>
        <w:rPr>
          <w:b/>
          <w:bCs/>
          <w:i/>
          <w:iCs/>
        </w:rPr>
        <w:t xml:space="preserve">Gender </w:t>
      </w:r>
      <w:proofErr w:type="gramStart"/>
      <w:r>
        <w:rPr>
          <w:b/>
          <w:bCs/>
          <w:i/>
          <w:iCs/>
        </w:rPr>
        <w:t>pay</w:t>
      </w:r>
      <w:proofErr w:type="gramEnd"/>
      <w:r>
        <w:rPr>
          <w:b/>
          <w:bCs/>
          <w:i/>
          <w:iCs/>
        </w:rPr>
        <w:t xml:space="preserve"> gap.</w:t>
      </w:r>
      <w:r>
        <w:t xml:space="preserve"> To </w:t>
      </w:r>
      <w:r w:rsidR="00F74B4A">
        <w:t>measure</w:t>
      </w:r>
      <w:r>
        <w:t xml:space="preserve"> the</w:t>
      </w:r>
      <w:r w:rsidR="00F74B4A">
        <w:t xml:space="preserve"> size of the</w:t>
      </w:r>
      <w:r>
        <w:t xml:space="preserve"> </w:t>
      </w:r>
      <w:proofErr w:type="gramStart"/>
      <w:r>
        <w:t>gender</w:t>
      </w:r>
      <w:proofErr w:type="gramEnd"/>
      <w:r>
        <w:t xml:space="preserve"> pay gap, compensation was </w:t>
      </w:r>
      <w:r w:rsidR="00EF2084">
        <w:t>log-</w:t>
      </w:r>
      <w:r>
        <w:t xml:space="preserve">transformed for ease of interpretation, where the coefficients approximate percentage changes, in line with prior research </w:t>
      </w:r>
      <w:r>
        <w:rPr>
          <w:noProof/>
        </w:rPr>
        <w:t>(e.g., Bowles et al., 2005)</w:t>
      </w:r>
      <w:r>
        <w:t xml:space="preserve">. Compensation was regressed on gender (coded 0 for male, 1 for female). The coefficient for gender was significant, </w:t>
      </w:r>
      <w:r>
        <w:rPr>
          <w:i/>
          <w:iCs/>
        </w:rPr>
        <w:t xml:space="preserve">b </w:t>
      </w:r>
      <w:r>
        <w:t xml:space="preserve">= </w:t>
      </w:r>
      <w:r>
        <w:sym w:font="Symbol" w:char="F02D"/>
      </w:r>
      <w:r>
        <w:t xml:space="preserve">0.22, </w:t>
      </w:r>
      <w:proofErr w:type="spellStart"/>
      <w:r>
        <w:rPr>
          <w:i/>
          <w:iCs/>
        </w:rPr>
        <w:t>s.e.</w:t>
      </w:r>
      <w:proofErr w:type="spellEnd"/>
      <w:r>
        <w:t xml:space="preserve"> = 0.03, </w:t>
      </w:r>
      <w:r>
        <w:rPr>
          <w:i/>
          <w:iCs/>
        </w:rPr>
        <w:t>p</w:t>
      </w:r>
      <w:r>
        <w:t xml:space="preserve"> &lt; .001, indicating women’s compensation was 22 percent less than men’s compensation. </w:t>
      </w:r>
    </w:p>
    <w:p w14:paraId="548FC512" w14:textId="2CD1063F" w:rsidR="0086522A" w:rsidRDefault="0086522A" w:rsidP="00140558">
      <w:pPr>
        <w:spacing w:line="480" w:lineRule="auto"/>
        <w:ind w:firstLine="720"/>
      </w:pPr>
      <w:r>
        <w:rPr>
          <w:b/>
          <w:bCs/>
          <w:i/>
          <w:iCs/>
        </w:rPr>
        <w:t xml:space="preserve">Negotiating behaviors. </w:t>
      </w:r>
      <w:r>
        <w:t xml:space="preserve">Table 2 presents responses to each item as well as across category types, by gender. </w:t>
      </w:r>
    </w:p>
    <w:p w14:paraId="2A8833DC" w14:textId="77777777" w:rsidR="0086522A" w:rsidRDefault="0086522A" w:rsidP="00140558">
      <w:pPr>
        <w:keepNext/>
        <w:jc w:val="center"/>
        <w:rPr>
          <w:lang w:val="en-GB" w:eastAsia="ko-KR"/>
        </w:rPr>
      </w:pPr>
      <w:r w:rsidRPr="00E20F93">
        <w:rPr>
          <w:lang w:val="en-GB" w:eastAsia="ko-KR"/>
        </w:rPr>
        <w:t>------------------------------------</w:t>
      </w:r>
    </w:p>
    <w:p w14:paraId="463A3D1D" w14:textId="77777777" w:rsidR="0086522A" w:rsidRDefault="0086522A" w:rsidP="00140558">
      <w:pPr>
        <w:keepNext/>
        <w:jc w:val="center"/>
        <w:rPr>
          <w:lang w:val="en-GB" w:eastAsia="ko-KR"/>
        </w:rPr>
      </w:pPr>
      <w:r w:rsidRPr="00E20F93">
        <w:rPr>
          <w:lang w:val="en-GB" w:eastAsia="ko-KR"/>
        </w:rPr>
        <w:t xml:space="preserve">Insert Table </w:t>
      </w:r>
      <w:r>
        <w:rPr>
          <w:lang w:val="en-GB" w:eastAsia="ko-KR"/>
        </w:rPr>
        <w:t>2</w:t>
      </w:r>
      <w:r w:rsidRPr="00E20F93">
        <w:rPr>
          <w:lang w:val="en-GB" w:eastAsia="ko-KR"/>
        </w:rPr>
        <w:t xml:space="preserve"> about here</w:t>
      </w:r>
    </w:p>
    <w:p w14:paraId="4347523C" w14:textId="77777777" w:rsidR="0086522A" w:rsidRPr="00E20F93" w:rsidRDefault="0086522A" w:rsidP="00140558">
      <w:pPr>
        <w:jc w:val="center"/>
        <w:rPr>
          <w:lang w:val="en-GB" w:eastAsia="ko-KR"/>
        </w:rPr>
      </w:pPr>
      <w:r w:rsidRPr="00E20F93">
        <w:rPr>
          <w:lang w:val="en-GB" w:eastAsia="ko-KR"/>
        </w:rPr>
        <w:t>------------------------------------</w:t>
      </w:r>
    </w:p>
    <w:p w14:paraId="222A9354" w14:textId="682906B9" w:rsidR="0086522A" w:rsidRDefault="0086522A" w:rsidP="00140558">
      <w:pPr>
        <w:spacing w:line="480" w:lineRule="auto"/>
        <w:ind w:firstLine="720"/>
      </w:pPr>
      <w:r>
        <w:t>The only significant gender difference among the seven compensation-related events to emerge was a greater tendency for women</w:t>
      </w:r>
      <w:r w:rsidR="00EA4518">
        <w:t xml:space="preserve"> </w:t>
      </w:r>
      <w:r>
        <w:t>than men to report unsuccessful attempts to negotiate raises within their current roles</w:t>
      </w:r>
      <w:r>
        <w:rPr>
          <w:lang w:val="en-GB"/>
        </w:rPr>
        <w:t xml:space="preserve">. Overall, replicating the previous study, collapsing across both positive and negative asking attempts revealed a </w:t>
      </w:r>
      <w:r w:rsidRPr="00241E97">
        <w:rPr>
          <w:i/>
          <w:iCs/>
          <w:lang w:val="en-GB"/>
        </w:rPr>
        <w:t>greater</w:t>
      </w:r>
      <w:r>
        <w:rPr>
          <w:lang w:val="en-GB"/>
        </w:rPr>
        <w:t xml:space="preserve"> (not lesser) propensity to ask by women </w:t>
      </w:r>
      <w:r w:rsidR="00EA4518">
        <w:rPr>
          <w:lang w:val="en-GB"/>
        </w:rPr>
        <w:t>than men</w:t>
      </w:r>
      <w:r>
        <w:rPr>
          <w:lang w:val="en-GB"/>
        </w:rPr>
        <w:t>, in contrast to lay beliefs in Study 1, which comport</w:t>
      </w:r>
      <w:r w:rsidR="00B57AA0">
        <w:rPr>
          <w:lang w:val="en-GB"/>
        </w:rPr>
        <w:t>ed</w:t>
      </w:r>
      <w:r>
        <w:rPr>
          <w:lang w:val="en-GB"/>
        </w:rPr>
        <w:t xml:space="preserve"> with existing theory about women’s lower propensity to negotiate.</w:t>
      </w:r>
      <w:r>
        <w:t xml:space="preserve"> </w:t>
      </w:r>
    </w:p>
    <w:p w14:paraId="0871CAD1" w14:textId="1C929E09" w:rsidR="00FB72F2" w:rsidRDefault="00FB72F2" w:rsidP="00FB72F2">
      <w:pPr>
        <w:spacing w:line="480" w:lineRule="auto"/>
        <w:ind w:firstLine="720"/>
      </w:pPr>
      <w:r>
        <w:lastRenderedPageBreak/>
        <w:t xml:space="preserve">Figure 2 further compares the difference in men’s and women’s actual </w:t>
      </w:r>
      <w:r w:rsidR="004A791B">
        <w:t>negotiation propensity</w:t>
      </w:r>
      <w:r>
        <w:t xml:space="preserve"> in Study 2B with participants’ estimations from Study 1. In the actual data, a greater percentage of women than men reported negotiating their job offers. </w:t>
      </w:r>
    </w:p>
    <w:p w14:paraId="107E7604" w14:textId="77777777" w:rsidR="00FB72F2" w:rsidRDefault="00FB72F2" w:rsidP="00FB72F2">
      <w:pPr>
        <w:keepNext/>
        <w:jc w:val="center"/>
        <w:rPr>
          <w:lang w:val="en-GB" w:eastAsia="ko-KR"/>
        </w:rPr>
      </w:pPr>
      <w:r w:rsidRPr="00E20F93">
        <w:rPr>
          <w:lang w:val="en-GB" w:eastAsia="ko-KR"/>
        </w:rPr>
        <w:t>------------------------------------</w:t>
      </w:r>
    </w:p>
    <w:p w14:paraId="5E8232DF" w14:textId="0E077C6C" w:rsidR="00FB72F2" w:rsidRDefault="00FB72F2" w:rsidP="00FB72F2">
      <w:pPr>
        <w:keepNext/>
        <w:jc w:val="center"/>
        <w:rPr>
          <w:lang w:val="en-GB" w:eastAsia="ko-KR"/>
        </w:rPr>
      </w:pPr>
      <w:r w:rsidRPr="00E20F93">
        <w:rPr>
          <w:lang w:val="en-GB" w:eastAsia="ko-KR"/>
        </w:rPr>
        <w:t xml:space="preserve">Insert </w:t>
      </w:r>
      <w:r>
        <w:rPr>
          <w:lang w:val="en-GB" w:eastAsia="ko-KR"/>
        </w:rPr>
        <w:t>Figure 2</w:t>
      </w:r>
      <w:r w:rsidRPr="00E20F93">
        <w:rPr>
          <w:lang w:val="en-GB" w:eastAsia="ko-KR"/>
        </w:rPr>
        <w:t xml:space="preserve"> about here</w:t>
      </w:r>
    </w:p>
    <w:p w14:paraId="1D48AF17" w14:textId="503D06FC" w:rsidR="00FB72F2" w:rsidRPr="00FB72F2" w:rsidRDefault="00FB72F2" w:rsidP="00FB72F2">
      <w:pPr>
        <w:spacing w:line="480" w:lineRule="auto"/>
        <w:jc w:val="center"/>
        <w:rPr>
          <w:lang w:val="en-GB" w:eastAsia="ko-KR"/>
        </w:rPr>
      </w:pPr>
      <w:r w:rsidRPr="00E20F93">
        <w:rPr>
          <w:lang w:val="en-GB" w:eastAsia="ko-KR"/>
        </w:rPr>
        <w:t>------------------------------------</w:t>
      </w:r>
    </w:p>
    <w:p w14:paraId="5662B496" w14:textId="186A918C" w:rsidR="0086522A" w:rsidRPr="00EC4847" w:rsidRDefault="0086522A" w:rsidP="00140558">
      <w:pPr>
        <w:spacing w:line="480" w:lineRule="auto"/>
        <w:rPr>
          <w:lang w:val="en-GB"/>
        </w:rPr>
      </w:pPr>
      <w:r>
        <w:tab/>
      </w:r>
      <w:r>
        <w:rPr>
          <w:b/>
          <w:bCs/>
          <w:i/>
          <w:iCs/>
        </w:rPr>
        <w:t xml:space="preserve">Negotiating behaviors explaining the gender gap. </w:t>
      </w:r>
      <w:r>
        <w:t xml:space="preserve">Given women’s greater, not lesser, tendency to ask, a gender difference in </w:t>
      </w:r>
      <w:r w:rsidR="004A791B">
        <w:t>negotiation propensity</w:t>
      </w:r>
      <w:r>
        <w:t xml:space="preserve"> cannot account for the gender pay gap found in these alumni data, wherein women earned less, not more than men. We formally tested the extent to which asking propensity accounts for the gender pay gap by re-running OLS regression analysis of the gender pay gap, including dummy variable</w:t>
      </w:r>
      <w:r w:rsidR="00AB725F">
        <w:t>s</w:t>
      </w:r>
      <w:r>
        <w:t xml:space="preserve"> for whether an individual engaged in asking behavior</w:t>
      </w:r>
      <w:r w:rsidR="00AB725F">
        <w:t xml:space="preserve"> and for gender</w:t>
      </w:r>
      <w:r w:rsidR="00061ABC">
        <w:t xml:space="preserve"> </w:t>
      </w:r>
      <w:r w:rsidR="00E213F4">
        <w:t>(coded 0 for male, 1 for female).</w:t>
      </w:r>
      <w:r>
        <w:t xml:space="preserve"> The coefficient of the asking variable was positive and significant, </w:t>
      </w:r>
      <w:r>
        <w:rPr>
          <w:i/>
          <w:iCs/>
        </w:rPr>
        <w:t>b</w:t>
      </w:r>
      <w:r>
        <w:t xml:space="preserve"> = 0.07, </w:t>
      </w:r>
      <w:proofErr w:type="spellStart"/>
      <w:r>
        <w:rPr>
          <w:i/>
          <w:iCs/>
        </w:rPr>
        <w:t>s.e.</w:t>
      </w:r>
      <w:proofErr w:type="spellEnd"/>
      <w:r>
        <w:t xml:space="preserve"> = 0.03, </w:t>
      </w:r>
      <w:r>
        <w:rPr>
          <w:i/>
          <w:iCs/>
        </w:rPr>
        <w:t>p</w:t>
      </w:r>
      <w:r>
        <w:t xml:space="preserve"> = .010, indicating an overall positive effect of asking behavior on total compensation. However, the coefficient on the </w:t>
      </w:r>
      <w:r w:rsidR="00FF409C">
        <w:t>gender</w:t>
      </w:r>
      <w:r>
        <w:t xml:space="preserve"> variable remained unchanged, </w:t>
      </w:r>
      <w:r>
        <w:rPr>
          <w:i/>
          <w:iCs/>
        </w:rPr>
        <w:t>b</w:t>
      </w:r>
      <w:r>
        <w:t xml:space="preserve"> = </w:t>
      </w:r>
      <w:r>
        <w:sym w:font="Symbol" w:char="F02D"/>
      </w:r>
      <w:r>
        <w:t xml:space="preserve">0.23, </w:t>
      </w:r>
      <w:proofErr w:type="spellStart"/>
      <w:r>
        <w:rPr>
          <w:i/>
          <w:iCs/>
        </w:rPr>
        <w:t>s.e.</w:t>
      </w:r>
      <w:proofErr w:type="spellEnd"/>
      <w:r>
        <w:t xml:space="preserve"> = 0.03, </w:t>
      </w:r>
      <w:r>
        <w:rPr>
          <w:i/>
          <w:iCs/>
        </w:rPr>
        <w:t>p</w:t>
      </w:r>
      <w:r>
        <w:t xml:space="preserve"> &lt; .001. </w:t>
      </w:r>
    </w:p>
    <w:p w14:paraId="23B6CBBD" w14:textId="68C18EF2" w:rsidR="0086522A" w:rsidRDefault="0086522A" w:rsidP="00140558">
      <w:pPr>
        <w:spacing w:line="480" w:lineRule="auto"/>
        <w:ind w:firstLine="720"/>
      </w:pPr>
      <w:r>
        <w:t>We emphasize that the takeaway of these results is not that asking behavior is not beneficial: Asking behavior was associated with consequential outcomes, as evidenced by successful asking correlating positively with compensation (</w:t>
      </w:r>
      <w:proofErr w:type="gramStart"/>
      <w:r w:rsidRPr="002E7683">
        <w:rPr>
          <w:i/>
        </w:rPr>
        <w:t>r</w:t>
      </w:r>
      <w:r>
        <w:t>(</w:t>
      </w:r>
      <w:proofErr w:type="gramEnd"/>
      <w:r>
        <w:t xml:space="preserve">1937) = .09, </w:t>
      </w:r>
      <w:r w:rsidRPr="002E7683">
        <w:rPr>
          <w:i/>
        </w:rPr>
        <w:t>p</w:t>
      </w:r>
      <w:r>
        <w:t xml:space="preserve"> &lt; .001) and unsuccessful asking correlating negatively with compensation (</w:t>
      </w:r>
      <w:proofErr w:type="gramStart"/>
      <w:r w:rsidRPr="002E7683">
        <w:rPr>
          <w:i/>
        </w:rPr>
        <w:t>r</w:t>
      </w:r>
      <w:r>
        <w:t>(</w:t>
      </w:r>
      <w:proofErr w:type="gramEnd"/>
      <w:r>
        <w:t xml:space="preserve">1937) = -.10, </w:t>
      </w:r>
      <w:r w:rsidRPr="002E7683">
        <w:rPr>
          <w:i/>
        </w:rPr>
        <w:t>p</w:t>
      </w:r>
      <w:r>
        <w:t xml:space="preserve"> &lt; .001). While approximately one-third of respondents indicated they were given higher wages by their employers without asking, and this was associated with higher compensation (</w:t>
      </w:r>
      <w:r w:rsidRPr="002E7683">
        <w:rPr>
          <w:i/>
        </w:rPr>
        <w:t>r</w:t>
      </w:r>
      <w:r>
        <w:t xml:space="preserve">(1937) = .06, </w:t>
      </w:r>
      <w:r w:rsidRPr="002E7683">
        <w:rPr>
          <w:i/>
        </w:rPr>
        <w:t>p</w:t>
      </w:r>
      <w:r>
        <w:t xml:space="preserve"> = .01), it was also the case that failing to ask for raises (</w:t>
      </w:r>
      <w:r w:rsidRPr="002E7683">
        <w:rPr>
          <w:i/>
        </w:rPr>
        <w:t>r</w:t>
      </w:r>
      <w:r>
        <w:t xml:space="preserve">(1937) = -.11, </w:t>
      </w:r>
      <w:r w:rsidRPr="002E7683">
        <w:rPr>
          <w:i/>
        </w:rPr>
        <w:t>p</w:t>
      </w:r>
      <w:r>
        <w:t xml:space="preserve"> &lt; .001) and promotions (</w:t>
      </w:r>
      <w:r w:rsidRPr="002E7683">
        <w:rPr>
          <w:i/>
        </w:rPr>
        <w:t>r</w:t>
      </w:r>
      <w:r>
        <w:t xml:space="preserve">(1937) = -.07, </w:t>
      </w:r>
      <w:r w:rsidRPr="002E7683">
        <w:rPr>
          <w:i/>
        </w:rPr>
        <w:t>p</w:t>
      </w:r>
      <w:r>
        <w:t xml:space="preserve"> &lt; .001) were negatively correlated with compensation. Individuals, both men and women, should be encouraged to ask, as doing so predicts higher compensation. However, </w:t>
      </w:r>
      <w:r>
        <w:lastRenderedPageBreak/>
        <w:t xml:space="preserve">the results of this study suggest that women’s failure to ask is not explaining the gender pay gap, and, when women do ask, they may be turned down more often than men in getting what they asked for. </w:t>
      </w:r>
    </w:p>
    <w:p w14:paraId="36B2E50E" w14:textId="77777777" w:rsidR="0086522A" w:rsidRPr="00713DA2" w:rsidRDefault="0086522A" w:rsidP="00140558">
      <w:pPr>
        <w:keepNext/>
        <w:spacing w:line="480" w:lineRule="auto"/>
        <w:rPr>
          <w:b/>
          <w:bCs/>
        </w:rPr>
      </w:pPr>
      <w:r w:rsidRPr="00713DA2">
        <w:rPr>
          <w:b/>
          <w:bCs/>
        </w:rPr>
        <w:t>Discussion</w:t>
      </w:r>
    </w:p>
    <w:p w14:paraId="080A2A4C" w14:textId="00CB426C" w:rsidR="0086522A" w:rsidRDefault="0086522A" w:rsidP="00140558">
      <w:pPr>
        <w:spacing w:line="480" w:lineRule="auto"/>
      </w:pPr>
      <w:r>
        <w:tab/>
        <w:t xml:space="preserve">The results of Study 2B showed that women in this MBA alumni population were more likely to negotiate or to ask than men, in line with the findings in Study 2A. In contrast to lay beliefs, women had </w:t>
      </w:r>
      <w:r w:rsidRPr="00756CBE">
        <w:rPr>
          <w:i/>
        </w:rPr>
        <w:t>more</w:t>
      </w:r>
      <w:r>
        <w:rPr>
          <w:i/>
        </w:rPr>
        <w:t>,</w:t>
      </w:r>
      <w:r>
        <w:t xml:space="preserve"> not fewer, instances of trying to achieve better compensation through negotiation. Importantly, differences in negotiating behavior did not account for the gender gap in compensation.</w:t>
      </w:r>
      <w:r>
        <w:rPr>
          <w:rStyle w:val="FootnoteReference"/>
        </w:rPr>
        <w:footnoteReference w:id="3"/>
      </w:r>
      <w:r>
        <w:t xml:space="preserve"> The gender gap in compensation in this MBA population remained, with women earning less than men, despite the evidence suggesting women attempted to negotiate more than men. </w:t>
      </w:r>
      <w:r w:rsidR="00DA720B">
        <w:t xml:space="preserve">This pattern of women </w:t>
      </w:r>
      <w:proofErr w:type="gramStart"/>
      <w:r w:rsidR="00DA720B">
        <w:t>asking, but</w:t>
      </w:r>
      <w:proofErr w:type="gramEnd"/>
      <w:r w:rsidR="00DA720B">
        <w:t xml:space="preserve"> not getting </w:t>
      </w:r>
      <w:r w:rsidR="005A1623">
        <w:t xml:space="preserve">builds on recent work by Artz et al. (2018) by showing this same pattern occurs among a sample wherein a pay gap exists that disfavors </w:t>
      </w:r>
      <w:r w:rsidR="00EF2084">
        <w:t>women</w:t>
      </w:r>
      <w:r w:rsidR="005A1623">
        <w:t xml:space="preserve">. </w:t>
      </w:r>
      <w:r>
        <w:t>Our results suggest that both lay theories and the gender similarities hypothesis (Hyde, 2014) require updating in the realm of negotiation propensity.</w:t>
      </w:r>
      <w:r w:rsidR="00FF5D20">
        <w:t xml:space="preserve"> Although these studies do not account for differences in job characteristics (e.g., industry, function), this limitation also holds for </w:t>
      </w:r>
      <w:r w:rsidR="00867B70">
        <w:t>all</w:t>
      </w:r>
      <w:r w:rsidR="00FF5D20">
        <w:t xml:space="preserve"> the self-reported </w:t>
      </w:r>
      <w:r w:rsidR="004A791B">
        <w:t>negotiation propensity</w:t>
      </w:r>
      <w:r w:rsidR="00FF5D20">
        <w:t xml:space="preserve"> studies included in the Kugler et al. (2018) meta-analysis. </w:t>
      </w:r>
    </w:p>
    <w:p w14:paraId="14D96A3F" w14:textId="7358D6B4" w:rsidR="00BB741C" w:rsidRPr="006648BC" w:rsidRDefault="00BB741C" w:rsidP="00BB741C">
      <w:pPr>
        <w:spacing w:line="480" w:lineRule="auto"/>
        <w:jc w:val="center"/>
        <w:rPr>
          <w:rFonts w:ascii="Times New Roman Bold" w:hAnsi="Times New Roman Bold"/>
          <w:b/>
          <w:bCs/>
          <w:caps/>
        </w:rPr>
      </w:pPr>
      <w:r w:rsidRPr="006648BC">
        <w:rPr>
          <w:rFonts w:ascii="Times New Roman Bold" w:hAnsi="Times New Roman Bold"/>
          <w:b/>
          <w:bCs/>
          <w:caps/>
        </w:rPr>
        <w:t>Study 2c</w:t>
      </w:r>
    </w:p>
    <w:p w14:paraId="73CDC23C" w14:textId="0FE19893" w:rsidR="00BB741C" w:rsidRDefault="00BB741C" w:rsidP="00BB741C">
      <w:pPr>
        <w:spacing w:line="480" w:lineRule="auto"/>
      </w:pPr>
      <w:r w:rsidRPr="00086A0A">
        <w:rPr>
          <w:rFonts w:ascii="Times New Roman Bold" w:hAnsi="Times New Roman Bold"/>
          <w:caps/>
        </w:rPr>
        <w:tab/>
      </w:r>
      <w:r w:rsidRPr="00086A0A">
        <w:t xml:space="preserve">Studies 2A and 2B found that women negotiated their salary more often than men among samples of people holding MBA degrees. On its face, this finding appears at odds with the </w:t>
      </w:r>
      <w:r w:rsidRPr="00086A0A">
        <w:lastRenderedPageBreak/>
        <w:t>results of Kugler et al. (2018) whose meta-analysis reported a small, heterogeneous pattern whereby women negotiate less often than men</w:t>
      </w:r>
      <w:r>
        <w:t xml:space="preserve"> (Hedges’ </w:t>
      </w:r>
      <w:r>
        <w:rPr>
          <w:i/>
          <w:iCs/>
        </w:rPr>
        <w:t xml:space="preserve">g </w:t>
      </w:r>
      <w:r>
        <w:t>= 0.20)</w:t>
      </w:r>
      <w:r w:rsidRPr="00086A0A">
        <w:t xml:space="preserve">, on average. </w:t>
      </w:r>
      <w:r>
        <w:t xml:space="preserve">Their results combined four types of measures of </w:t>
      </w:r>
      <w:r w:rsidR="004A791B">
        <w:t>negotiation propensity</w:t>
      </w:r>
      <w:r>
        <w:t xml:space="preserve">: actual behavior (laboratory), retrospective/prospective self-reports, scenario responses, and dispositional measures. A common issue affecting meta-analyses is the averaging of incomparable dependent measures (Simonsohn, Simmons, &amp; Nelson, 2022). To minimize the potential impact of this issue on our understanding of the relationship between gender and </w:t>
      </w:r>
      <w:r w:rsidR="004A791B">
        <w:t>negotiation propensity</w:t>
      </w:r>
      <w:r>
        <w:t>, the present study reports a re-analysis of the Kugler et al. data. We focus the re-analysis on the dependent measure that is most comparable to our dichotomous measures from Studies 2a and 2b: self-reported negotiation propensity</w:t>
      </w:r>
      <w:r w:rsidR="005A199B">
        <w:t xml:space="preserve"> about salary</w:t>
      </w:r>
      <w:r>
        <w:t xml:space="preserve">. </w:t>
      </w:r>
    </w:p>
    <w:p w14:paraId="37A15F59" w14:textId="352D232B" w:rsidR="00BB741C" w:rsidRPr="00132AC2" w:rsidRDefault="00BB741C" w:rsidP="00BB741C">
      <w:pPr>
        <w:spacing w:line="480" w:lineRule="auto"/>
        <w:ind w:firstLine="720"/>
      </w:pPr>
      <w:r>
        <w:t xml:space="preserve">A secondary goal of Study 2C is to examine more closely the pattern of </w:t>
      </w:r>
      <w:r w:rsidR="004A791B">
        <w:t>negotiation propensity</w:t>
      </w:r>
      <w:r>
        <w:t xml:space="preserve"> for each gender over time. Kugler et al. (2018) predicted and found evidence for a decrease in the magnitude of the gender difference in negotiation propensity over time, reasoning that the degree of inconsistency between female and male gender roles has declined over time. We </w:t>
      </w:r>
      <w:r w:rsidR="00765E3D">
        <w:t>expand on</w:t>
      </w:r>
      <w:r w:rsidR="000D366B">
        <w:t xml:space="preserve"> their analysis</w:t>
      </w:r>
      <w:r>
        <w:t xml:space="preserve"> by</w:t>
      </w:r>
      <w:r w:rsidR="00720DE0">
        <w:t xml:space="preserve"> </w:t>
      </w:r>
      <w:r>
        <w:t xml:space="preserve">examining </w:t>
      </w:r>
      <w:r w:rsidR="000D366B">
        <w:t xml:space="preserve">changes in </w:t>
      </w:r>
      <w:r w:rsidR="007B5940">
        <w:t xml:space="preserve">negotiating rates of </w:t>
      </w:r>
      <w:r w:rsidR="000D366B">
        <w:t>women and men</w:t>
      </w:r>
      <w:r w:rsidR="001C5F96">
        <w:t xml:space="preserve"> separately</w:t>
      </w:r>
      <w:r w:rsidR="000D366B">
        <w:t xml:space="preserve">. If women’s increase in negotiation propensity over time exceeds that of men, then it suggests </w:t>
      </w:r>
      <w:r>
        <w:t xml:space="preserve">the findings of Studies 2a and 2b </w:t>
      </w:r>
      <w:r w:rsidR="00765E3D">
        <w:t>are potentially explained by</w:t>
      </w:r>
      <w:r>
        <w:t xml:space="preserve"> a broader reversal of the historic pattern in recent years. We reasoned that a variety of factors</w:t>
      </w:r>
      <w:r w:rsidR="002A2B88" w:rsidRPr="002A2B88">
        <w:t xml:space="preserve"> </w:t>
      </w:r>
      <w:r w:rsidR="002A2B88">
        <w:t>could have impacted women’s negotiation propensity such that it rose over time</w:t>
      </w:r>
      <w:r>
        <w:t xml:space="preserve">, including changes in gender stereotypes, knowledge of the gender pay gap, women’s potential desire to self-negate (i.e., react against, Kray et al., 2001) </w:t>
      </w:r>
      <w:r w:rsidR="00992A4F">
        <w:t>negative</w:t>
      </w:r>
      <w:r>
        <w:t xml:space="preserve"> stereotype</w:t>
      </w:r>
      <w:r w:rsidR="00992A4F">
        <w:t>s in the realm of negotiations</w:t>
      </w:r>
      <w:r>
        <w:t xml:space="preserve">, women’s advancement in terms of educational and career achievements, and popular messages by leading executives encouraging assertiveness and agency from women (e.g., Sheryl Sandberg’s </w:t>
      </w:r>
      <w:r>
        <w:rPr>
          <w:i/>
          <w:iCs/>
        </w:rPr>
        <w:t>Lean In</w:t>
      </w:r>
      <w:r>
        <w:t xml:space="preserve"> </w:t>
      </w:r>
      <w:r>
        <w:lastRenderedPageBreak/>
        <w:t xml:space="preserve">messaging). Therefore, the gender difference in </w:t>
      </w:r>
      <w:r w:rsidR="004A791B">
        <w:t>negotiation propensity</w:t>
      </w:r>
      <w:r>
        <w:t xml:space="preserve"> might have </w:t>
      </w:r>
      <w:r w:rsidR="006F6534">
        <w:t>not o</w:t>
      </w:r>
      <w:r>
        <w:t xml:space="preserve">nly decreased in magnitude but </w:t>
      </w:r>
      <w:r w:rsidR="006F6534">
        <w:t xml:space="preserve">also </w:t>
      </w:r>
      <w:r>
        <w:t xml:space="preserve">disappeared or even reversed. Prior analyses left unclear whether the gender gap remained statistically significant in recent years and, if so, in what direction. We aimed to both replicate the moderation of </w:t>
      </w:r>
      <w:r w:rsidR="00992A4F">
        <w:t xml:space="preserve">the </w:t>
      </w:r>
      <w:r>
        <w:t xml:space="preserve">gender difference in negotiation propensity </w:t>
      </w:r>
      <w:r w:rsidR="00992A4F">
        <w:t xml:space="preserve">by </w:t>
      </w:r>
      <w:r>
        <w:t>year, following Kugler et al. (2018) and to further specify the pattern. As a final step, we added our data to test robustness.</w:t>
      </w:r>
    </w:p>
    <w:p w14:paraId="44D3B45F" w14:textId="77777777" w:rsidR="00BB741C" w:rsidRPr="00F74B4A" w:rsidRDefault="00BB741C" w:rsidP="00BB741C">
      <w:pPr>
        <w:spacing w:line="480" w:lineRule="auto"/>
        <w:rPr>
          <w:rFonts w:ascii="Times New Roman Bold" w:hAnsi="Times New Roman Bold"/>
          <w:b/>
          <w:bCs/>
        </w:rPr>
      </w:pPr>
      <w:r w:rsidRPr="00F74B4A">
        <w:rPr>
          <w:rFonts w:ascii="Times New Roman Bold" w:hAnsi="Times New Roman Bold"/>
          <w:b/>
          <w:bCs/>
        </w:rPr>
        <w:t>Method</w:t>
      </w:r>
    </w:p>
    <w:p w14:paraId="08BB6E97" w14:textId="6A9A551F" w:rsidR="00BB741C" w:rsidRPr="00090E1C" w:rsidRDefault="00BB741C" w:rsidP="00BB741C">
      <w:pPr>
        <w:spacing w:line="480" w:lineRule="auto"/>
      </w:pPr>
      <w:r w:rsidRPr="00086A0A">
        <w:rPr>
          <w:rFonts w:ascii="Times New Roman Bold" w:hAnsi="Times New Roman Bold"/>
        </w:rPr>
        <w:t xml:space="preserve"> </w:t>
      </w:r>
      <w:r w:rsidRPr="00086A0A">
        <w:rPr>
          <w:rFonts w:ascii="Times New Roman Bold" w:hAnsi="Times New Roman Bold"/>
        </w:rPr>
        <w:tab/>
      </w:r>
      <w:r w:rsidRPr="003E4E0C">
        <w:rPr>
          <w:b/>
          <w:bCs/>
          <w:i/>
          <w:iCs/>
        </w:rPr>
        <w:t xml:space="preserve">Inclusion </w:t>
      </w:r>
      <w:r>
        <w:rPr>
          <w:b/>
          <w:bCs/>
          <w:i/>
          <w:iCs/>
        </w:rPr>
        <w:t>c</w:t>
      </w:r>
      <w:r w:rsidRPr="003E4E0C">
        <w:rPr>
          <w:b/>
          <w:bCs/>
          <w:i/>
          <w:iCs/>
        </w:rPr>
        <w:t>riteria.</w:t>
      </w:r>
      <w:r>
        <w:t xml:space="preserve"> From Kugler et al.’s (2018) review of retrospective/prospective studies (</w:t>
      </w:r>
      <w:r w:rsidRPr="0091087E">
        <w:rPr>
          <w:i/>
          <w:iCs/>
        </w:rPr>
        <w:t>k</w:t>
      </w:r>
      <w:r>
        <w:t xml:space="preserve"> = 18; </w:t>
      </w:r>
      <w:r>
        <w:rPr>
          <w:i/>
          <w:iCs/>
        </w:rPr>
        <w:t xml:space="preserve">n </w:t>
      </w:r>
      <w:r>
        <w:t>= 8,695), we identified the subset of studies that measured self-reported initiation of salary negotiations using a dichotomous measure to ensure comparability with Studies 2a and 2b.</w:t>
      </w:r>
      <w:r>
        <w:rPr>
          <w:rStyle w:val="FootnoteReference"/>
          <w:rFonts w:eastAsiaTheme="minorEastAsia"/>
        </w:rPr>
        <w:footnoteReference w:id="4"/>
      </w:r>
      <w:r>
        <w:t xml:space="preserve"> Kugler et al. (2018) noted the significance of focusing on salary and career negotiations because the effect size for gender was smaller when studies were limited to this subset. As a final step, we added our data from Studies 2A and 2B to the analysis of gender and salary negotiation propensity over time. Kugler et al.’s (2018) meta-analysis</w:t>
      </w:r>
      <w:r w:rsidR="001E26D6">
        <w:t xml:space="preserve"> included</w:t>
      </w:r>
      <w:r w:rsidR="006459EE">
        <w:t xml:space="preserve"> 9 studies</w:t>
      </w:r>
      <w:r>
        <w:t xml:space="preserve"> </w:t>
      </w:r>
      <w:r w:rsidR="001E26D6">
        <w:t>measuring</w:t>
      </w:r>
      <w:r w:rsidR="006459EE">
        <w:t xml:space="preserve"> self-reported initiation of salary negotiations</w:t>
      </w:r>
      <w:r w:rsidR="001E26D6">
        <w:t xml:space="preserve">, </w:t>
      </w:r>
      <w:r w:rsidR="006459EE">
        <w:t>published between 1982 and 2015.</w:t>
      </w:r>
      <w:r w:rsidR="00102849">
        <w:rPr>
          <w:rStyle w:val="FootnoteReference"/>
        </w:rPr>
        <w:footnoteReference w:id="5"/>
      </w:r>
      <w:r w:rsidR="006459EE">
        <w:t xml:space="preserve"> </w:t>
      </w:r>
    </w:p>
    <w:p w14:paraId="198E54AD" w14:textId="22F3B4F6" w:rsidR="00BB741C" w:rsidRPr="008A2CC5" w:rsidRDefault="00BB741C" w:rsidP="00BB741C">
      <w:pPr>
        <w:spacing w:line="480" w:lineRule="auto"/>
        <w:rPr>
          <w:b/>
          <w:bCs/>
        </w:rPr>
      </w:pPr>
      <w:r w:rsidRPr="003E4E0C">
        <w:rPr>
          <w:b/>
          <w:bCs/>
          <w:i/>
          <w:iCs/>
        </w:rPr>
        <w:tab/>
        <w:t xml:space="preserve">Statistical </w:t>
      </w:r>
      <w:r>
        <w:rPr>
          <w:b/>
          <w:bCs/>
          <w:i/>
          <w:iCs/>
        </w:rPr>
        <w:t>m</w:t>
      </w:r>
      <w:r w:rsidRPr="003E4E0C">
        <w:rPr>
          <w:b/>
          <w:bCs/>
          <w:i/>
          <w:iCs/>
        </w:rPr>
        <w:t>ethods.</w:t>
      </w:r>
      <w:r>
        <w:rPr>
          <w:b/>
          <w:bCs/>
        </w:rPr>
        <w:t xml:space="preserve"> </w:t>
      </w:r>
      <w:r>
        <w:t>Following Kugler et al. (2018), w</w:t>
      </w:r>
      <w:r w:rsidRPr="006C239C">
        <w:t xml:space="preserve">e </w:t>
      </w:r>
      <w:r>
        <w:t>used Comprehensive Meta-analysis software</w:t>
      </w:r>
      <w:r>
        <w:rPr>
          <w:rStyle w:val="FootnoteReference"/>
          <w:rFonts w:eastAsiaTheme="minorEastAsia"/>
        </w:rPr>
        <w:footnoteReference w:id="6"/>
      </w:r>
      <w:r>
        <w:t xml:space="preserve"> to </w:t>
      </w:r>
      <w:r w:rsidRPr="006C239C">
        <w:t>comput</w:t>
      </w:r>
      <w:r>
        <w:t xml:space="preserve">e a Hedges’ </w:t>
      </w:r>
      <w:r>
        <w:rPr>
          <w:i/>
          <w:iCs/>
        </w:rPr>
        <w:t>g-</w:t>
      </w:r>
      <w:r>
        <w:t xml:space="preserve">statistic effect size for the gender difference in </w:t>
      </w:r>
      <w:r w:rsidR="00EF2084">
        <w:t xml:space="preserve">the </w:t>
      </w:r>
      <w:r>
        <w:lastRenderedPageBreak/>
        <w:t>propensity to negotiate salary (Borenstein et al., 2011). We also report Z-values, standard errors, and confidence intervals (C</w:t>
      </w:r>
      <w:r w:rsidR="0041439F">
        <w:t>I</w:t>
      </w:r>
      <w:r>
        <w:t xml:space="preserve">) for the effects, utilizing </w:t>
      </w:r>
      <w:r w:rsidRPr="005556C0">
        <w:t xml:space="preserve">a random-effects model that </w:t>
      </w:r>
      <w:r>
        <w:t>accounts for</w:t>
      </w:r>
      <w:r w:rsidRPr="005556C0">
        <w:t xml:space="preserve"> both </w:t>
      </w:r>
      <w:r>
        <w:t>participant</w:t>
      </w:r>
      <w:r w:rsidRPr="005556C0">
        <w:t>-level and study-level sampling error</w:t>
      </w:r>
      <w:r w:rsidR="00EF2084">
        <w:t>s</w:t>
      </w:r>
      <w:r w:rsidRPr="005556C0">
        <w:t>.</w:t>
      </w:r>
      <w:r>
        <w:t xml:space="preserve"> </w:t>
      </w:r>
      <w:r w:rsidR="00492C7F">
        <w:t xml:space="preserve">An advantage of traditional meta-analysis is that it is unbiased </w:t>
      </w:r>
      <w:r w:rsidR="00EF2084">
        <w:t>by</w:t>
      </w:r>
      <w:r w:rsidR="00492C7F">
        <w:t xml:space="preserve"> sample size, as Kugler et al. (2018) note (</w:t>
      </w:r>
      <w:r w:rsidR="00492C7F" w:rsidRPr="00867B70">
        <w:t>p</w:t>
      </w:r>
      <w:r w:rsidR="00492C7F">
        <w:t>. 15).</w:t>
      </w:r>
    </w:p>
    <w:p w14:paraId="04531EB5" w14:textId="77777777" w:rsidR="00BB741C" w:rsidRPr="003E4E0C" w:rsidRDefault="00BB741C" w:rsidP="00BB741C">
      <w:pPr>
        <w:spacing w:line="480" w:lineRule="auto"/>
        <w:rPr>
          <w:b/>
          <w:bCs/>
        </w:rPr>
      </w:pPr>
      <w:r w:rsidRPr="003E4E0C">
        <w:rPr>
          <w:b/>
          <w:bCs/>
        </w:rPr>
        <w:t>Results</w:t>
      </w:r>
    </w:p>
    <w:p w14:paraId="03CDBF87" w14:textId="022FD832" w:rsidR="00BB741C" w:rsidRDefault="00D83229" w:rsidP="00BB741C">
      <w:pPr>
        <w:spacing w:line="480" w:lineRule="auto"/>
        <w:ind w:firstLine="720"/>
      </w:pPr>
      <w:r>
        <w:rPr>
          <w:b/>
          <w:bCs/>
          <w:i/>
          <w:iCs/>
        </w:rPr>
        <w:t xml:space="preserve">Meta-analysis of gender differences in salary negotiation propensity. </w:t>
      </w:r>
      <w:r w:rsidR="00BB741C">
        <w:t>A meta-analysis of Kugler et al.’s (2018) studies of self-reported initiation of salary negotiation (</w:t>
      </w:r>
      <w:r w:rsidR="00BB741C">
        <w:rPr>
          <w:i/>
          <w:iCs/>
        </w:rPr>
        <w:t xml:space="preserve">k </w:t>
      </w:r>
      <w:r w:rsidR="00BB741C">
        <w:t xml:space="preserve">= 9; </w:t>
      </w:r>
      <w:r w:rsidR="00BB741C">
        <w:rPr>
          <w:i/>
          <w:iCs/>
        </w:rPr>
        <w:t xml:space="preserve">n </w:t>
      </w:r>
      <w:r w:rsidR="00BB741C">
        <w:t xml:space="preserve">= 5,108) yielded no evidence of a statistically significant gender difference (Hedges’ </w:t>
      </w:r>
      <w:r w:rsidR="00BB741C">
        <w:rPr>
          <w:i/>
          <w:iCs/>
        </w:rPr>
        <w:t xml:space="preserve">g </w:t>
      </w:r>
      <w:r w:rsidR="00BB741C">
        <w:t xml:space="preserve">= -.01, </w:t>
      </w:r>
      <w:r w:rsidR="00BB741C">
        <w:rPr>
          <w:i/>
          <w:iCs/>
        </w:rPr>
        <w:t xml:space="preserve">SE </w:t>
      </w:r>
      <w:r w:rsidR="00BB741C">
        <w:t xml:space="preserve">= .05, </w:t>
      </w:r>
      <w:r w:rsidR="00BB741C">
        <w:rPr>
          <w:i/>
          <w:iCs/>
        </w:rPr>
        <w:t xml:space="preserve">Z </w:t>
      </w:r>
      <w:r w:rsidR="00BB741C">
        <w:t xml:space="preserve">= -0.21, </w:t>
      </w:r>
      <w:r w:rsidR="00BB741C">
        <w:rPr>
          <w:i/>
          <w:iCs/>
        </w:rPr>
        <w:t xml:space="preserve">p </w:t>
      </w:r>
      <w:r w:rsidR="00BB741C">
        <w:t>= .84, 95% CI: -0.11</w:t>
      </w:r>
      <w:r w:rsidR="00992A4F">
        <w:t>,</w:t>
      </w:r>
      <w:r w:rsidR="00BB741C">
        <w:t xml:space="preserve"> 0.67). Table 3 describes the publications included in our analyses. Next, we added our data from Studies 2a and 2b (</w:t>
      </w:r>
      <w:r w:rsidR="00BB741C">
        <w:rPr>
          <w:i/>
          <w:iCs/>
        </w:rPr>
        <w:t xml:space="preserve">k </w:t>
      </w:r>
      <w:r w:rsidR="00BB741C">
        <w:t xml:space="preserve">= 11, </w:t>
      </w:r>
      <w:r w:rsidR="00BB741C">
        <w:rPr>
          <w:i/>
          <w:iCs/>
        </w:rPr>
        <w:t xml:space="preserve">n </w:t>
      </w:r>
      <w:r w:rsidR="00BB741C">
        <w:t xml:space="preserve">= 8,037). The pattern for gender remained statistically non-significant, indicating </w:t>
      </w:r>
      <w:r w:rsidR="0074561A">
        <w:t xml:space="preserve">that </w:t>
      </w:r>
      <w:r w:rsidR="00BB741C">
        <w:t>women</w:t>
      </w:r>
      <w:r w:rsidR="00C60AEB">
        <w:t xml:space="preserve"> and men</w:t>
      </w:r>
      <w:r w:rsidR="00BB741C">
        <w:t xml:space="preserve"> </w:t>
      </w:r>
      <w:r w:rsidR="00C60AEB">
        <w:t xml:space="preserve">had </w:t>
      </w:r>
      <w:r w:rsidR="00BB741C">
        <w:t xml:space="preserve">initiated salary negotiations to </w:t>
      </w:r>
      <w:r w:rsidR="00C60AEB">
        <w:t>similar</w:t>
      </w:r>
      <w:r w:rsidR="00BB741C">
        <w:t xml:space="preserve"> degree</w:t>
      </w:r>
      <w:r w:rsidR="00C60AEB">
        <w:t>s</w:t>
      </w:r>
      <w:r w:rsidR="00BB741C">
        <w:t xml:space="preserve"> (Hedges’ </w:t>
      </w:r>
      <w:r w:rsidR="00BB741C">
        <w:rPr>
          <w:i/>
          <w:iCs/>
        </w:rPr>
        <w:t xml:space="preserve">g </w:t>
      </w:r>
      <w:r w:rsidR="00BB741C">
        <w:t xml:space="preserve">= -.02, </w:t>
      </w:r>
      <w:r w:rsidR="00BB741C">
        <w:rPr>
          <w:i/>
          <w:iCs/>
        </w:rPr>
        <w:t xml:space="preserve">SE </w:t>
      </w:r>
      <w:r w:rsidR="00BB741C">
        <w:t xml:space="preserve">= .06, </w:t>
      </w:r>
      <w:r w:rsidR="00BB741C">
        <w:rPr>
          <w:i/>
          <w:iCs/>
        </w:rPr>
        <w:t xml:space="preserve">Z </w:t>
      </w:r>
      <w:r w:rsidR="00BB741C">
        <w:t xml:space="preserve">= -0.33, </w:t>
      </w:r>
      <w:r w:rsidR="00BB741C">
        <w:rPr>
          <w:i/>
          <w:iCs/>
        </w:rPr>
        <w:t xml:space="preserve">p </w:t>
      </w:r>
      <w:r w:rsidR="00BB741C">
        <w:t>= .74, 95% CI: -0.13, 0.09).</w:t>
      </w:r>
    </w:p>
    <w:p w14:paraId="3D3B4A04" w14:textId="69F02807" w:rsidR="00BB741C" w:rsidRDefault="00675ECC" w:rsidP="00BB741C">
      <w:pPr>
        <w:spacing w:line="480" w:lineRule="auto"/>
        <w:ind w:firstLine="720"/>
      </w:pPr>
      <w:r>
        <w:rPr>
          <w:b/>
          <w:i/>
        </w:rPr>
        <w:t>Meta-</w:t>
      </w:r>
      <w:r w:rsidR="00C13359">
        <w:rPr>
          <w:b/>
          <w:i/>
        </w:rPr>
        <w:t xml:space="preserve">regression </w:t>
      </w:r>
      <w:r>
        <w:rPr>
          <w:b/>
          <w:i/>
        </w:rPr>
        <w:t>of g</w:t>
      </w:r>
      <w:r w:rsidR="00BB741C" w:rsidRPr="00234063">
        <w:rPr>
          <w:b/>
          <w:i/>
        </w:rPr>
        <w:t xml:space="preserve">ender differences in </w:t>
      </w:r>
      <w:r w:rsidR="00D83229">
        <w:rPr>
          <w:b/>
          <w:i/>
        </w:rPr>
        <w:t xml:space="preserve">salary </w:t>
      </w:r>
      <w:r w:rsidR="004A791B">
        <w:rPr>
          <w:b/>
          <w:i/>
        </w:rPr>
        <w:t>negotiation propensity</w:t>
      </w:r>
      <w:r w:rsidR="00BB741C" w:rsidRPr="00234063">
        <w:rPr>
          <w:b/>
          <w:i/>
        </w:rPr>
        <w:t xml:space="preserve"> over time</w:t>
      </w:r>
      <w:r w:rsidR="00BB741C">
        <w:t xml:space="preserve">. We next conducted a meta-regression within the Comprehensive Meta-analysis software with </w:t>
      </w:r>
      <w:r w:rsidR="00EF2084">
        <w:t xml:space="preserve">the </w:t>
      </w:r>
      <w:r w:rsidR="00BB741C">
        <w:t xml:space="preserve">year of publication predicting the Hedges’ </w:t>
      </w:r>
      <w:r w:rsidR="00BB741C" w:rsidRPr="001359AE">
        <w:rPr>
          <w:i/>
          <w:iCs/>
        </w:rPr>
        <w:t>g</w:t>
      </w:r>
      <w:r w:rsidR="00BB741C">
        <w:t xml:space="preserve"> approximating the gender difference in </w:t>
      </w:r>
      <w:r w:rsidR="00EF2084">
        <w:t xml:space="preserve">the </w:t>
      </w:r>
      <w:r w:rsidR="00BB741C">
        <w:t xml:space="preserve">propensity to negotiate. </w:t>
      </w:r>
      <w:r w:rsidR="00EF2084">
        <w:t xml:space="preserve">The year </w:t>
      </w:r>
      <w:r w:rsidR="00BB741C">
        <w:t>of publication served as a proxy for time (min = 1982, max = 201</w:t>
      </w:r>
      <w:r w:rsidR="00992A4F">
        <w:t>5</w:t>
      </w:r>
      <w:r w:rsidR="00BB741C">
        <w:t>). Using an unrestricted maximum likelihood model, we find that the gender difference significantly decline</w:t>
      </w:r>
      <w:r w:rsidR="00B96CC3">
        <w:t>d</w:t>
      </w:r>
      <w:r w:rsidR="00BB741C">
        <w:t xml:space="preserve"> over time (</w:t>
      </w:r>
      <w:r w:rsidR="00BB741C" w:rsidRPr="00BA79FB">
        <w:rPr>
          <w:i/>
          <w:iCs/>
        </w:rPr>
        <w:t>k</w:t>
      </w:r>
      <w:r w:rsidR="00BB741C">
        <w:t xml:space="preserve"> = 9, </w:t>
      </w:r>
      <w:r w:rsidR="00BB741C" w:rsidRPr="00BA79FB">
        <w:rPr>
          <w:i/>
          <w:iCs/>
        </w:rPr>
        <w:t>B</w:t>
      </w:r>
      <w:r w:rsidR="00BB741C">
        <w:t xml:space="preserve"> = -.01, </w:t>
      </w:r>
      <w:proofErr w:type="gramStart"/>
      <w:r w:rsidR="00BB741C" w:rsidRPr="00BA79FB">
        <w:rPr>
          <w:i/>
          <w:iCs/>
        </w:rPr>
        <w:t>Q</w:t>
      </w:r>
      <w:r w:rsidR="00BB741C">
        <w:t>(</w:t>
      </w:r>
      <w:proofErr w:type="gramEnd"/>
      <w:r w:rsidR="00BB741C">
        <w:t xml:space="preserve">1) = 4.19, </w:t>
      </w:r>
      <w:r w:rsidR="00BB741C" w:rsidRPr="00BA79FB">
        <w:rPr>
          <w:i/>
          <w:iCs/>
        </w:rPr>
        <w:t>p</w:t>
      </w:r>
      <w:r w:rsidR="00BB741C">
        <w:t xml:space="preserve"> = .04, 95% CI: -.02, -.00). This </w:t>
      </w:r>
      <w:r w:rsidR="00B96CC3">
        <w:t>pattern is consistent with results reported by</w:t>
      </w:r>
      <w:r w:rsidR="00BB741C">
        <w:t xml:space="preserve"> Kugler et al. (2018)</w:t>
      </w:r>
      <w:r w:rsidR="00027451">
        <w:t xml:space="preserve"> </w:t>
      </w:r>
      <w:r w:rsidR="0041439F">
        <w:t>based on</w:t>
      </w:r>
      <w:r w:rsidR="00B96CC3">
        <w:t xml:space="preserve"> their entire dataset (</w:t>
      </w:r>
      <w:r w:rsidR="00027451" w:rsidRPr="00B96CC3">
        <w:rPr>
          <w:i/>
          <w:iCs/>
        </w:rPr>
        <w:t>k</w:t>
      </w:r>
      <w:r w:rsidR="00027451">
        <w:t xml:space="preserve"> = 55</w:t>
      </w:r>
      <w:r w:rsidR="00B96CC3">
        <w:t xml:space="preserve">, </w:t>
      </w:r>
      <w:r w:rsidR="00B96CC3" w:rsidRPr="00B96CC3">
        <w:rPr>
          <w:i/>
          <w:iCs/>
        </w:rPr>
        <w:t>n</w:t>
      </w:r>
      <w:r w:rsidR="00B96CC3">
        <w:t xml:space="preserve"> = 17,504)</w:t>
      </w:r>
      <w:r w:rsidR="00BB741C">
        <w:t xml:space="preserve">. </w:t>
      </w:r>
      <w:r w:rsidR="0072641C">
        <w:t xml:space="preserve">Figure 1 in the Supplemental Online Materials depicts the results. </w:t>
      </w:r>
      <w:r w:rsidR="00BB741C" w:rsidRPr="004F48EE">
        <w:t xml:space="preserve">We next </w:t>
      </w:r>
      <w:r w:rsidR="00BB741C">
        <w:t>re-</w:t>
      </w:r>
      <w:r w:rsidR="00BB741C" w:rsidRPr="004F48EE">
        <w:t xml:space="preserve">conducted </w:t>
      </w:r>
      <w:r w:rsidR="00BB741C">
        <w:t xml:space="preserve">the analysis including the data from our two studies. Again, the gender difference </w:t>
      </w:r>
      <w:r w:rsidR="00BB741C">
        <w:lastRenderedPageBreak/>
        <w:t xml:space="preserve">decreased over time per </w:t>
      </w:r>
      <w:proofErr w:type="gramStart"/>
      <w:r w:rsidR="00BB741C">
        <w:t>the analysis</w:t>
      </w:r>
      <w:proofErr w:type="gramEnd"/>
      <w:r w:rsidR="00BB741C">
        <w:t xml:space="preserve"> (</w:t>
      </w:r>
      <w:r w:rsidR="00BB741C" w:rsidRPr="00BA79FB">
        <w:rPr>
          <w:i/>
          <w:iCs/>
        </w:rPr>
        <w:t>k</w:t>
      </w:r>
      <w:r w:rsidR="00BB741C">
        <w:t xml:space="preserve"> = 11, </w:t>
      </w:r>
      <w:r w:rsidR="00BB741C" w:rsidRPr="00BA79FB">
        <w:rPr>
          <w:i/>
          <w:iCs/>
        </w:rPr>
        <w:t>B</w:t>
      </w:r>
      <w:r w:rsidR="00BB741C">
        <w:t xml:space="preserve"> = -.01, </w:t>
      </w:r>
      <w:proofErr w:type="gramStart"/>
      <w:r w:rsidR="00BB741C" w:rsidRPr="00BA79FB">
        <w:rPr>
          <w:i/>
          <w:iCs/>
        </w:rPr>
        <w:t>Q</w:t>
      </w:r>
      <w:r w:rsidR="00BB741C">
        <w:t>(</w:t>
      </w:r>
      <w:proofErr w:type="gramEnd"/>
      <w:r w:rsidR="00BB741C">
        <w:t xml:space="preserve">1) = 13.57, </w:t>
      </w:r>
      <w:r w:rsidR="00BB741C" w:rsidRPr="00BA79FB">
        <w:rPr>
          <w:i/>
          <w:iCs/>
        </w:rPr>
        <w:t>p</w:t>
      </w:r>
      <w:r w:rsidR="00BB741C">
        <w:t xml:space="preserve"> &lt; .001, 95% CI: -.02, -.01). </w:t>
      </w:r>
    </w:p>
    <w:p w14:paraId="161A86DA" w14:textId="7DB7CF95" w:rsidR="0003387F" w:rsidRDefault="00675ECC" w:rsidP="00DF7E11">
      <w:pPr>
        <w:spacing w:line="480" w:lineRule="auto"/>
        <w:ind w:firstLine="720"/>
      </w:pPr>
      <w:r>
        <w:rPr>
          <w:b/>
          <w:bCs/>
          <w:i/>
          <w:iCs/>
        </w:rPr>
        <w:t xml:space="preserve">Logistic regression </w:t>
      </w:r>
      <w:r w:rsidR="001C291D">
        <w:rPr>
          <w:b/>
          <w:bCs/>
          <w:i/>
          <w:iCs/>
        </w:rPr>
        <w:t>predicting</w:t>
      </w:r>
      <w:r w:rsidR="00D83229">
        <w:rPr>
          <w:b/>
          <w:bCs/>
          <w:i/>
          <w:iCs/>
        </w:rPr>
        <w:t xml:space="preserve"> salary</w:t>
      </w:r>
      <w:r>
        <w:rPr>
          <w:b/>
          <w:bCs/>
          <w:i/>
          <w:iCs/>
        </w:rPr>
        <w:t xml:space="preserve"> </w:t>
      </w:r>
      <w:r w:rsidR="004A791B">
        <w:rPr>
          <w:b/>
          <w:bCs/>
          <w:i/>
          <w:iCs/>
        </w:rPr>
        <w:t>negotiation propensity</w:t>
      </w:r>
      <w:r w:rsidR="005A40C6" w:rsidRPr="009B306B">
        <w:rPr>
          <w:b/>
          <w:bCs/>
          <w:i/>
          <w:iCs/>
        </w:rPr>
        <w:t xml:space="preserve"> over time</w:t>
      </w:r>
      <w:r w:rsidR="001C291D">
        <w:rPr>
          <w:b/>
          <w:bCs/>
          <w:i/>
          <w:iCs/>
        </w:rPr>
        <w:t xml:space="preserve"> by gender</w:t>
      </w:r>
      <w:r w:rsidR="005A40C6">
        <w:rPr>
          <w:b/>
          <w:bCs/>
        </w:rPr>
        <w:t>.</w:t>
      </w:r>
      <w:r w:rsidR="00722AB0">
        <w:t xml:space="preserve"> As a final step</w:t>
      </w:r>
      <w:r w:rsidR="00687195">
        <w:t>,</w:t>
      </w:r>
      <w:r w:rsidR="00765E3D">
        <w:t xml:space="preserve"> </w:t>
      </w:r>
      <w:r w:rsidR="00687195">
        <w:t>exploring</w:t>
      </w:r>
      <w:r w:rsidR="00765E3D">
        <w:t xml:space="preserve"> changes in negotiation propensity over time separately for women and men</w:t>
      </w:r>
      <w:r w:rsidR="00722AB0">
        <w:t>,</w:t>
      </w:r>
      <w:r w:rsidR="00BB741C">
        <w:t xml:space="preserve"> we </w:t>
      </w:r>
      <w:r w:rsidR="007E54FF">
        <w:t xml:space="preserve">conducted logistic regression analyses </w:t>
      </w:r>
      <w:r w:rsidR="00BB741C">
        <w:t>predicting</w:t>
      </w:r>
      <w:r w:rsidR="00BB741C" w:rsidRPr="004F48EE">
        <w:t xml:space="preserve"> salary negotiation propensity </w:t>
      </w:r>
      <w:r w:rsidR="00BB741C">
        <w:t>with</w:t>
      </w:r>
      <w:r w:rsidR="00BB741C" w:rsidRPr="004F48EE">
        <w:t xml:space="preserve"> gender</w:t>
      </w:r>
      <w:r w:rsidR="00B73444">
        <w:t>, year</w:t>
      </w:r>
      <w:r w:rsidR="00C52DAF">
        <w:t xml:space="preserve"> of publication</w:t>
      </w:r>
      <w:r w:rsidR="003530C1">
        <w:t xml:space="preserve"> (as a proxy for time)</w:t>
      </w:r>
      <w:r w:rsidR="00B73444">
        <w:t>, and the interaction term</w:t>
      </w:r>
      <w:r w:rsidR="003E7FF2">
        <w:t xml:space="preserve">. </w:t>
      </w:r>
      <w:r w:rsidR="00B73444" w:rsidRPr="004F48EE">
        <w:t xml:space="preserve">We mean-centered the predictor variables to reduce multicollinearity. </w:t>
      </w:r>
      <w:r w:rsidR="003E7FF2">
        <w:t xml:space="preserve">We first </w:t>
      </w:r>
      <w:r w:rsidR="0003387F">
        <w:t xml:space="preserve">analyzed the </w:t>
      </w:r>
      <w:r w:rsidR="00ED569D">
        <w:t xml:space="preserve">self-reported </w:t>
      </w:r>
      <w:r w:rsidR="00BB741C">
        <w:t>data</w:t>
      </w:r>
      <w:r w:rsidR="00BB741C" w:rsidRPr="004F48EE">
        <w:t xml:space="preserve"> from the Kugler </w:t>
      </w:r>
      <w:r w:rsidR="00BB741C">
        <w:t xml:space="preserve">et al. (2018) </w:t>
      </w:r>
      <w:r w:rsidR="00BB741C" w:rsidRPr="004F48EE">
        <w:t>meta-analysis described above</w:t>
      </w:r>
      <w:r w:rsidR="00F01815">
        <w:t xml:space="preserve"> (</w:t>
      </w:r>
      <w:r w:rsidR="00F01815">
        <w:rPr>
          <w:i/>
          <w:iCs/>
        </w:rPr>
        <w:t xml:space="preserve">n </w:t>
      </w:r>
      <w:r w:rsidR="00F01815">
        <w:t>= 5,108)</w:t>
      </w:r>
      <w:r w:rsidR="003E7FF2">
        <w:t xml:space="preserve">. </w:t>
      </w:r>
      <w:r w:rsidR="00A75992">
        <w:t>T</w:t>
      </w:r>
      <w:r w:rsidR="006C4DC7" w:rsidRPr="004F48EE">
        <w:t>hree statistically significant effects</w:t>
      </w:r>
      <w:r w:rsidR="006C4DC7">
        <w:t xml:space="preserve"> emerged</w:t>
      </w:r>
      <w:r w:rsidR="006C4DC7" w:rsidRPr="004F48EE">
        <w:t>. First, the odds of negotiating increased over time, </w:t>
      </w:r>
      <w:r w:rsidR="006C4DC7" w:rsidRPr="004F48EE">
        <w:rPr>
          <w:i/>
          <w:iCs/>
        </w:rPr>
        <w:t>OR </w:t>
      </w:r>
      <w:r w:rsidR="006C4DC7" w:rsidRPr="004F48EE">
        <w:t>= 1.0</w:t>
      </w:r>
      <w:r w:rsidR="0075117F">
        <w:t>1</w:t>
      </w:r>
      <w:r w:rsidR="006C4DC7" w:rsidRPr="004F48EE">
        <w:t>, Wald χ</w:t>
      </w:r>
      <w:r w:rsidR="006C4DC7" w:rsidRPr="004F48EE">
        <w:rPr>
          <w:vertAlign w:val="superscript"/>
        </w:rPr>
        <w:t>2</w:t>
      </w:r>
      <w:r w:rsidR="006C4DC7" w:rsidRPr="004F48EE">
        <w:t xml:space="preserve"> = </w:t>
      </w:r>
      <w:r w:rsidR="008C2242">
        <w:t>3.84</w:t>
      </w:r>
      <w:r w:rsidR="006C4DC7" w:rsidRPr="004F48EE">
        <w:t>, </w:t>
      </w:r>
      <w:r w:rsidR="006C4DC7" w:rsidRPr="004F48EE">
        <w:rPr>
          <w:i/>
          <w:iCs/>
        </w:rPr>
        <w:t>p </w:t>
      </w:r>
      <w:r w:rsidR="0075117F">
        <w:t>=</w:t>
      </w:r>
      <w:r w:rsidR="006C4DC7" w:rsidRPr="004F48EE">
        <w:t xml:space="preserve"> .0</w:t>
      </w:r>
      <w:r w:rsidR="0075117F">
        <w:t>50</w:t>
      </w:r>
      <w:r w:rsidR="006C4DC7" w:rsidRPr="004F48EE">
        <w:t xml:space="preserve">. Second, the odds of negotiating were </w:t>
      </w:r>
      <w:r w:rsidR="0075117F">
        <w:t>29</w:t>
      </w:r>
      <w:r w:rsidR="006C4DC7" w:rsidRPr="004F48EE">
        <w:t>% higher for women than men, on average, </w:t>
      </w:r>
      <w:r w:rsidR="006C4DC7" w:rsidRPr="004F48EE">
        <w:rPr>
          <w:i/>
          <w:iCs/>
        </w:rPr>
        <w:t>OR </w:t>
      </w:r>
      <w:r w:rsidR="006C4DC7" w:rsidRPr="004F48EE">
        <w:t>= 1.</w:t>
      </w:r>
      <w:r w:rsidR="0075117F">
        <w:t>29</w:t>
      </w:r>
      <w:r w:rsidR="006C4DC7" w:rsidRPr="004F48EE">
        <w:t>, Wald χ</w:t>
      </w:r>
      <w:r w:rsidR="006C4DC7" w:rsidRPr="004F48EE">
        <w:rPr>
          <w:vertAlign w:val="superscript"/>
        </w:rPr>
        <w:t>2</w:t>
      </w:r>
      <w:r w:rsidR="006C4DC7" w:rsidRPr="004F48EE">
        <w:t xml:space="preserve"> = </w:t>
      </w:r>
      <w:r w:rsidR="008C2242">
        <w:t>18.53</w:t>
      </w:r>
      <w:r w:rsidR="006C4DC7" w:rsidRPr="004F48EE">
        <w:t>, </w:t>
      </w:r>
      <w:r w:rsidR="006C4DC7" w:rsidRPr="004F48EE">
        <w:rPr>
          <w:i/>
          <w:iCs/>
        </w:rPr>
        <w:t>p </w:t>
      </w:r>
      <w:r w:rsidR="006C4DC7" w:rsidRPr="004F48EE">
        <w:t xml:space="preserve">&lt; .001. Finally, </w:t>
      </w:r>
      <w:r w:rsidR="006C4DC7">
        <w:t>a time-by-gender interaction emerged, indicating that the relationship between negotiation propensity and time depended on gender</w:t>
      </w:r>
      <w:r w:rsidR="006C4DC7" w:rsidRPr="004F48EE">
        <w:t>, </w:t>
      </w:r>
      <w:r w:rsidR="006C4DC7" w:rsidRPr="004F48EE">
        <w:rPr>
          <w:i/>
          <w:iCs/>
        </w:rPr>
        <w:t>OR </w:t>
      </w:r>
      <w:r w:rsidR="006C4DC7" w:rsidRPr="004F48EE">
        <w:t>= 1.03, Wald χ</w:t>
      </w:r>
      <w:r w:rsidR="006C4DC7" w:rsidRPr="004F48EE">
        <w:rPr>
          <w:vertAlign w:val="superscript"/>
        </w:rPr>
        <w:t>2</w:t>
      </w:r>
      <w:r w:rsidR="006C4DC7" w:rsidRPr="004F48EE">
        <w:t xml:space="preserve"> = </w:t>
      </w:r>
      <w:r w:rsidR="007A5DD9">
        <w:t>17.54</w:t>
      </w:r>
      <w:r w:rsidR="006C4DC7" w:rsidRPr="004F48EE">
        <w:t>, </w:t>
      </w:r>
      <w:r w:rsidR="006C4DC7" w:rsidRPr="004F48EE">
        <w:rPr>
          <w:i/>
          <w:iCs/>
        </w:rPr>
        <w:t>p </w:t>
      </w:r>
      <w:r w:rsidR="006C4DC7" w:rsidRPr="004F48EE">
        <w:t>&lt; .001</w:t>
      </w:r>
      <w:r w:rsidR="001A74AE">
        <w:t xml:space="preserve">. </w:t>
      </w:r>
      <w:r w:rsidR="006C4DC7">
        <w:t>Examining each gender’s negotiating trend over time reveals that women</w:t>
      </w:r>
      <w:r w:rsidR="006C4DC7" w:rsidRPr="00C07660">
        <w:t xml:space="preserve"> (</w:t>
      </w:r>
      <w:r w:rsidR="006C4DC7" w:rsidRPr="00C07660">
        <w:rPr>
          <w:i/>
          <w:iCs/>
        </w:rPr>
        <w:t>OR</w:t>
      </w:r>
      <w:r w:rsidR="006C4DC7" w:rsidRPr="00C07660">
        <w:t xml:space="preserve"> = 1.0</w:t>
      </w:r>
      <w:r w:rsidR="006862BE">
        <w:t>2</w:t>
      </w:r>
      <w:r w:rsidR="006C4DC7" w:rsidRPr="00C07660">
        <w:t xml:space="preserve">, </w:t>
      </w:r>
      <w:r w:rsidR="006C4DC7" w:rsidRPr="004F48EE">
        <w:t>Wald χ</w:t>
      </w:r>
      <w:r w:rsidR="006C4DC7" w:rsidRPr="004F48EE">
        <w:rPr>
          <w:vertAlign w:val="superscript"/>
        </w:rPr>
        <w:t>2</w:t>
      </w:r>
      <w:r w:rsidR="006C4DC7" w:rsidRPr="004F48EE">
        <w:t xml:space="preserve"> = </w:t>
      </w:r>
      <w:r w:rsidR="006862BE">
        <w:t>15.43</w:t>
      </w:r>
      <w:r w:rsidR="006C4DC7" w:rsidRPr="004F48EE">
        <w:t>, </w:t>
      </w:r>
      <w:r w:rsidR="006C4DC7" w:rsidRPr="00C07660">
        <w:rPr>
          <w:i/>
          <w:iCs/>
        </w:rPr>
        <w:t>p</w:t>
      </w:r>
      <w:r w:rsidR="006C4DC7" w:rsidRPr="00C07660">
        <w:t xml:space="preserve"> &lt; .001)</w:t>
      </w:r>
      <w:r w:rsidR="006C4DC7">
        <w:t xml:space="preserve"> appear to have increased their </w:t>
      </w:r>
      <w:r w:rsidR="004A791B">
        <w:t>negotiation propensity</w:t>
      </w:r>
      <w:r w:rsidR="006C4DC7">
        <w:t xml:space="preserve"> over time, but </w:t>
      </w:r>
      <w:r w:rsidR="00667747">
        <w:t>men did not (</w:t>
      </w:r>
      <w:r w:rsidR="00667747" w:rsidRPr="00C07660">
        <w:rPr>
          <w:i/>
          <w:iCs/>
        </w:rPr>
        <w:t>OR</w:t>
      </w:r>
      <w:r w:rsidR="00667747" w:rsidRPr="00C07660">
        <w:t xml:space="preserve"> = </w:t>
      </w:r>
      <w:r w:rsidR="006862BE">
        <w:t>0.99</w:t>
      </w:r>
      <w:r w:rsidR="00667747" w:rsidRPr="00C07660">
        <w:t xml:space="preserve">, </w:t>
      </w:r>
      <w:r w:rsidR="00667747" w:rsidRPr="004F48EE">
        <w:t>Wald χ</w:t>
      </w:r>
      <w:r w:rsidR="00667747" w:rsidRPr="004F48EE">
        <w:rPr>
          <w:vertAlign w:val="superscript"/>
        </w:rPr>
        <w:t>2</w:t>
      </w:r>
      <w:r w:rsidR="00667747" w:rsidRPr="004F48EE">
        <w:t xml:space="preserve"> = </w:t>
      </w:r>
      <w:r w:rsidR="006862BE">
        <w:t>2.52</w:t>
      </w:r>
      <w:r w:rsidR="00667747" w:rsidRPr="004F48EE">
        <w:t>, </w:t>
      </w:r>
      <w:r w:rsidR="00667747" w:rsidRPr="00C07660">
        <w:rPr>
          <w:i/>
          <w:iCs/>
        </w:rPr>
        <w:t>p</w:t>
      </w:r>
      <w:r w:rsidR="00667747" w:rsidRPr="00C07660">
        <w:t xml:space="preserve"> </w:t>
      </w:r>
      <w:r w:rsidR="006862BE">
        <w:t>=</w:t>
      </w:r>
      <w:r w:rsidR="00667747" w:rsidRPr="00C07660">
        <w:t xml:space="preserve"> .</w:t>
      </w:r>
      <w:r w:rsidR="006862BE">
        <w:t>11</w:t>
      </w:r>
      <w:r w:rsidR="00667747">
        <w:t>)</w:t>
      </w:r>
      <w:r w:rsidR="006C4DC7" w:rsidRPr="00C07660">
        <w:t>.</w:t>
      </w:r>
    </w:p>
    <w:p w14:paraId="218AC01C" w14:textId="4E08E529" w:rsidR="005E3506" w:rsidRDefault="00B73444" w:rsidP="00DF7E11">
      <w:pPr>
        <w:spacing w:line="480" w:lineRule="auto"/>
        <w:ind w:firstLine="720"/>
      </w:pPr>
      <w:r>
        <w:t>We then added</w:t>
      </w:r>
      <w:r w:rsidR="00BB741C">
        <w:t xml:space="preserve"> our </w:t>
      </w:r>
      <w:r w:rsidR="00BB741C" w:rsidRPr="004F48EE">
        <w:t>data from Studies 2a and 2b (</w:t>
      </w:r>
      <w:r w:rsidR="00BB741C" w:rsidRPr="004F48EE">
        <w:rPr>
          <w:i/>
          <w:iCs/>
        </w:rPr>
        <w:t>n</w:t>
      </w:r>
      <w:r w:rsidR="00BB741C" w:rsidRPr="004F48EE">
        <w:t> = 8,037)</w:t>
      </w:r>
      <w:r w:rsidR="0003387F">
        <w:t xml:space="preserve"> to the Kugler et al. (2018) studies described above</w:t>
      </w:r>
      <w:r w:rsidR="00BB741C" w:rsidRPr="004F48EE">
        <w:t>. Results</w:t>
      </w:r>
      <w:r w:rsidR="00841FE2">
        <w:t xml:space="preserve"> were </w:t>
      </w:r>
      <w:r w:rsidR="00317A0B">
        <w:t>similar</w:t>
      </w:r>
      <w:r w:rsidR="00841FE2">
        <w:t xml:space="preserve"> in both sets of analyses. </w:t>
      </w:r>
      <w:r w:rsidR="006C4DC7">
        <w:t>Again, t</w:t>
      </w:r>
      <w:r w:rsidR="00BB741C" w:rsidRPr="004F48EE">
        <w:t>hree statistically significant effects</w:t>
      </w:r>
      <w:r w:rsidR="00841FE2">
        <w:t xml:space="preserve"> emerged</w:t>
      </w:r>
      <w:r w:rsidR="00BB741C" w:rsidRPr="004F48EE">
        <w:t>. First, the odds of negotiating increased over time, </w:t>
      </w:r>
      <w:r w:rsidR="00BB741C" w:rsidRPr="004F48EE">
        <w:rPr>
          <w:i/>
          <w:iCs/>
        </w:rPr>
        <w:t>OR </w:t>
      </w:r>
      <w:r w:rsidR="00BB741C" w:rsidRPr="004F48EE">
        <w:t>= 1.02, Wald χ</w:t>
      </w:r>
      <w:r w:rsidR="00BB741C" w:rsidRPr="004F48EE">
        <w:rPr>
          <w:vertAlign w:val="superscript"/>
        </w:rPr>
        <w:t>2</w:t>
      </w:r>
      <w:r w:rsidR="00BB741C" w:rsidRPr="004F48EE">
        <w:t> = 57.41, </w:t>
      </w:r>
      <w:r w:rsidR="00BB741C" w:rsidRPr="004F48EE">
        <w:rPr>
          <w:i/>
          <w:iCs/>
        </w:rPr>
        <w:t>p </w:t>
      </w:r>
      <w:r w:rsidR="00BB741C" w:rsidRPr="004F48EE">
        <w:t>&lt; .001. Second, the odds of negotiating were 31% higher for women than men, on average, </w:t>
      </w:r>
      <w:r w:rsidR="00BB741C" w:rsidRPr="004F48EE">
        <w:rPr>
          <w:i/>
          <w:iCs/>
        </w:rPr>
        <w:t>OR </w:t>
      </w:r>
      <w:r w:rsidR="00BB741C" w:rsidRPr="004F48EE">
        <w:t>= 1.31, Wald χ</w:t>
      </w:r>
      <w:r w:rsidR="00BB741C" w:rsidRPr="004F48EE">
        <w:rPr>
          <w:vertAlign w:val="superscript"/>
        </w:rPr>
        <w:t>2</w:t>
      </w:r>
      <w:r w:rsidR="00BB741C" w:rsidRPr="004F48EE">
        <w:t> = 32.57, </w:t>
      </w:r>
      <w:r w:rsidR="00BB741C" w:rsidRPr="004F48EE">
        <w:rPr>
          <w:i/>
          <w:iCs/>
        </w:rPr>
        <w:t>p </w:t>
      </w:r>
      <w:r w:rsidR="00BB741C" w:rsidRPr="004F48EE">
        <w:t xml:space="preserve">&lt; .001. Finally, </w:t>
      </w:r>
      <w:r w:rsidR="0089383C">
        <w:t>a time-by-gender interaction emerged</w:t>
      </w:r>
      <w:r w:rsidR="00C879BD">
        <w:t>, indicating that the relationship between negotiation propensity and time depended on gender</w:t>
      </w:r>
      <w:r w:rsidR="00BB741C" w:rsidRPr="004F48EE">
        <w:t>, </w:t>
      </w:r>
      <w:r w:rsidR="00BB741C" w:rsidRPr="004F48EE">
        <w:rPr>
          <w:i/>
          <w:iCs/>
        </w:rPr>
        <w:t>OR </w:t>
      </w:r>
      <w:r w:rsidR="00BB741C" w:rsidRPr="004F48EE">
        <w:t>= 1.03, Wald χ</w:t>
      </w:r>
      <w:r w:rsidR="00BB741C" w:rsidRPr="004F48EE">
        <w:rPr>
          <w:vertAlign w:val="superscript"/>
        </w:rPr>
        <w:t>2</w:t>
      </w:r>
      <w:r w:rsidR="00BB741C" w:rsidRPr="004F48EE">
        <w:t> = 20.18, </w:t>
      </w:r>
      <w:r w:rsidR="00BB741C" w:rsidRPr="004F48EE">
        <w:rPr>
          <w:i/>
          <w:iCs/>
        </w:rPr>
        <w:t>p </w:t>
      </w:r>
      <w:r w:rsidR="00BB741C" w:rsidRPr="004F48EE">
        <w:t>&lt; .001</w:t>
      </w:r>
      <w:r w:rsidR="001A74AE">
        <w:t xml:space="preserve">. </w:t>
      </w:r>
      <w:r w:rsidR="00C07660">
        <w:t>Examining each gender’s negotiating trend over time reveal</w:t>
      </w:r>
      <w:r w:rsidR="008A019F">
        <w:t>s</w:t>
      </w:r>
      <w:r w:rsidR="00795F6F">
        <w:t xml:space="preserve"> </w:t>
      </w:r>
      <w:r w:rsidR="00C07660">
        <w:t xml:space="preserve">that both men </w:t>
      </w:r>
      <w:r w:rsidR="00C07660" w:rsidRPr="00C07660">
        <w:t>(</w:t>
      </w:r>
      <w:r w:rsidR="00C07660" w:rsidRPr="00C07660">
        <w:rPr>
          <w:i/>
          <w:iCs/>
        </w:rPr>
        <w:t>OR</w:t>
      </w:r>
      <w:r w:rsidR="00C07660" w:rsidRPr="00C07660">
        <w:t xml:space="preserve"> = 1.01, </w:t>
      </w:r>
      <w:r w:rsidR="00C07660" w:rsidRPr="004F48EE">
        <w:t>Wald χ</w:t>
      </w:r>
      <w:r w:rsidR="00C07660" w:rsidRPr="004F48EE">
        <w:rPr>
          <w:vertAlign w:val="superscript"/>
        </w:rPr>
        <w:t>2</w:t>
      </w:r>
      <w:r w:rsidR="00C07660" w:rsidRPr="004F48EE">
        <w:t xml:space="preserve"> = </w:t>
      </w:r>
      <w:r w:rsidR="00C07660">
        <w:t>11.57</w:t>
      </w:r>
      <w:r w:rsidR="00C07660" w:rsidRPr="004F48EE">
        <w:t>, </w:t>
      </w:r>
      <w:r w:rsidR="00C07660" w:rsidRPr="00C07660">
        <w:rPr>
          <w:i/>
          <w:iCs/>
        </w:rPr>
        <w:t>p</w:t>
      </w:r>
      <w:r w:rsidR="00C07660" w:rsidRPr="00C07660">
        <w:t xml:space="preserve"> = .001) </w:t>
      </w:r>
      <w:r w:rsidR="00C07660">
        <w:t>and women</w:t>
      </w:r>
      <w:r w:rsidR="00C07660" w:rsidRPr="00C07660">
        <w:t xml:space="preserve"> (</w:t>
      </w:r>
      <w:r w:rsidR="00C07660" w:rsidRPr="00C07660">
        <w:rPr>
          <w:i/>
          <w:iCs/>
        </w:rPr>
        <w:t>OR</w:t>
      </w:r>
      <w:r w:rsidR="00C07660" w:rsidRPr="00C07660">
        <w:t xml:space="preserve"> = 1.0</w:t>
      </w:r>
      <w:r w:rsidR="00C07660">
        <w:t>4</w:t>
      </w:r>
      <w:r w:rsidR="00C07660" w:rsidRPr="00C07660">
        <w:t xml:space="preserve">, </w:t>
      </w:r>
      <w:r w:rsidR="00C07660" w:rsidRPr="004F48EE">
        <w:t xml:space="preserve">Wald </w:t>
      </w:r>
      <w:r w:rsidR="00C07660" w:rsidRPr="004F48EE">
        <w:lastRenderedPageBreak/>
        <w:t>χ</w:t>
      </w:r>
      <w:r w:rsidR="00C07660" w:rsidRPr="004F48EE">
        <w:rPr>
          <w:vertAlign w:val="superscript"/>
        </w:rPr>
        <w:t>2</w:t>
      </w:r>
      <w:r w:rsidR="00C07660" w:rsidRPr="004F48EE">
        <w:t xml:space="preserve"> = </w:t>
      </w:r>
      <w:r w:rsidR="00C07660">
        <w:t>52.78</w:t>
      </w:r>
      <w:r w:rsidR="00C07660" w:rsidRPr="004F48EE">
        <w:t>, </w:t>
      </w:r>
      <w:r w:rsidR="00C07660" w:rsidRPr="00C07660">
        <w:rPr>
          <w:i/>
          <w:iCs/>
        </w:rPr>
        <w:t>p</w:t>
      </w:r>
      <w:r w:rsidR="00C07660" w:rsidRPr="00C07660">
        <w:t xml:space="preserve"> &lt; .001)</w:t>
      </w:r>
      <w:r w:rsidR="00C07660">
        <w:t xml:space="preserve"> </w:t>
      </w:r>
      <w:r w:rsidR="00D60E8C">
        <w:t xml:space="preserve">appear to have </w:t>
      </w:r>
      <w:r w:rsidR="00C07660">
        <w:t xml:space="preserve">increased their </w:t>
      </w:r>
      <w:r w:rsidR="004A791B">
        <w:t>negotiation propensity</w:t>
      </w:r>
      <w:r w:rsidR="00C07660">
        <w:t xml:space="preserve"> over time, but the change </w:t>
      </w:r>
      <w:r w:rsidR="00D60E8C">
        <w:t>could be</w:t>
      </w:r>
      <w:r w:rsidR="00C07660">
        <w:t xml:space="preserve"> greater for women</w:t>
      </w:r>
      <w:r w:rsidR="009B2A4A">
        <w:t xml:space="preserve"> (</w:t>
      </w:r>
      <w:r w:rsidR="009B2A4A">
        <w:rPr>
          <w:i/>
          <w:iCs/>
        </w:rPr>
        <w:t xml:space="preserve">r </w:t>
      </w:r>
      <w:r w:rsidR="009B2A4A">
        <w:t xml:space="preserve">[3053] = .14, </w:t>
      </w:r>
      <w:r w:rsidR="009B2A4A">
        <w:rPr>
          <w:i/>
          <w:iCs/>
        </w:rPr>
        <w:t xml:space="preserve">p </w:t>
      </w:r>
      <w:r w:rsidR="009B2A4A">
        <w:t>&lt; .001)</w:t>
      </w:r>
      <w:r w:rsidR="00C07660">
        <w:t xml:space="preserve"> than for men</w:t>
      </w:r>
      <w:r w:rsidR="009B2A4A">
        <w:t xml:space="preserve"> (</w:t>
      </w:r>
      <w:r w:rsidR="009B2A4A">
        <w:rPr>
          <w:i/>
          <w:iCs/>
        </w:rPr>
        <w:t xml:space="preserve">r </w:t>
      </w:r>
      <w:r w:rsidR="009B2A4A">
        <w:t xml:space="preserve">[4980] = .05, </w:t>
      </w:r>
      <w:r w:rsidR="009B2A4A">
        <w:rPr>
          <w:i/>
          <w:iCs/>
        </w:rPr>
        <w:t xml:space="preserve">p </w:t>
      </w:r>
      <w:r w:rsidR="009B2A4A">
        <w:t>= .001)</w:t>
      </w:r>
      <w:r w:rsidR="0089383C">
        <w:t xml:space="preserve">, </w:t>
      </w:r>
      <w:r w:rsidR="00650176">
        <w:rPr>
          <w:i/>
          <w:iCs/>
        </w:rPr>
        <w:t xml:space="preserve">Z </w:t>
      </w:r>
      <w:r w:rsidR="00650176">
        <w:t xml:space="preserve">= -3.82, </w:t>
      </w:r>
      <w:r w:rsidR="00650176">
        <w:rPr>
          <w:i/>
          <w:iCs/>
        </w:rPr>
        <w:t xml:space="preserve">p </w:t>
      </w:r>
      <w:r w:rsidR="00650176">
        <w:t>&lt; .001</w:t>
      </w:r>
      <w:r w:rsidR="00C07660" w:rsidRPr="00C07660">
        <w:t>.</w:t>
      </w:r>
      <w:r w:rsidR="00C07660">
        <w:t xml:space="preserve"> </w:t>
      </w:r>
      <w:r w:rsidR="00BB741C" w:rsidRPr="004F48EE">
        <w:t>A scatterplot (</w:t>
      </w:r>
      <w:r w:rsidR="00BB741C" w:rsidRPr="00136BCD">
        <w:t xml:space="preserve">see Figure </w:t>
      </w:r>
      <w:r w:rsidR="006C4DC7">
        <w:t>3</w:t>
      </w:r>
      <w:r w:rsidR="00BB741C" w:rsidRPr="00136BCD">
        <w:t>)</w:t>
      </w:r>
      <w:r w:rsidR="00BB741C" w:rsidRPr="004F48EE">
        <w:t xml:space="preserve"> shows the predicted probabilities for propensity to negotiate salary for men and women across </w:t>
      </w:r>
      <w:r w:rsidR="00BB741C">
        <w:t>the</w:t>
      </w:r>
      <w:r w:rsidR="0003387F">
        <w:t xml:space="preserve"> Kugler et al. (2018)</w:t>
      </w:r>
      <w:r w:rsidR="00BB741C">
        <w:t xml:space="preserve"> timespan</w:t>
      </w:r>
      <w:r w:rsidR="0003387F">
        <w:t xml:space="preserve"> of 1982-2015 and including our 2023 data</w:t>
      </w:r>
      <w:r w:rsidR="00BB741C" w:rsidRPr="004F48EE">
        <w:t xml:space="preserve">. The results </w:t>
      </w:r>
      <w:r w:rsidR="00145575">
        <w:t>suggest</w:t>
      </w:r>
      <w:r w:rsidR="00145575" w:rsidRPr="004F48EE">
        <w:t xml:space="preserve"> </w:t>
      </w:r>
      <w:r w:rsidR="00BB741C" w:rsidRPr="004F48EE">
        <w:t xml:space="preserve">that men reported </w:t>
      </w:r>
      <w:r w:rsidR="00EF2084">
        <w:t xml:space="preserve">a </w:t>
      </w:r>
      <w:r w:rsidR="00BB741C" w:rsidRPr="004F48EE">
        <w:t xml:space="preserve">greater propensity to negotiate than women early in the era, but the gender difference </w:t>
      </w:r>
      <w:r w:rsidR="00D60E8C">
        <w:t xml:space="preserve">may have </w:t>
      </w:r>
      <w:r w:rsidR="00BB741C" w:rsidRPr="004F48EE">
        <w:t>disappeared around 199</w:t>
      </w:r>
      <w:r w:rsidR="00BB741C">
        <w:t>4</w:t>
      </w:r>
      <w:r w:rsidR="00BB741C" w:rsidRPr="004F48EE">
        <w:t xml:space="preserve"> and then reversed beginning around 2007</w:t>
      </w:r>
      <w:r w:rsidR="00BB741C">
        <w:t>,</w:t>
      </w:r>
      <w:r w:rsidR="00BB741C" w:rsidRPr="004F48EE">
        <w:t xml:space="preserve"> and </w:t>
      </w:r>
      <w:r w:rsidR="00BB741C">
        <w:t xml:space="preserve">this trend </w:t>
      </w:r>
      <w:r w:rsidR="0003387F">
        <w:t xml:space="preserve">appears to </w:t>
      </w:r>
      <w:r w:rsidR="00D60E8C">
        <w:t xml:space="preserve">have </w:t>
      </w:r>
      <w:r w:rsidR="00BB741C">
        <w:t xml:space="preserve">continued </w:t>
      </w:r>
      <w:r w:rsidR="00BB741C" w:rsidRPr="004F48EE">
        <w:t>growing since then.</w:t>
      </w:r>
    </w:p>
    <w:p w14:paraId="62F8AC50" w14:textId="77777777" w:rsidR="005E3506" w:rsidRDefault="005E3506" w:rsidP="005E3506">
      <w:pPr>
        <w:keepNext/>
        <w:jc w:val="center"/>
        <w:rPr>
          <w:lang w:val="en-GB" w:eastAsia="ko-KR"/>
        </w:rPr>
      </w:pPr>
      <w:r w:rsidRPr="00E20F93">
        <w:rPr>
          <w:lang w:val="en-GB" w:eastAsia="ko-KR"/>
        </w:rPr>
        <w:t>------------------------------------</w:t>
      </w:r>
    </w:p>
    <w:p w14:paraId="78F77777" w14:textId="740A391A" w:rsidR="005E3506" w:rsidRDefault="005E3506" w:rsidP="005E3506">
      <w:pPr>
        <w:keepNext/>
        <w:jc w:val="center"/>
        <w:rPr>
          <w:lang w:val="en-GB" w:eastAsia="ko-KR"/>
        </w:rPr>
      </w:pPr>
      <w:r w:rsidRPr="00E20F93">
        <w:rPr>
          <w:lang w:val="en-GB" w:eastAsia="ko-KR"/>
        </w:rPr>
        <w:t xml:space="preserve">Insert Table </w:t>
      </w:r>
      <w:r>
        <w:rPr>
          <w:lang w:val="en-GB" w:eastAsia="ko-KR"/>
        </w:rPr>
        <w:t>3</w:t>
      </w:r>
      <w:r w:rsidRPr="00E20F93">
        <w:rPr>
          <w:lang w:val="en-GB" w:eastAsia="ko-KR"/>
        </w:rPr>
        <w:t xml:space="preserve"> about here</w:t>
      </w:r>
    </w:p>
    <w:p w14:paraId="48AEFA7B" w14:textId="16392B10" w:rsidR="005E3506" w:rsidRDefault="005E3506" w:rsidP="005E3506">
      <w:pPr>
        <w:jc w:val="center"/>
        <w:rPr>
          <w:lang w:val="en-GB" w:eastAsia="ko-KR"/>
        </w:rPr>
      </w:pPr>
      <w:r w:rsidRPr="00E20F93">
        <w:rPr>
          <w:lang w:val="en-GB" w:eastAsia="ko-KR"/>
        </w:rPr>
        <w:t>------------------------------------</w:t>
      </w:r>
    </w:p>
    <w:p w14:paraId="2A35D55D" w14:textId="77777777" w:rsidR="005E3506" w:rsidRPr="00E20F93" w:rsidRDefault="005E3506" w:rsidP="005E3506">
      <w:pPr>
        <w:jc w:val="center"/>
        <w:rPr>
          <w:lang w:val="en-GB" w:eastAsia="ko-KR"/>
        </w:rPr>
      </w:pPr>
    </w:p>
    <w:p w14:paraId="5F43BC00" w14:textId="77777777" w:rsidR="005E3506" w:rsidRDefault="005E3506" w:rsidP="005E3506">
      <w:pPr>
        <w:keepNext/>
        <w:jc w:val="center"/>
        <w:rPr>
          <w:lang w:val="en-GB" w:eastAsia="ko-KR"/>
        </w:rPr>
      </w:pPr>
      <w:r w:rsidRPr="00E20F93">
        <w:rPr>
          <w:lang w:val="en-GB" w:eastAsia="ko-KR"/>
        </w:rPr>
        <w:t>------------------------------------</w:t>
      </w:r>
    </w:p>
    <w:p w14:paraId="44903CFE" w14:textId="5B24166E" w:rsidR="005E3506" w:rsidRDefault="005E3506" w:rsidP="005E3506">
      <w:pPr>
        <w:keepNext/>
        <w:jc w:val="center"/>
        <w:rPr>
          <w:lang w:val="en-GB" w:eastAsia="ko-KR"/>
        </w:rPr>
      </w:pPr>
      <w:r w:rsidRPr="00E20F93">
        <w:rPr>
          <w:lang w:val="en-GB" w:eastAsia="ko-KR"/>
        </w:rPr>
        <w:t xml:space="preserve">Insert </w:t>
      </w:r>
      <w:r>
        <w:rPr>
          <w:lang w:val="en-GB" w:eastAsia="ko-KR"/>
        </w:rPr>
        <w:t>Figure 3</w:t>
      </w:r>
      <w:r w:rsidRPr="00E20F93">
        <w:rPr>
          <w:lang w:val="en-GB" w:eastAsia="ko-KR"/>
        </w:rPr>
        <w:t xml:space="preserve"> about here</w:t>
      </w:r>
    </w:p>
    <w:p w14:paraId="6C80B2D0" w14:textId="77777777" w:rsidR="005E3506" w:rsidRPr="00E20F93" w:rsidRDefault="005E3506" w:rsidP="005E3506">
      <w:pPr>
        <w:jc w:val="center"/>
        <w:rPr>
          <w:lang w:val="en-GB" w:eastAsia="ko-KR"/>
        </w:rPr>
      </w:pPr>
      <w:r w:rsidRPr="00E20F93">
        <w:rPr>
          <w:lang w:val="en-GB" w:eastAsia="ko-KR"/>
        </w:rPr>
        <w:t>------------------------------------</w:t>
      </w:r>
    </w:p>
    <w:p w14:paraId="0B214BCA" w14:textId="77777777" w:rsidR="005E3506" w:rsidRDefault="005E3506" w:rsidP="005E3506">
      <w:pPr>
        <w:keepNext/>
        <w:jc w:val="center"/>
        <w:rPr>
          <w:lang w:val="en-GB" w:eastAsia="ko-KR"/>
        </w:rPr>
      </w:pPr>
    </w:p>
    <w:p w14:paraId="7A1AEF81" w14:textId="77777777" w:rsidR="002946A4" w:rsidRPr="002946A4" w:rsidRDefault="002946A4" w:rsidP="002946A4">
      <w:pPr>
        <w:jc w:val="center"/>
        <w:rPr>
          <w:lang w:val="en-GB" w:eastAsia="ko-KR"/>
        </w:rPr>
      </w:pPr>
    </w:p>
    <w:p w14:paraId="63E42B2B" w14:textId="7D5381D5" w:rsidR="005E3506" w:rsidRPr="002946A4" w:rsidRDefault="005E3506" w:rsidP="00722AB0">
      <w:pPr>
        <w:spacing w:line="480" w:lineRule="auto"/>
        <w:rPr>
          <w:rFonts w:ascii="Times New Roman Bold" w:hAnsi="Times New Roman Bold"/>
          <w:b/>
          <w:bCs/>
        </w:rPr>
      </w:pPr>
      <w:r w:rsidRPr="002946A4">
        <w:rPr>
          <w:rFonts w:ascii="Times New Roman Bold" w:hAnsi="Times New Roman Bold"/>
          <w:b/>
          <w:bCs/>
        </w:rPr>
        <w:t>Discussion</w:t>
      </w:r>
    </w:p>
    <w:p w14:paraId="3BA16DBE" w14:textId="56E2D481" w:rsidR="00722AB0" w:rsidRPr="00722AB0" w:rsidRDefault="00722AB0" w:rsidP="00722AB0">
      <w:pPr>
        <w:spacing w:line="480" w:lineRule="auto"/>
      </w:pPr>
      <w:r>
        <w:rPr>
          <w:rFonts w:ascii="Times New Roman Bold" w:hAnsi="Times New Roman Bold"/>
        </w:rPr>
        <w:tab/>
      </w:r>
      <w:r>
        <w:t xml:space="preserve">Our analysis </w:t>
      </w:r>
      <w:r w:rsidR="00030196">
        <w:t xml:space="preserve">suggests </w:t>
      </w:r>
      <w:r>
        <w:t>that, when it comes to salary negotiations within the past two decades, women do ask—now,</w:t>
      </w:r>
      <w:r w:rsidR="00030196">
        <w:t xml:space="preserve"> potentially</w:t>
      </w:r>
      <w:r>
        <w:t xml:space="preserve"> at a rate </w:t>
      </w:r>
      <w:r w:rsidR="00030196">
        <w:t xml:space="preserve">even </w:t>
      </w:r>
      <w:r>
        <w:t xml:space="preserve">greater than men’s. </w:t>
      </w:r>
      <w:r w:rsidR="005946CB">
        <w:t>Accordingly, it could</w:t>
      </w:r>
      <w:r>
        <w:t xml:space="preserve"> </w:t>
      </w:r>
      <w:r w:rsidR="005946CB">
        <w:t xml:space="preserve">be </w:t>
      </w:r>
      <w:r>
        <w:t xml:space="preserve">time to update beliefs about </w:t>
      </w:r>
      <w:r w:rsidR="006819C9">
        <w:t xml:space="preserve">gender differences in </w:t>
      </w:r>
      <w:r>
        <w:t xml:space="preserve">negotiation propensity. While Study 2B found no evidence for a change in relative negotiation propensity by gender over time, it examined only recent years (2015-2019). </w:t>
      </w:r>
      <w:r w:rsidR="00964672">
        <w:t>Our</w:t>
      </w:r>
      <w:r w:rsidR="00765E3D">
        <w:t xml:space="preserve"> analysis</w:t>
      </w:r>
      <w:r w:rsidR="00183837">
        <w:t xml:space="preserve"> </w:t>
      </w:r>
      <w:r w:rsidR="00964672">
        <w:t>suggests</w:t>
      </w:r>
      <w:r w:rsidR="00765E3D">
        <w:t xml:space="preserve"> that</w:t>
      </w:r>
      <w:r w:rsidR="00183837">
        <w:t xml:space="preserve"> women </w:t>
      </w:r>
      <w:r w:rsidR="00765E3D">
        <w:t xml:space="preserve">may </w:t>
      </w:r>
      <w:r w:rsidR="00183837">
        <w:t xml:space="preserve">have increased </w:t>
      </w:r>
      <w:r w:rsidR="00AA1D5C">
        <w:t>their</w:t>
      </w:r>
      <w:r w:rsidR="00183837">
        <w:t xml:space="preserve"> </w:t>
      </w:r>
      <w:r w:rsidR="00AA1D5C">
        <w:t>salary negotiation propensity</w:t>
      </w:r>
      <w:r w:rsidR="00183837">
        <w:t xml:space="preserve"> to a greater extent than men</w:t>
      </w:r>
      <w:r w:rsidR="00AA1D5C">
        <w:t xml:space="preserve"> over time</w:t>
      </w:r>
      <w:r w:rsidR="00183837">
        <w:t xml:space="preserve">, </w:t>
      </w:r>
      <w:r w:rsidR="00AA1D5C">
        <w:t>shedding</w:t>
      </w:r>
      <w:r w:rsidR="00183837">
        <w:t xml:space="preserve"> some light on the reversal observed in Studies 2A and 2B. </w:t>
      </w:r>
      <w:r>
        <w:t xml:space="preserve">We highlight </w:t>
      </w:r>
      <w:r w:rsidR="00183837">
        <w:t>these trends</w:t>
      </w:r>
      <w:r>
        <w:t xml:space="preserve"> carefully because many factors changed over the </w:t>
      </w:r>
      <w:r w:rsidR="0003387F">
        <w:t>last few decades that may have impacted gender gaps in negotiation propensity</w:t>
      </w:r>
      <w:r>
        <w:t xml:space="preserve">, and more work is needed to </w:t>
      </w:r>
      <w:r w:rsidR="00A27F89">
        <w:t>explain the pattern</w:t>
      </w:r>
      <w:r>
        <w:t xml:space="preserve">. However, the reversal might point to </w:t>
      </w:r>
      <w:r>
        <w:lastRenderedPageBreak/>
        <w:t xml:space="preserve">the value of promoting women’s agency, possibly contributing to women negotiating </w:t>
      </w:r>
      <w:r w:rsidR="00EF2084">
        <w:t xml:space="preserve">salaries </w:t>
      </w:r>
      <w:r>
        <w:t>more often in the modern era than in the past.</w:t>
      </w:r>
    </w:p>
    <w:p w14:paraId="4BD56673" w14:textId="301D6D59" w:rsidR="00403163" w:rsidRDefault="0086522A" w:rsidP="00403163">
      <w:pPr>
        <w:spacing w:line="480" w:lineRule="auto"/>
        <w:jc w:val="center"/>
        <w:rPr>
          <w:rFonts w:ascii="Times New Roman Bold" w:hAnsi="Times New Roman Bold"/>
          <w:b/>
          <w:bCs/>
          <w:caps/>
        </w:rPr>
      </w:pPr>
      <w:r w:rsidRPr="00403973">
        <w:rPr>
          <w:rFonts w:ascii="Times New Roman Bold" w:hAnsi="Times New Roman Bold"/>
          <w:b/>
          <w:bCs/>
          <w:caps/>
        </w:rPr>
        <w:t>Study 3</w:t>
      </w:r>
    </w:p>
    <w:p w14:paraId="2E84E3AA" w14:textId="21106F2A" w:rsidR="0086522A" w:rsidRPr="00403163" w:rsidRDefault="0086522A" w:rsidP="00403163">
      <w:pPr>
        <w:spacing w:line="480" w:lineRule="auto"/>
        <w:ind w:firstLine="720"/>
        <w:rPr>
          <w:rFonts w:ascii="Times New Roman Bold" w:hAnsi="Times New Roman Bold"/>
          <w:b/>
          <w:bCs/>
          <w:caps/>
        </w:rPr>
      </w:pPr>
      <w:r w:rsidRPr="00EB748C">
        <w:t xml:space="preserve">The initial set of studies provides evidence that, among an elite population of MBAs experiencing a significant gender pay gap, women were </w:t>
      </w:r>
      <w:r>
        <w:t>more</w:t>
      </w:r>
      <w:r w:rsidRPr="00EB748C">
        <w:t xml:space="preserve"> likely than men to attempt to negotiate their job offers. </w:t>
      </w:r>
      <w:r>
        <w:t xml:space="preserve">Study 1’s results paired with </w:t>
      </w:r>
      <w:r w:rsidRPr="00EB748C">
        <w:t xml:space="preserve">Studies </w:t>
      </w:r>
      <w:r>
        <w:t>2</w:t>
      </w:r>
      <w:r w:rsidRPr="00EB748C">
        <w:t>A</w:t>
      </w:r>
      <w:r w:rsidR="005115F7">
        <w:t xml:space="preserve"> and</w:t>
      </w:r>
      <w:r w:rsidRPr="00EB748C">
        <w:t xml:space="preserve"> </w:t>
      </w:r>
      <w:r>
        <w:t>2</w:t>
      </w:r>
      <w:r w:rsidRPr="00EB748C">
        <w:t>B</w:t>
      </w:r>
      <w:r w:rsidR="005115F7">
        <w:t xml:space="preserve"> </w:t>
      </w:r>
      <w:r w:rsidRPr="00EB748C">
        <w:t>suggest that the belief that</w:t>
      </w:r>
      <w:r w:rsidR="005115F7">
        <w:t>, among MBA graduates,</w:t>
      </w:r>
      <w:r w:rsidRPr="00EB748C">
        <w:t xml:space="preserve"> women</w:t>
      </w:r>
      <w:r w:rsidR="005115F7">
        <w:t xml:space="preserve"> negotiate salary less often than men </w:t>
      </w:r>
      <w:r w:rsidRPr="00EB748C">
        <w:t xml:space="preserve">runs </w:t>
      </w:r>
      <w:r w:rsidRPr="00EB748C">
        <w:rPr>
          <w:i/>
        </w:rPr>
        <w:t>contrary</w:t>
      </w:r>
      <w:r w:rsidRPr="00EB748C">
        <w:t xml:space="preserve"> to </w:t>
      </w:r>
      <w:r w:rsidR="005115F7">
        <w:t xml:space="preserve">current </w:t>
      </w:r>
      <w:r w:rsidRPr="00EB748C">
        <w:t>empirical reality</w:t>
      </w:r>
      <w:r w:rsidR="00045E9B">
        <w:t>.</w:t>
      </w:r>
    </w:p>
    <w:p w14:paraId="0CCED1BC" w14:textId="77062BFA" w:rsidR="00522E61" w:rsidRDefault="0086522A" w:rsidP="00045E9B">
      <w:pPr>
        <w:spacing w:line="480" w:lineRule="auto"/>
        <w:ind w:firstLine="720"/>
      </w:pPr>
      <w:r w:rsidRPr="00EB748C">
        <w:t xml:space="preserve">The present study </w:t>
      </w:r>
      <w:r w:rsidR="005115F7">
        <w:t xml:space="preserve">extends our investigation </w:t>
      </w:r>
      <w:r w:rsidR="00045E9B">
        <w:t xml:space="preserve">by examining the extent to which </w:t>
      </w:r>
      <w:r w:rsidR="005115F7">
        <w:t xml:space="preserve">people believe that </w:t>
      </w:r>
      <w:r w:rsidRPr="00EB748C">
        <w:t xml:space="preserve">a gender difference in </w:t>
      </w:r>
      <w:r w:rsidR="00EF2084">
        <w:t xml:space="preserve">the </w:t>
      </w:r>
      <w:r w:rsidRPr="00EB748C">
        <w:t xml:space="preserve">propensity to negotiate is responsible for the gender pay gap, comparing </w:t>
      </w:r>
      <w:r w:rsidR="005115F7">
        <w:t>the prevalence of this negotiation-based explanation</w:t>
      </w:r>
      <w:r w:rsidRPr="00EB748C">
        <w:t xml:space="preserve"> with </w:t>
      </w:r>
      <w:r w:rsidR="00045E9B">
        <w:t xml:space="preserve">two </w:t>
      </w:r>
      <w:r w:rsidR="009A4DEA">
        <w:t>previously identified</w:t>
      </w:r>
      <w:r w:rsidR="00045E9B">
        <w:t xml:space="preserve"> </w:t>
      </w:r>
      <w:r w:rsidR="009A4DEA">
        <w:t>explanations for the gender pay gap</w:t>
      </w:r>
      <w:r w:rsidR="00045E9B">
        <w:t xml:space="preserve"> (</w:t>
      </w:r>
      <w:r w:rsidR="009A4DEA">
        <w:t xml:space="preserve">i.e., </w:t>
      </w:r>
      <w:r w:rsidR="00045E9B">
        <w:t xml:space="preserve">choice and fairness). </w:t>
      </w:r>
      <w:r w:rsidR="00746FA9">
        <w:t>W</w:t>
      </w:r>
      <w:r w:rsidR="004A1583">
        <w:t xml:space="preserve">e examine </w:t>
      </w:r>
      <w:r w:rsidR="00746FA9">
        <w:t xml:space="preserve">these beliefs in two formats: first, we look for </w:t>
      </w:r>
      <w:r w:rsidR="004A1583">
        <w:t>spontaneous mentions of each type of explanation to assess the</w:t>
      </w:r>
      <w:r w:rsidR="00A16E0E">
        <w:t>ir</w:t>
      </w:r>
      <w:r w:rsidR="004A1583">
        <w:t xml:space="preserve"> popularity</w:t>
      </w:r>
      <w:r w:rsidR="00746FA9">
        <w:t>; second</w:t>
      </w:r>
      <w:r w:rsidR="004A1583">
        <w:t xml:space="preserve">, </w:t>
      </w:r>
      <w:r w:rsidR="007A41AE">
        <w:t>we test</w:t>
      </w:r>
      <w:r w:rsidR="004A1583">
        <w:t xml:space="preserve"> comparative judgments that force participants to rank the </w:t>
      </w:r>
      <w:r w:rsidR="00A16E0E">
        <w:t xml:space="preserve">relative importance </w:t>
      </w:r>
      <w:r w:rsidR="004A1583">
        <w:t>of each category of explanation</w:t>
      </w:r>
      <w:r w:rsidR="00A16E0E">
        <w:t xml:space="preserve">. </w:t>
      </w:r>
      <w:r w:rsidR="007A41AE">
        <w:t>Taking both approaches</w:t>
      </w:r>
      <w:r w:rsidR="004A1583">
        <w:t xml:space="preserve"> enables us to gain a nuanced understanding of the perceived importance of </w:t>
      </w:r>
      <w:r w:rsidR="004A791B">
        <w:t>negotiation propensity</w:t>
      </w:r>
      <w:r w:rsidR="004A1583">
        <w:t xml:space="preserve"> in contributing to the gender pay gap</w:t>
      </w:r>
      <w:r w:rsidR="00045E9B">
        <w:t>.</w:t>
      </w:r>
    </w:p>
    <w:p w14:paraId="0A6509B4" w14:textId="6AFE610C" w:rsidR="009D3EE0" w:rsidRDefault="0086522A" w:rsidP="00C13359">
      <w:pPr>
        <w:spacing w:line="480" w:lineRule="auto"/>
        <w:ind w:firstLine="720"/>
        <w:rPr>
          <w:b/>
          <w:bCs/>
        </w:rPr>
      </w:pPr>
      <w:r w:rsidRPr="00EB748C">
        <w:t xml:space="preserve">This study also tests whether the belief in a gender gap in </w:t>
      </w:r>
      <w:r w:rsidR="004A791B">
        <w:t>negotiation propensity</w:t>
      </w:r>
      <w:r w:rsidRPr="00EB748C">
        <w:t xml:space="preserve"> corresponds with </w:t>
      </w:r>
      <w:r w:rsidR="00045E9B">
        <w:t xml:space="preserve">less </w:t>
      </w:r>
      <w:r w:rsidRPr="00EB748C">
        <w:t xml:space="preserve">support for </w:t>
      </w:r>
      <w:r>
        <w:t xml:space="preserve">salary history bans through </w:t>
      </w:r>
      <w:r w:rsidR="00045E9B">
        <w:t xml:space="preserve">greater </w:t>
      </w:r>
      <w:r>
        <w:t>gender-specific system justification</w:t>
      </w:r>
      <w:r w:rsidRPr="00EB748C">
        <w:t>.</w:t>
      </w:r>
      <w:r>
        <w:t xml:space="preserve"> </w:t>
      </w:r>
      <w:r w:rsidR="00034F47">
        <w:t>If so, then it m</w:t>
      </w:r>
      <w:r w:rsidR="00C13359">
        <w:t>ay</w:t>
      </w:r>
      <w:r w:rsidR="00034F47">
        <w:t xml:space="preserve"> suggest that holding </w:t>
      </w:r>
      <w:r w:rsidR="00964672">
        <w:t>now-</w:t>
      </w:r>
      <w:r w:rsidR="00034F47">
        <w:t xml:space="preserve">outdated beliefs is a barrier to closing the gender pay gap. </w:t>
      </w:r>
      <w:r>
        <w:t>Finally, we explored</w:t>
      </w:r>
      <w:r w:rsidRPr="001220B2">
        <w:t xml:space="preserve"> whether men and women differed in their belief</w:t>
      </w:r>
      <w:r>
        <w:t>s</w:t>
      </w:r>
      <w:r w:rsidRPr="001220B2">
        <w:t xml:space="preserve"> </w:t>
      </w:r>
      <w:r>
        <w:t xml:space="preserve">about </w:t>
      </w:r>
      <w:r w:rsidR="004A791B">
        <w:t>negotiation propensity</w:t>
      </w:r>
      <w:r w:rsidRPr="001220B2">
        <w:t xml:space="preserve"> as an explanation of the gender pay gap. </w:t>
      </w:r>
      <w:r>
        <w:t>P</w:t>
      </w:r>
      <w:r w:rsidRPr="001220B2">
        <w:t xml:space="preserve">rior work has shown that women and men </w:t>
      </w:r>
      <w:r>
        <w:t>explain the</w:t>
      </w:r>
      <w:r w:rsidRPr="001220B2">
        <w:t xml:space="preserve"> gender pay gap</w:t>
      </w:r>
      <w:r>
        <w:t xml:space="preserve"> differently</w:t>
      </w:r>
      <w:r w:rsidRPr="001220B2">
        <w:t>, with</w:t>
      </w:r>
      <w:r>
        <w:t xml:space="preserve"> </w:t>
      </w:r>
      <w:r w:rsidRPr="001220B2">
        <w:t xml:space="preserve">women endorsing explanations that </w:t>
      </w:r>
      <w:r w:rsidRPr="001220B2">
        <w:lastRenderedPageBreak/>
        <w:t xml:space="preserve">emphasize individual choice less than men and explanations that emphasize unfairness more than men (Connor &amp; Fiske, 2019). </w:t>
      </w:r>
      <w:r>
        <w:t xml:space="preserve">This is consistent with trends for </w:t>
      </w:r>
      <w:r w:rsidR="00EF2084" w:rsidRPr="00C42997">
        <w:t>high</w:t>
      </w:r>
      <w:r w:rsidR="00EF2084">
        <w:t>er-</w:t>
      </w:r>
      <w:r w:rsidRPr="00C42997">
        <w:t xml:space="preserve">status people </w:t>
      </w:r>
      <w:r>
        <w:t xml:space="preserve">to </w:t>
      </w:r>
      <w:r w:rsidRPr="00C42997">
        <w:t>explain</w:t>
      </w:r>
      <w:r>
        <w:t xml:space="preserve"> inequality</w:t>
      </w:r>
      <w:r w:rsidRPr="00C42997">
        <w:t xml:space="preserve"> in terms of choice </w:t>
      </w:r>
      <w:r>
        <w:t>whereas</w:t>
      </w:r>
      <w:r w:rsidRPr="00C42997">
        <w:t xml:space="preserve"> </w:t>
      </w:r>
      <w:r w:rsidR="00EF2084" w:rsidRPr="00C42997">
        <w:t>low</w:t>
      </w:r>
      <w:r w:rsidR="00EF2084">
        <w:t>er-</w:t>
      </w:r>
      <w:r w:rsidRPr="00C42997">
        <w:t>status people</w:t>
      </w:r>
      <w:r>
        <w:t xml:space="preserve"> explain it</w:t>
      </w:r>
      <w:r w:rsidRPr="00C42997">
        <w:t xml:space="preserve"> in terms of fairness</w:t>
      </w:r>
      <w:r>
        <w:t xml:space="preserve"> (Kluegel &amp; Smith, 1986)</w:t>
      </w:r>
      <w:r w:rsidRPr="00C42997">
        <w:t xml:space="preserve">. </w:t>
      </w:r>
      <w:r w:rsidRPr="001220B2">
        <w:t xml:space="preserve">On one hand, </w:t>
      </w:r>
      <w:r>
        <w:t>because t</w:t>
      </w:r>
      <w:r w:rsidRPr="001220B2">
        <w:t>he</w:t>
      </w:r>
      <w:r>
        <w:t xml:space="preserve"> negotiation propensity</w:t>
      </w:r>
      <w:r w:rsidRPr="001220B2">
        <w:t xml:space="preserve"> explanation </w:t>
      </w:r>
      <w:r>
        <w:t>cites</w:t>
      </w:r>
      <w:r w:rsidRPr="001220B2">
        <w:t xml:space="preserve"> women’s own choices </w:t>
      </w:r>
      <w:r>
        <w:t>about their</w:t>
      </w:r>
      <w:r w:rsidRPr="001220B2">
        <w:t xml:space="preserve"> behavior, women may endorse it less than men. On the other hand, the seemingly widespread permeation of this explanation suggests that perhaps women endorse it as much as men</w:t>
      </w:r>
      <w:r>
        <w:t xml:space="preserve">. If so, then this pattern would meet both criteria for false consciousness whereby (a) people hold </w:t>
      </w:r>
      <w:r w:rsidR="005115F7">
        <w:t xml:space="preserve">inaccurate </w:t>
      </w:r>
      <w:r>
        <w:t>beliefs that (b) sustain existing social arrangements (Jost, 1995)</w:t>
      </w:r>
      <w:r w:rsidR="00693BDE">
        <w:t>.</w:t>
      </w:r>
    </w:p>
    <w:p w14:paraId="632B7A76" w14:textId="59BD8756" w:rsidR="0086522A" w:rsidRDefault="0086522A" w:rsidP="00140558">
      <w:pPr>
        <w:spacing w:line="480" w:lineRule="auto"/>
        <w:rPr>
          <w:b/>
          <w:bCs/>
        </w:rPr>
      </w:pPr>
      <w:r>
        <w:rPr>
          <w:b/>
          <w:bCs/>
        </w:rPr>
        <w:t>Method</w:t>
      </w:r>
      <w:r w:rsidR="005D4B34">
        <w:rPr>
          <w:rStyle w:val="FootnoteReference"/>
          <w:b/>
          <w:bCs/>
        </w:rPr>
        <w:footnoteReference w:id="7"/>
      </w:r>
    </w:p>
    <w:p w14:paraId="1605E786" w14:textId="77777777" w:rsidR="0086522A" w:rsidRPr="00E04AF5" w:rsidRDefault="0086522A" w:rsidP="00140558">
      <w:pPr>
        <w:spacing w:line="480" w:lineRule="auto"/>
        <w:ind w:firstLine="720"/>
      </w:pPr>
      <w:r w:rsidRPr="00F42D3F">
        <w:rPr>
          <w:b/>
          <w:bCs/>
          <w:i/>
          <w:iCs/>
        </w:rPr>
        <w:t>Participants</w:t>
      </w:r>
      <w:r>
        <w:rPr>
          <w:b/>
          <w:bCs/>
          <w:i/>
          <w:iCs/>
        </w:rPr>
        <w:t xml:space="preserve">. </w:t>
      </w:r>
      <w:r>
        <w:t>Participants (</w:t>
      </w:r>
      <w:r>
        <w:rPr>
          <w:i/>
          <w:iCs/>
        </w:rPr>
        <w:t xml:space="preserve">N </w:t>
      </w:r>
      <w:r>
        <w:t xml:space="preserve">= 503) were U.S.-based adults from Prolific who held at least a </w:t>
      </w:r>
      <w:proofErr w:type="gramStart"/>
      <w:r>
        <w:t>Bachelor’s</w:t>
      </w:r>
      <w:proofErr w:type="gramEnd"/>
      <w:r>
        <w:t xml:space="preserve"> degree and reported having managerial experience. They received $1.50 for participating. Following our pre-registration, we excluded those who missed at least one of three reading comprehension checks, leaving a final sample of 449 people. The sample included 216 women (48%), 220 men (49%), 12 non-binary (3%) persons, and one who preferred not to say. The average age was 42.8 years (</w:t>
      </w:r>
      <w:r>
        <w:rPr>
          <w:i/>
          <w:iCs/>
        </w:rPr>
        <w:t xml:space="preserve">SD </w:t>
      </w:r>
      <w:r>
        <w:t xml:space="preserve">= 13.4). </w:t>
      </w:r>
    </w:p>
    <w:p w14:paraId="7B8FAD4F" w14:textId="7D0F2333" w:rsidR="0086522A" w:rsidRDefault="0086522A" w:rsidP="00140558">
      <w:pPr>
        <w:spacing w:line="480" w:lineRule="auto"/>
        <w:ind w:firstLine="720"/>
      </w:pPr>
      <w:r w:rsidRPr="00F42D3F">
        <w:rPr>
          <w:b/>
          <w:bCs/>
          <w:i/>
          <w:iCs/>
        </w:rPr>
        <w:t>Procedure</w:t>
      </w:r>
      <w:r>
        <w:rPr>
          <w:b/>
          <w:bCs/>
          <w:i/>
          <w:iCs/>
        </w:rPr>
        <w:t xml:space="preserve">. </w:t>
      </w:r>
      <w:r>
        <w:t xml:space="preserve">Participants completed an online survey. First, information about the size and trend in the gender pay gap among the general population was presented. Participants read a short paragraph describing that women make on average $0.84 for every dollar earned by men and saw a graph from Pew </w:t>
      </w:r>
      <w:r w:rsidR="0091719B">
        <w:t xml:space="preserve">Research </w:t>
      </w:r>
      <w:r>
        <w:t xml:space="preserve">depicting the pay gap’s size since 1980. Then, they answered a reading comprehension check and the dependent variables in the order listed below. </w:t>
      </w:r>
      <w:r>
        <w:lastRenderedPageBreak/>
        <w:t xml:space="preserve">After completing the questions addressing the gender pay gap in the general population, they read a short paragraph describing how the gender pay gap expands </w:t>
      </w:r>
      <w:r w:rsidR="000577B0">
        <w:t xml:space="preserve">in the years </w:t>
      </w:r>
      <w:r>
        <w:t xml:space="preserve">after people complete an MBA degree. A graph taken from Bertrand et al. (2010) displayed the size of the gender pay gap by years since the MBA. Then, the same dependent variables appeared addressing the pay gap within this elite population. Next, participants read an excerpt from the Paycheck Fairness Act </w:t>
      </w:r>
      <w:r w:rsidR="00136C01">
        <w:t>(2022)</w:t>
      </w:r>
      <w:r>
        <w:t xml:space="preserve"> prohibiting employers from using an employee’s wage history to set compensation. </w:t>
      </w:r>
      <w:r w:rsidR="00130B3B">
        <w:t xml:space="preserve">The excerpt appears in Appendix B of the Supplemental Online Materials. </w:t>
      </w:r>
      <w:r>
        <w:t>After reading the excerpt, participants responded to a reading comprehension check, questions measuring support for the legislation, and statements endorsing gender-specific system justification.</w:t>
      </w:r>
      <w:r w:rsidR="00A809D7">
        <w:t xml:space="preserve"> To ensure that we adequately captured </w:t>
      </w:r>
      <w:r w:rsidR="0021622E">
        <w:t xml:space="preserve">variation in </w:t>
      </w:r>
      <w:r w:rsidR="00A809D7">
        <w:t>the extent to which participants consider</w:t>
      </w:r>
      <w:r w:rsidR="0021622E">
        <w:t>ed</w:t>
      </w:r>
      <w:r w:rsidR="00A809D7">
        <w:t xml:space="preserve"> </w:t>
      </w:r>
      <w:r w:rsidR="004A791B">
        <w:t>negotiation propensity</w:t>
      </w:r>
      <w:r w:rsidR="00A809D7">
        <w:t xml:space="preserve"> to be a driver of the gender pay gap, we </w:t>
      </w:r>
      <w:r w:rsidR="009B3B66">
        <w:t>elicited</w:t>
      </w:r>
      <w:r w:rsidR="00A809D7">
        <w:t xml:space="preserve"> both </w:t>
      </w:r>
      <w:r w:rsidR="00F12243">
        <w:t>spontaneous mentions</w:t>
      </w:r>
      <w:r w:rsidR="007D4C38">
        <w:t xml:space="preserve"> of this factor</w:t>
      </w:r>
      <w:r w:rsidR="00A809D7">
        <w:t xml:space="preserve"> and </w:t>
      </w:r>
      <w:r w:rsidR="00F12243">
        <w:t>endorsement compared to popular choice and fairness explanations</w:t>
      </w:r>
      <w:r w:rsidR="00831FE8">
        <w:t xml:space="preserve">, </w:t>
      </w:r>
      <w:r w:rsidR="00A809D7">
        <w:t>which we describe below.</w:t>
      </w:r>
    </w:p>
    <w:p w14:paraId="51F8A14A" w14:textId="5855117B" w:rsidR="0086522A" w:rsidRPr="00991CD2" w:rsidRDefault="0021622E" w:rsidP="003519B7">
      <w:pPr>
        <w:spacing w:line="480" w:lineRule="auto"/>
        <w:ind w:firstLine="720"/>
      </w:pPr>
      <w:r>
        <w:rPr>
          <w:b/>
          <w:bCs/>
          <w:i/>
          <w:iCs/>
        </w:rPr>
        <w:t>Explanations for</w:t>
      </w:r>
      <w:r w:rsidR="0086522A" w:rsidRPr="00A809D7">
        <w:rPr>
          <w:b/>
          <w:bCs/>
          <w:i/>
          <w:iCs/>
        </w:rPr>
        <w:t xml:space="preserve"> the gender pay ga</w:t>
      </w:r>
      <w:r w:rsidR="00A809D7" w:rsidRPr="00A809D7">
        <w:rPr>
          <w:b/>
          <w:bCs/>
          <w:i/>
          <w:iCs/>
        </w:rPr>
        <w:t>p (</w:t>
      </w:r>
      <w:r w:rsidR="00F12243">
        <w:rPr>
          <w:b/>
          <w:bCs/>
          <w:i/>
          <w:iCs/>
        </w:rPr>
        <w:t>spontaneous</w:t>
      </w:r>
      <w:r w:rsidR="004A1583">
        <w:rPr>
          <w:b/>
          <w:bCs/>
          <w:i/>
          <w:iCs/>
        </w:rPr>
        <w:t xml:space="preserve"> mentions</w:t>
      </w:r>
      <w:r w:rsidR="00A809D7" w:rsidRPr="00A809D7">
        <w:rPr>
          <w:b/>
          <w:bCs/>
          <w:i/>
          <w:iCs/>
        </w:rPr>
        <w:t>)</w:t>
      </w:r>
      <w:r w:rsidR="0086522A" w:rsidRPr="00A809D7">
        <w:rPr>
          <w:b/>
          <w:bCs/>
        </w:rPr>
        <w:t>.</w:t>
      </w:r>
      <w:r w:rsidR="0086522A">
        <w:rPr>
          <w:b/>
          <w:bCs/>
        </w:rPr>
        <w:t xml:space="preserve"> </w:t>
      </w:r>
      <w:r w:rsidR="008845A5">
        <w:t>After viewing the statistics regarding the gender pay gap, participants</w:t>
      </w:r>
      <w:r w:rsidR="002713D9">
        <w:t xml:space="preserve"> were asked to indicate</w:t>
      </w:r>
      <w:r w:rsidR="008845A5">
        <w:t xml:space="preserve"> what they think drives it using an open-ended format</w:t>
      </w:r>
      <w:r w:rsidR="008845A5" w:rsidRPr="007841AC">
        <w:t xml:space="preserve">. </w:t>
      </w:r>
      <w:r w:rsidR="008845A5">
        <w:t>The question invited respondents</w:t>
      </w:r>
      <w:r w:rsidR="008845A5" w:rsidRPr="007841AC">
        <w:t xml:space="preserve"> to indicate multiple reasons</w:t>
      </w:r>
      <w:r w:rsidR="008845A5">
        <w:t>. We coded responses by asking three independent raters to read a subsample of the responses and score them. Each response received scores along three dimensions from two of the raters. First, raters indicated whether</w:t>
      </w:r>
      <w:r w:rsidR="008845A5" w:rsidRPr="003568FB">
        <w:t xml:space="preserve"> th</w:t>
      </w:r>
      <w:r w:rsidR="008845A5">
        <w:t>e</w:t>
      </w:r>
      <w:r w:rsidR="008845A5" w:rsidRPr="003568FB">
        <w:t xml:space="preserve"> explanation discuss</w:t>
      </w:r>
      <w:r w:rsidR="008845A5">
        <w:t>ed</w:t>
      </w:r>
      <w:r w:rsidR="008845A5" w:rsidRPr="003568FB">
        <w:t xml:space="preserve"> gender differences in negotiating, asking for </w:t>
      </w:r>
      <w:r w:rsidR="0091719B">
        <w:t xml:space="preserve">a </w:t>
      </w:r>
      <w:r w:rsidR="008845A5" w:rsidRPr="003568FB">
        <w:t xml:space="preserve">higher salary, </w:t>
      </w:r>
      <w:r w:rsidR="008845A5">
        <w:t xml:space="preserve">or </w:t>
      </w:r>
      <w:r w:rsidR="008845A5" w:rsidRPr="003568FB">
        <w:t>assertiveness</w:t>
      </w:r>
      <w:r w:rsidR="008845A5">
        <w:t xml:space="preserve"> </w:t>
      </w:r>
      <w:r w:rsidR="008845A5" w:rsidRPr="003568FB">
        <w:t>(</w:t>
      </w:r>
      <w:r w:rsidR="008845A5">
        <w:t>1</w:t>
      </w:r>
      <w:r w:rsidR="008845A5" w:rsidRPr="003568FB">
        <w:t xml:space="preserve"> = </w:t>
      </w:r>
      <w:r w:rsidR="008845A5">
        <w:t xml:space="preserve">yes, 0 = </w:t>
      </w:r>
      <w:r w:rsidR="008845A5" w:rsidRPr="003568FB">
        <w:t>no)</w:t>
      </w:r>
      <w:r w:rsidR="008845A5">
        <w:t xml:space="preserve">. This indicated inclusion in the negotiation-based category of explanations. Second, raters indicated whether the </w:t>
      </w:r>
      <w:r w:rsidR="008845A5" w:rsidRPr="003824FE">
        <w:t>explanation discuss</w:t>
      </w:r>
      <w:r w:rsidR="008845A5">
        <w:t>ed</w:t>
      </w:r>
      <w:r w:rsidR="008845A5" w:rsidRPr="003824FE">
        <w:t xml:space="preserve"> gender differences in personal factors that contribute to one's economic value (e.g., education, work experience, hours worked) (</w:t>
      </w:r>
      <w:r w:rsidR="008845A5">
        <w:t>1</w:t>
      </w:r>
      <w:r w:rsidR="008845A5" w:rsidRPr="003568FB">
        <w:t xml:space="preserve"> = </w:t>
      </w:r>
      <w:r w:rsidR="008845A5">
        <w:t xml:space="preserve">yes, 0 = </w:t>
      </w:r>
      <w:r w:rsidR="008845A5" w:rsidRPr="003568FB">
        <w:t>no</w:t>
      </w:r>
      <w:r w:rsidR="008845A5" w:rsidRPr="003824FE">
        <w:t>)</w:t>
      </w:r>
      <w:r w:rsidR="008845A5">
        <w:t xml:space="preserve">. This indicated belief in human capital gender </w:t>
      </w:r>
      <w:r w:rsidR="008845A5">
        <w:lastRenderedPageBreak/>
        <w:t>differences, summarized as the choice-based category to be consistent with labels from prior research (Connor &amp; Fiske, 2019). Third, raters indicated whether the</w:t>
      </w:r>
      <w:r w:rsidR="008845A5" w:rsidRPr="003824FE">
        <w:t xml:space="preserve"> explanation discuss</w:t>
      </w:r>
      <w:r w:rsidR="008845A5">
        <w:t>ed</w:t>
      </w:r>
      <w:r w:rsidR="008845A5" w:rsidRPr="003824FE">
        <w:t xml:space="preserve"> gender differences in advantages and disadvantages due to prejudice, discrimination, bias</w:t>
      </w:r>
      <w:r w:rsidR="008845A5">
        <w:t>,</w:t>
      </w:r>
      <w:r w:rsidR="008845A5" w:rsidRPr="003824FE">
        <w:t xml:space="preserve"> or structural barriers (e.g., access to power, information</w:t>
      </w:r>
      <w:r w:rsidR="008845A5">
        <w:t>,</w:t>
      </w:r>
      <w:r w:rsidR="008845A5" w:rsidRPr="003824FE">
        <w:t xml:space="preserve"> or enforcement of laws) </w:t>
      </w:r>
      <w:r w:rsidR="008845A5">
        <w:t>(1 = yes, 0 = no). If at least one of the raters scored the response as being non-codable</w:t>
      </w:r>
      <w:r w:rsidR="003519B7">
        <w:t xml:space="preserve"> (</w:t>
      </w:r>
      <w:r w:rsidR="003519B7" w:rsidRPr="006D4D14">
        <w:rPr>
          <w:i/>
        </w:rPr>
        <w:t>n</w:t>
      </w:r>
      <w:r w:rsidR="003519B7">
        <w:t xml:space="preserve"> = </w:t>
      </w:r>
      <w:r w:rsidR="00094D8B">
        <w:t>49</w:t>
      </w:r>
      <w:r w:rsidR="003519B7">
        <w:t>)</w:t>
      </w:r>
      <w:r w:rsidR="008845A5">
        <w:t>, it was excluded from the analysis</w:t>
      </w:r>
      <w:r w:rsidR="003519B7">
        <w:t xml:space="preserve">. </w:t>
      </w:r>
      <w:r w:rsidR="008845A5">
        <w:t>These comments, upon review, were either gibberish, a non-answer (e.g., “I have no idea”), a refutation of the facts (e.g., “I don’t believe there is a gender pay gap”), a restatement of the problem (e.g., “the larger salaries men receive,” or “men make more from the start”), or provided too little information to be comprehensible (e.g., “society is the reason”, “the way employers respond to them”). The two ratings</w:t>
      </w:r>
      <w:r w:rsidR="003519B7">
        <w:t xml:space="preserve"> of the </w:t>
      </w:r>
      <w:r w:rsidR="00045461">
        <w:t>400</w:t>
      </w:r>
      <w:r w:rsidR="00B16EAC">
        <w:t xml:space="preserve"> remaining </w:t>
      </w:r>
      <w:r w:rsidR="003519B7">
        <w:t>responses</w:t>
      </w:r>
      <w:r w:rsidR="008845A5">
        <w:t xml:space="preserve"> were averaged to form a scale for the negotiation-based (</w:t>
      </w:r>
      <w:r w:rsidR="008845A5" w:rsidRPr="00B85C0D">
        <w:rPr>
          <w:i/>
          <w:iCs/>
        </w:rPr>
        <w:t>κ</w:t>
      </w:r>
      <w:r w:rsidR="008845A5">
        <w:t xml:space="preserve"> = .81), choice-based (</w:t>
      </w:r>
      <w:r w:rsidR="008845A5" w:rsidRPr="00A076E3">
        <w:rPr>
          <w:i/>
          <w:iCs/>
        </w:rPr>
        <w:t>κ</w:t>
      </w:r>
      <w:r w:rsidR="008845A5">
        <w:t xml:space="preserve"> = .59), and unfairness-based (</w:t>
      </w:r>
      <w:r w:rsidR="008845A5" w:rsidRPr="00A076E3">
        <w:rPr>
          <w:i/>
          <w:iCs/>
        </w:rPr>
        <w:t>κ</w:t>
      </w:r>
      <w:r w:rsidR="008845A5">
        <w:t xml:space="preserve"> = .65) scale categories. </w:t>
      </w:r>
      <w:r w:rsidR="0061306A">
        <w:t>A value of 1.00 indicated that both raters thought the item represented the category of explanation; a value of 0.50 indicated that one of the raters included the item in the category, and a value of 0.00 indicated that neither of the raters included the item as representative of the category.</w:t>
      </w:r>
    </w:p>
    <w:p w14:paraId="089CF552" w14:textId="609DFA9C" w:rsidR="008845A5" w:rsidRPr="00965F7C" w:rsidRDefault="00A809D7" w:rsidP="00965F7C">
      <w:pPr>
        <w:spacing w:line="480" w:lineRule="auto"/>
        <w:ind w:firstLine="720"/>
      </w:pPr>
      <w:r w:rsidRPr="00A809D7">
        <w:rPr>
          <w:b/>
          <w:bCs/>
          <w:i/>
          <w:iCs/>
        </w:rPr>
        <w:t xml:space="preserve"> </w:t>
      </w:r>
      <w:r w:rsidR="009B3B66">
        <w:rPr>
          <w:b/>
          <w:bCs/>
          <w:i/>
          <w:iCs/>
        </w:rPr>
        <w:t>Explanations for</w:t>
      </w:r>
      <w:r w:rsidR="009B3B66" w:rsidRPr="00A809D7">
        <w:rPr>
          <w:b/>
          <w:bCs/>
          <w:i/>
          <w:iCs/>
        </w:rPr>
        <w:t xml:space="preserve"> </w:t>
      </w:r>
      <w:r w:rsidRPr="00A809D7">
        <w:rPr>
          <w:b/>
          <w:bCs/>
          <w:i/>
          <w:iCs/>
        </w:rPr>
        <w:t>the gender pay gap (</w:t>
      </w:r>
      <w:r>
        <w:rPr>
          <w:b/>
          <w:bCs/>
          <w:i/>
          <w:iCs/>
        </w:rPr>
        <w:t>comparative</w:t>
      </w:r>
      <w:r w:rsidR="004A1583">
        <w:rPr>
          <w:b/>
          <w:bCs/>
          <w:i/>
          <w:iCs/>
        </w:rPr>
        <w:t xml:space="preserve"> judgments</w:t>
      </w:r>
      <w:r w:rsidRPr="00A809D7">
        <w:rPr>
          <w:b/>
          <w:bCs/>
          <w:i/>
          <w:iCs/>
        </w:rPr>
        <w:t>)</w:t>
      </w:r>
      <w:r w:rsidRPr="00A809D7">
        <w:rPr>
          <w:b/>
          <w:bCs/>
        </w:rPr>
        <w:t>.</w:t>
      </w:r>
      <w:r>
        <w:rPr>
          <w:b/>
          <w:bCs/>
        </w:rPr>
        <w:t xml:space="preserve"> </w:t>
      </w:r>
      <w:r w:rsidR="00965F7C">
        <w:t>Participants indicated w</w:t>
      </w:r>
      <w:r w:rsidR="00965F7C" w:rsidRPr="006163B4">
        <w:t xml:space="preserve">hat percentage from 0% </w:t>
      </w:r>
      <w:r w:rsidR="00965F7C" w:rsidRPr="009C6486">
        <w:rPr>
          <w:i/>
          <w:iCs/>
        </w:rPr>
        <w:t>(none)</w:t>
      </w:r>
      <w:r w:rsidR="00965F7C" w:rsidRPr="006163B4">
        <w:t xml:space="preserve"> to 100% </w:t>
      </w:r>
      <w:r w:rsidR="00965F7C" w:rsidRPr="009C6486">
        <w:rPr>
          <w:i/>
          <w:iCs/>
        </w:rPr>
        <w:t>(all)</w:t>
      </w:r>
      <w:r w:rsidR="00965F7C" w:rsidRPr="006163B4">
        <w:t xml:space="preserve"> of the gender pay gap </w:t>
      </w:r>
      <w:r w:rsidR="00965F7C">
        <w:t>they</w:t>
      </w:r>
      <w:r w:rsidR="00965F7C" w:rsidRPr="006163B4">
        <w:t xml:space="preserve"> think </w:t>
      </w:r>
      <w:r w:rsidR="00965F7C">
        <w:t xml:space="preserve">is explained by </w:t>
      </w:r>
      <w:r w:rsidR="00965F7C" w:rsidRPr="006163B4">
        <w:t xml:space="preserve">each set of </w:t>
      </w:r>
      <w:r w:rsidR="00965F7C">
        <w:t xml:space="preserve">three </w:t>
      </w:r>
      <w:r w:rsidR="00965F7C" w:rsidRPr="006163B4">
        <w:t>statements</w:t>
      </w:r>
      <w:r w:rsidR="00965F7C">
        <w:t>. Although no labels were given for the categories, one set of statements addressed choice-based explanations, a second one addressed fairness-based explanations, and a third one addressed negotiation-based explanations. Each set of statements appeared in counterbalanced order. The choice-based explanations included: Women are less ambitious than men, men are more qualified for high-paying jobs than women are, and women don’t work as many hours as men. The fairness-based explanations included: A</w:t>
      </w:r>
      <w:r w:rsidR="00965F7C" w:rsidRPr="00433644">
        <w:t xml:space="preserve">n “old boy’s </w:t>
      </w:r>
      <w:r w:rsidR="00965F7C" w:rsidRPr="00433644">
        <w:lastRenderedPageBreak/>
        <w:t>network” ensures men are given the best opportunities for career advancement</w:t>
      </w:r>
      <w:r w:rsidR="00965F7C">
        <w:t>, e</w:t>
      </w:r>
      <w:r w:rsidR="00965F7C" w:rsidRPr="00433644">
        <w:t>mployers are biased against working mother</w:t>
      </w:r>
      <w:r w:rsidR="00965F7C">
        <w:t>s, and a</w:t>
      </w:r>
      <w:r w:rsidR="00965F7C" w:rsidRPr="00433644">
        <w:t xml:space="preserve"> glass ceiling exists that prevents women from achieving the highest paying jobs</w:t>
      </w:r>
      <w:r w:rsidR="00965F7C">
        <w:t>. The negotiation-based explanations included: W</w:t>
      </w:r>
      <w:r w:rsidR="00965F7C" w:rsidRPr="007F775B">
        <w:t>omen don’t negotiate compensation as effectively as men do</w:t>
      </w:r>
      <w:r w:rsidR="00965F7C">
        <w:t>, w</w:t>
      </w:r>
      <w:r w:rsidR="00965F7C" w:rsidRPr="007F775B">
        <w:t>omen typically don't negotiate terms when they receive a job offe</w:t>
      </w:r>
      <w:r w:rsidR="00965F7C">
        <w:t>r, and w</w:t>
      </w:r>
      <w:r w:rsidR="00965F7C" w:rsidRPr="007F775B">
        <w:t>omen don’t ask for better pay from employers</w:t>
      </w:r>
      <w:r w:rsidR="00965F7C">
        <w:t>. Percentages across the three categories were required to sum to 100%.</w:t>
      </w:r>
    </w:p>
    <w:p w14:paraId="0CAA8B92" w14:textId="394D2801" w:rsidR="0086522A" w:rsidRDefault="0086522A" w:rsidP="00140558">
      <w:pPr>
        <w:spacing w:line="480" w:lineRule="auto"/>
        <w:ind w:firstLine="720"/>
      </w:pPr>
      <w:r>
        <w:t xml:space="preserve">  </w:t>
      </w:r>
      <w:r w:rsidRPr="00715BCA">
        <w:rPr>
          <w:b/>
          <w:bCs/>
          <w:i/>
          <w:iCs/>
        </w:rPr>
        <w:t>Support for the legislation</w:t>
      </w:r>
      <w:r>
        <w:rPr>
          <w:b/>
          <w:bCs/>
          <w:i/>
          <w:iCs/>
        </w:rPr>
        <w:t xml:space="preserve">. </w:t>
      </w:r>
      <w:r>
        <w:t xml:space="preserve">Two questions measured </w:t>
      </w:r>
      <w:r w:rsidR="006D4D14">
        <w:t xml:space="preserve">attitudes towards </w:t>
      </w:r>
      <w:r>
        <w:t xml:space="preserve">the </w:t>
      </w:r>
      <w:r w:rsidR="00EF0D98">
        <w:t xml:space="preserve">salary history ban </w:t>
      </w:r>
      <w:r>
        <w:t xml:space="preserve">legislation </w:t>
      </w:r>
      <w:r w:rsidR="00EF0D98">
        <w:t xml:space="preserve">prohibiting the </w:t>
      </w:r>
      <w:r>
        <w:t xml:space="preserve">use of historical wages in setting compensation. Participants indicated </w:t>
      </w:r>
      <w:r w:rsidR="004575B2">
        <w:t>the extent to which they supported</w:t>
      </w:r>
      <w:r>
        <w:t xml:space="preserve"> this legislation using a scale from 1 (</w:t>
      </w:r>
      <w:r>
        <w:rPr>
          <w:i/>
          <w:iCs/>
        </w:rPr>
        <w:t>strongly oppose</w:t>
      </w:r>
      <w:r>
        <w:t>) to 7 (</w:t>
      </w:r>
      <w:r>
        <w:rPr>
          <w:i/>
          <w:iCs/>
        </w:rPr>
        <w:t>strongly support</w:t>
      </w:r>
      <w:r>
        <w:t>) and whether they would be willing to sign a petition supporting the legislation using a scale from 1 (</w:t>
      </w:r>
      <w:r>
        <w:rPr>
          <w:i/>
          <w:iCs/>
        </w:rPr>
        <w:t>no</w:t>
      </w:r>
      <w:r>
        <w:t>) to 7 (</w:t>
      </w:r>
      <w:r>
        <w:rPr>
          <w:i/>
          <w:iCs/>
        </w:rPr>
        <w:t>yes</w:t>
      </w:r>
      <w:r>
        <w:t>). The two items were averaged to form a reliable scale (α = .82)</w:t>
      </w:r>
      <w:r w:rsidR="00234063">
        <w:rPr>
          <w:rStyle w:val="FootnoteReference"/>
        </w:rPr>
        <w:footnoteReference w:id="8"/>
      </w:r>
      <w:r>
        <w:t>.</w:t>
      </w:r>
    </w:p>
    <w:p w14:paraId="05B90B94" w14:textId="77777777" w:rsidR="0086522A" w:rsidRPr="00AB622F" w:rsidRDefault="0086522A" w:rsidP="00140558">
      <w:pPr>
        <w:spacing w:line="480" w:lineRule="auto"/>
        <w:ind w:firstLine="720"/>
      </w:pPr>
      <w:r w:rsidRPr="001F03DE">
        <w:rPr>
          <w:b/>
          <w:bCs/>
          <w:i/>
          <w:iCs/>
        </w:rPr>
        <w:t>Gender-specific system justification</w:t>
      </w:r>
      <w:r>
        <w:rPr>
          <w:b/>
          <w:bCs/>
          <w:i/>
          <w:iCs/>
        </w:rPr>
        <w:t xml:space="preserve">. </w:t>
      </w:r>
      <w:r>
        <w:t>Eight questions from Jost and Kay (2005) measured gender-specific system justification using a scale from 1 (</w:t>
      </w:r>
      <w:r>
        <w:rPr>
          <w:i/>
          <w:iCs/>
        </w:rPr>
        <w:t>strongly disagree</w:t>
      </w:r>
      <w:r>
        <w:t>) to 7 (</w:t>
      </w:r>
      <w:r>
        <w:rPr>
          <w:i/>
          <w:iCs/>
        </w:rPr>
        <w:t>strongly agree</w:t>
      </w:r>
      <w:r>
        <w:t>). Sample items include: “</w:t>
      </w:r>
      <w:r w:rsidRPr="00705CEA">
        <w:t>Everyone (male or female) has a fair shot at wealth and happiness</w:t>
      </w:r>
      <w:r>
        <w:t>,” and “</w:t>
      </w:r>
      <w:r w:rsidRPr="00705CEA">
        <w:t>Society is set up so that men and women usually get what they deserve.</w:t>
      </w:r>
      <w:r>
        <w:t xml:space="preserve">”  Items were averaged to form a reliable scale (α = .90). </w:t>
      </w:r>
    </w:p>
    <w:p w14:paraId="26FDCE56" w14:textId="77777777" w:rsidR="0086522A" w:rsidRDefault="0086522A" w:rsidP="00140558">
      <w:pPr>
        <w:spacing w:line="480" w:lineRule="auto"/>
        <w:rPr>
          <w:b/>
          <w:bCs/>
        </w:rPr>
      </w:pPr>
      <w:r>
        <w:rPr>
          <w:b/>
          <w:bCs/>
        </w:rPr>
        <w:t>Results</w:t>
      </w:r>
    </w:p>
    <w:p w14:paraId="71E17B1A" w14:textId="15395917" w:rsidR="0086522A" w:rsidRPr="00260104" w:rsidRDefault="0086522A" w:rsidP="00140558">
      <w:pPr>
        <w:spacing w:line="480" w:lineRule="auto"/>
      </w:pPr>
      <w:r>
        <w:tab/>
        <w:t xml:space="preserve">Table </w:t>
      </w:r>
      <w:r w:rsidR="0033062E">
        <w:t>4</w:t>
      </w:r>
      <w:r>
        <w:t xml:space="preserve"> provides descriptive statistics and zero-order correlations among variables.</w:t>
      </w:r>
    </w:p>
    <w:tbl>
      <w:tblPr>
        <w:tblStyle w:val="TableGrid"/>
        <w:tblW w:w="0" w:type="auto"/>
        <w:jc w:val="center"/>
        <w:tblBorders>
          <w:top w:val="dashed" w:sz="4" w:space="0" w:color="auto"/>
          <w:left w:val="none" w:sz="0" w:space="0" w:color="auto"/>
          <w:bottom w:val="dashed" w:sz="4" w:space="0" w:color="auto"/>
          <w:right w:val="none" w:sz="0" w:space="0" w:color="auto"/>
        </w:tblBorders>
        <w:tblLook w:val="04A0" w:firstRow="1" w:lastRow="0" w:firstColumn="1" w:lastColumn="0" w:noHBand="0" w:noVBand="1"/>
      </w:tblPr>
      <w:tblGrid>
        <w:gridCol w:w="2970"/>
      </w:tblGrid>
      <w:tr w:rsidR="0086522A" w14:paraId="172E2C81" w14:textId="77777777" w:rsidTr="00140558">
        <w:trPr>
          <w:jc w:val="center"/>
        </w:trPr>
        <w:tc>
          <w:tcPr>
            <w:tcW w:w="2970" w:type="dxa"/>
          </w:tcPr>
          <w:p w14:paraId="723C87AF" w14:textId="3BF80A7E" w:rsidR="0086522A" w:rsidRDefault="0086522A" w:rsidP="00140558">
            <w:pPr>
              <w:spacing w:line="480" w:lineRule="auto"/>
              <w:jc w:val="center"/>
            </w:pPr>
            <w:r>
              <w:t xml:space="preserve">Insert Table </w:t>
            </w:r>
            <w:r w:rsidR="00EF728D">
              <w:t>4</w:t>
            </w:r>
            <w:r>
              <w:t xml:space="preserve"> about here</w:t>
            </w:r>
          </w:p>
        </w:tc>
      </w:tr>
    </w:tbl>
    <w:p w14:paraId="108D579E" w14:textId="77777777" w:rsidR="009D2219" w:rsidRDefault="009D2219" w:rsidP="00A809D7">
      <w:pPr>
        <w:spacing w:line="480" w:lineRule="auto"/>
        <w:ind w:firstLine="720"/>
        <w:rPr>
          <w:b/>
          <w:bCs/>
          <w:i/>
          <w:iCs/>
        </w:rPr>
      </w:pPr>
    </w:p>
    <w:p w14:paraId="616E01F1" w14:textId="1EF64DDA" w:rsidR="0086522A" w:rsidRPr="00965F7C" w:rsidRDefault="009B3B66" w:rsidP="00A809D7">
      <w:pPr>
        <w:spacing w:line="480" w:lineRule="auto"/>
        <w:ind w:firstLine="720"/>
      </w:pPr>
      <w:r>
        <w:rPr>
          <w:b/>
          <w:bCs/>
          <w:i/>
          <w:iCs/>
        </w:rPr>
        <w:lastRenderedPageBreak/>
        <w:t>Explanations for</w:t>
      </w:r>
      <w:r w:rsidRPr="00A809D7">
        <w:rPr>
          <w:b/>
          <w:bCs/>
          <w:i/>
          <w:iCs/>
        </w:rPr>
        <w:t xml:space="preserve"> </w:t>
      </w:r>
      <w:r w:rsidR="00A809D7" w:rsidRPr="00A809D7">
        <w:rPr>
          <w:b/>
          <w:bCs/>
          <w:i/>
          <w:iCs/>
        </w:rPr>
        <w:t>the gender pay gap (</w:t>
      </w:r>
      <w:r w:rsidR="0073672B">
        <w:rPr>
          <w:b/>
          <w:bCs/>
          <w:i/>
          <w:iCs/>
        </w:rPr>
        <w:t>spontaneous</w:t>
      </w:r>
      <w:r w:rsidR="004A1583">
        <w:rPr>
          <w:b/>
          <w:bCs/>
          <w:i/>
          <w:iCs/>
        </w:rPr>
        <w:t xml:space="preserve"> mentions</w:t>
      </w:r>
      <w:r w:rsidR="00A809D7" w:rsidRPr="00A809D7">
        <w:rPr>
          <w:b/>
          <w:bCs/>
          <w:i/>
          <w:iCs/>
        </w:rPr>
        <w:t>)</w:t>
      </w:r>
      <w:r w:rsidR="00A809D7" w:rsidRPr="00A809D7">
        <w:rPr>
          <w:b/>
          <w:bCs/>
        </w:rPr>
        <w:t>.</w:t>
      </w:r>
      <w:r w:rsidR="00965F7C">
        <w:t xml:space="preserve"> The results of coding open-ended responses </w:t>
      </w:r>
      <w:r w:rsidR="006438B6" w:rsidRPr="00831FE8">
        <w:t>indicated</w:t>
      </w:r>
      <w:r w:rsidR="006438B6">
        <w:t xml:space="preserve"> </w:t>
      </w:r>
      <w:r w:rsidR="00965F7C">
        <w:t>15</w:t>
      </w:r>
      <w:r w:rsidR="00965F7C" w:rsidRPr="00FC6679">
        <w:t>%</w:t>
      </w:r>
      <w:r w:rsidR="00965F7C">
        <w:t xml:space="preserve"> (</w:t>
      </w:r>
      <w:r w:rsidR="00965F7C">
        <w:rPr>
          <w:i/>
          <w:iCs/>
        </w:rPr>
        <w:t xml:space="preserve">SD </w:t>
      </w:r>
      <w:r w:rsidR="00965F7C">
        <w:t>= 0.34)</w:t>
      </w:r>
      <w:r w:rsidR="00965F7C" w:rsidRPr="00FC6679">
        <w:t xml:space="preserve"> of respondents </w:t>
      </w:r>
      <w:r w:rsidR="006438B6">
        <w:t xml:space="preserve">spontaneously </w:t>
      </w:r>
      <w:r w:rsidR="00965F7C" w:rsidRPr="00FC6679">
        <w:t xml:space="preserve">mentioned </w:t>
      </w:r>
      <w:r w:rsidR="006438B6">
        <w:t xml:space="preserve">gender differences in </w:t>
      </w:r>
      <w:r w:rsidR="00965F7C" w:rsidRPr="00FC6679">
        <w:t>negotiation tendencies when explaining the pay gap</w:t>
      </w:r>
      <w:r w:rsidR="00965F7C">
        <w:t xml:space="preserve">, a figure significantly greater than zero, </w:t>
      </w:r>
      <w:proofErr w:type="gramStart"/>
      <w:r w:rsidR="00965F7C">
        <w:rPr>
          <w:i/>
          <w:iCs/>
        </w:rPr>
        <w:t>t</w:t>
      </w:r>
      <w:r w:rsidR="00965F7C">
        <w:t>(</w:t>
      </w:r>
      <w:proofErr w:type="gramEnd"/>
      <w:r w:rsidR="00965F7C">
        <w:t xml:space="preserve">401) = 8.77, </w:t>
      </w:r>
      <w:r w:rsidR="00965F7C">
        <w:rPr>
          <w:i/>
          <w:iCs/>
        </w:rPr>
        <w:t xml:space="preserve">p </w:t>
      </w:r>
      <w:r w:rsidR="00965F7C">
        <w:t xml:space="preserve">&lt; .001, </w:t>
      </w:r>
      <w:r w:rsidR="00965F7C">
        <w:rPr>
          <w:i/>
          <w:iCs/>
        </w:rPr>
        <w:t xml:space="preserve">d </w:t>
      </w:r>
      <w:r w:rsidR="00965F7C">
        <w:t>= 0.44</w:t>
      </w:r>
      <w:r w:rsidR="00965F7C" w:rsidRPr="00FC6679">
        <w:t xml:space="preserve">. </w:t>
      </w:r>
      <w:r w:rsidR="00965F7C">
        <w:t xml:space="preserve">Virtually </w:t>
      </w:r>
      <w:r w:rsidR="000328EC">
        <w:t>all</w:t>
      </w:r>
      <w:r w:rsidR="00965F7C" w:rsidRPr="00FC6679">
        <w:t xml:space="preserve"> the statements referred to women negotiating less </w:t>
      </w:r>
      <w:r w:rsidR="00965F7C">
        <w:t xml:space="preserve">often </w:t>
      </w:r>
      <w:r w:rsidR="00965F7C" w:rsidRPr="00FC6679">
        <w:t xml:space="preserve">or </w:t>
      </w:r>
      <w:r w:rsidR="00965F7C">
        <w:t>being less assertive</w:t>
      </w:r>
      <w:r w:rsidR="00965F7C" w:rsidRPr="00FC6679">
        <w:t xml:space="preserve"> than men</w:t>
      </w:r>
      <w:r w:rsidR="00965F7C">
        <w:t>. Forty-seven percent (</w:t>
      </w:r>
      <w:r w:rsidR="00965F7C">
        <w:rPr>
          <w:i/>
          <w:iCs/>
        </w:rPr>
        <w:t xml:space="preserve">SD </w:t>
      </w:r>
      <w:r w:rsidR="00965F7C">
        <w:t>= 0.44) of participants mentioned choice-based explanations (</w:t>
      </w:r>
      <w:proofErr w:type="gramStart"/>
      <w:r w:rsidR="00965F7C">
        <w:rPr>
          <w:i/>
          <w:iCs/>
        </w:rPr>
        <w:t>t</w:t>
      </w:r>
      <w:r w:rsidR="00965F7C">
        <w:t>(</w:t>
      </w:r>
      <w:proofErr w:type="gramEnd"/>
      <w:r w:rsidR="00965F7C">
        <w:t xml:space="preserve">399) = 21.19, </w:t>
      </w:r>
      <w:r w:rsidR="00965F7C">
        <w:rPr>
          <w:i/>
          <w:iCs/>
        </w:rPr>
        <w:t xml:space="preserve">p </w:t>
      </w:r>
      <w:r w:rsidR="00965F7C">
        <w:t xml:space="preserve">&lt; .001, </w:t>
      </w:r>
      <w:r w:rsidR="00965F7C">
        <w:rPr>
          <w:i/>
          <w:iCs/>
        </w:rPr>
        <w:t xml:space="preserve">d </w:t>
      </w:r>
      <w:r w:rsidR="00965F7C">
        <w:t>= 1.06), and 64% (</w:t>
      </w:r>
      <w:r w:rsidR="00965F7C">
        <w:rPr>
          <w:i/>
          <w:iCs/>
        </w:rPr>
        <w:t xml:space="preserve">SD </w:t>
      </w:r>
      <w:r w:rsidR="00965F7C">
        <w:t xml:space="preserve">= 0.44) mentioned fairness-based explanations, </w:t>
      </w:r>
      <w:proofErr w:type="gramStart"/>
      <w:r w:rsidR="00965F7C">
        <w:rPr>
          <w:i/>
          <w:iCs/>
        </w:rPr>
        <w:t>t</w:t>
      </w:r>
      <w:r w:rsidR="00965F7C">
        <w:t>(</w:t>
      </w:r>
      <w:proofErr w:type="gramEnd"/>
      <w:r w:rsidR="00965F7C">
        <w:t xml:space="preserve">399) = 29.06, </w:t>
      </w:r>
      <w:r w:rsidR="00965F7C">
        <w:rPr>
          <w:i/>
          <w:iCs/>
        </w:rPr>
        <w:t xml:space="preserve">p </w:t>
      </w:r>
      <w:r w:rsidR="00965F7C">
        <w:t xml:space="preserve">&lt; .001, </w:t>
      </w:r>
      <w:r w:rsidR="00965F7C">
        <w:rPr>
          <w:i/>
          <w:iCs/>
        </w:rPr>
        <w:t xml:space="preserve">d </w:t>
      </w:r>
      <w:r w:rsidR="00965F7C">
        <w:t xml:space="preserve">= 1.45. </w:t>
      </w:r>
      <w:r w:rsidR="00544B9E">
        <w:t>Mentions of t</w:t>
      </w:r>
      <w:r w:rsidR="0015079E" w:rsidRPr="0015079E">
        <w:t>he negotiation-based explanation</w:t>
      </w:r>
      <w:r w:rsidR="00544B9E">
        <w:t>s</w:t>
      </w:r>
      <w:r w:rsidR="0015079E" w:rsidRPr="0015079E">
        <w:t xml:space="preserve"> w</w:t>
      </w:r>
      <w:r w:rsidR="00544B9E">
        <w:t>ere</w:t>
      </w:r>
      <w:r w:rsidR="0015079E" w:rsidRPr="0015079E">
        <w:t xml:space="preserve"> uncorrelated with</w:t>
      </w:r>
      <w:r w:rsidR="00544B9E">
        <w:t xml:space="preserve"> mentions of</w:t>
      </w:r>
      <w:r w:rsidR="0015079E" w:rsidRPr="0015079E">
        <w:t xml:space="preserve"> the choice-based explanation</w:t>
      </w:r>
      <w:r w:rsidR="00C26664">
        <w:t>s</w:t>
      </w:r>
      <w:r w:rsidR="0015079E" w:rsidRPr="0015079E">
        <w:t xml:space="preserve"> (</w:t>
      </w:r>
      <w:r w:rsidR="0015079E" w:rsidRPr="0015079E">
        <w:rPr>
          <w:i/>
          <w:iCs/>
        </w:rPr>
        <w:t xml:space="preserve">r </w:t>
      </w:r>
      <w:r w:rsidR="0015079E" w:rsidRPr="0015079E">
        <w:t xml:space="preserve">(400) = -.00, </w:t>
      </w:r>
      <w:r w:rsidR="0015079E" w:rsidRPr="0015079E">
        <w:rPr>
          <w:i/>
          <w:iCs/>
        </w:rPr>
        <w:t xml:space="preserve">p </w:t>
      </w:r>
      <w:r w:rsidR="0015079E" w:rsidRPr="0015079E">
        <w:t>= .98) and negatively correlated with</w:t>
      </w:r>
      <w:r w:rsidR="00C26664">
        <w:t xml:space="preserve"> mentioning</w:t>
      </w:r>
      <w:r w:rsidR="0015079E" w:rsidRPr="0015079E">
        <w:t xml:space="preserve"> fairness-based explanations (</w:t>
      </w:r>
      <w:r w:rsidR="0015079E" w:rsidRPr="0015079E">
        <w:rPr>
          <w:i/>
          <w:iCs/>
        </w:rPr>
        <w:t xml:space="preserve">r </w:t>
      </w:r>
      <w:r w:rsidR="0015079E" w:rsidRPr="0015079E">
        <w:t xml:space="preserve">(400) = -.23, </w:t>
      </w:r>
      <w:r w:rsidR="0015079E" w:rsidRPr="0015079E">
        <w:rPr>
          <w:i/>
          <w:iCs/>
        </w:rPr>
        <w:t xml:space="preserve">p </w:t>
      </w:r>
      <w:r w:rsidR="0015079E" w:rsidRPr="0015079E">
        <w:t>&lt; .001).</w:t>
      </w:r>
    </w:p>
    <w:p w14:paraId="544D536A" w14:textId="5E2AD6F8" w:rsidR="0086522A" w:rsidRPr="00260104" w:rsidRDefault="00F752F2" w:rsidP="00140558">
      <w:pPr>
        <w:spacing w:line="480" w:lineRule="auto"/>
        <w:ind w:firstLine="720"/>
      </w:pPr>
      <w:r>
        <w:rPr>
          <w:b/>
          <w:bCs/>
          <w:i/>
          <w:iCs/>
        </w:rPr>
        <w:t>Explanations for</w:t>
      </w:r>
      <w:r w:rsidRPr="00A809D7">
        <w:rPr>
          <w:b/>
          <w:bCs/>
          <w:i/>
          <w:iCs/>
        </w:rPr>
        <w:t xml:space="preserve"> </w:t>
      </w:r>
      <w:r w:rsidR="00A809D7" w:rsidRPr="00A809D7">
        <w:rPr>
          <w:b/>
          <w:bCs/>
          <w:i/>
          <w:iCs/>
        </w:rPr>
        <w:t>the gender pay gap (</w:t>
      </w:r>
      <w:r w:rsidR="00831FE8">
        <w:rPr>
          <w:b/>
          <w:bCs/>
          <w:i/>
          <w:iCs/>
        </w:rPr>
        <w:t>comparative</w:t>
      </w:r>
      <w:r w:rsidR="004A1583">
        <w:rPr>
          <w:b/>
          <w:bCs/>
          <w:i/>
          <w:iCs/>
        </w:rPr>
        <w:t xml:space="preserve"> judgments</w:t>
      </w:r>
      <w:r w:rsidR="00A809D7" w:rsidRPr="00A809D7">
        <w:rPr>
          <w:b/>
          <w:bCs/>
          <w:i/>
          <w:iCs/>
        </w:rPr>
        <w:t>)</w:t>
      </w:r>
      <w:r w:rsidR="0086522A">
        <w:rPr>
          <w:b/>
          <w:bCs/>
          <w:i/>
          <w:iCs/>
        </w:rPr>
        <w:t xml:space="preserve">. </w:t>
      </w:r>
      <w:r w:rsidR="0086522A">
        <w:t xml:space="preserve">We first assessed the degree to which each category of statements was perceived to explain the gender pay gap. In both the general population and the elite group of MBAs, the choice-, fairness-, and negotiation-based explanations were perceived to explain significant variance (see Figure </w:t>
      </w:r>
      <w:r w:rsidR="006C4DC7">
        <w:t>4</w:t>
      </w:r>
      <w:r w:rsidR="0086522A">
        <w:t>). A</w:t>
      </w:r>
      <w:r w:rsidR="00A809D7">
        <w:t xml:space="preserve">s in the </w:t>
      </w:r>
      <w:r w:rsidR="00831FE8">
        <w:t>coding of spontaneous mentions of the three categories of pay gap explanations</w:t>
      </w:r>
      <w:r w:rsidR="00A809D7">
        <w:t>, a</w:t>
      </w:r>
      <w:r w:rsidR="0086522A">
        <w:t>ll percentages were significantly higher than zero (</w:t>
      </w:r>
      <w:proofErr w:type="spellStart"/>
      <w:r w:rsidR="0086522A">
        <w:rPr>
          <w:i/>
          <w:iCs/>
        </w:rPr>
        <w:t>t</w:t>
      </w:r>
      <w:r w:rsidR="0086522A">
        <w:t>s</w:t>
      </w:r>
      <w:proofErr w:type="spellEnd"/>
      <w:r w:rsidR="0086522A">
        <w:t xml:space="preserve"> &gt; 16.09, </w:t>
      </w:r>
      <w:proofErr w:type="spellStart"/>
      <w:r w:rsidR="0086522A">
        <w:rPr>
          <w:i/>
          <w:iCs/>
        </w:rPr>
        <w:t>p</w:t>
      </w:r>
      <w:r w:rsidR="0086522A">
        <w:t>s</w:t>
      </w:r>
      <w:proofErr w:type="spellEnd"/>
      <w:r w:rsidR="0086522A">
        <w:t xml:space="preserve"> &lt; .001, </w:t>
      </w:r>
      <w:r w:rsidR="0086522A">
        <w:rPr>
          <w:i/>
          <w:iCs/>
        </w:rPr>
        <w:t>d</w:t>
      </w:r>
      <w:r w:rsidR="0086522A">
        <w:t xml:space="preserve">s &gt; 0.75). </w:t>
      </w:r>
      <w:r>
        <w:t>Also consistent with</w:t>
      </w:r>
      <w:r w:rsidR="00A809D7">
        <w:t xml:space="preserve"> the</w:t>
      </w:r>
      <w:r w:rsidR="00831FE8">
        <w:t xml:space="preserve"> pattern of spontaneous mentions</w:t>
      </w:r>
      <w:r w:rsidR="00A809D7">
        <w:t xml:space="preserve">, </w:t>
      </w:r>
      <w:r w:rsidR="0086522A">
        <w:t>negotiation-based explanation was uncorrelated with the choice-based explanation</w:t>
      </w:r>
      <w:r w:rsidR="00BC6A70">
        <w:t xml:space="preserve"> for the general population</w:t>
      </w:r>
      <w:r w:rsidR="0086522A">
        <w:t xml:space="preserve"> (</w:t>
      </w:r>
      <w:proofErr w:type="spellStart"/>
      <w:r w:rsidR="0086522A">
        <w:rPr>
          <w:i/>
          <w:iCs/>
        </w:rPr>
        <w:t>r</w:t>
      </w:r>
      <w:r w:rsidR="00893A29">
        <w:rPr>
          <w:i/>
          <w:iCs/>
          <w:vertAlign w:val="subscript"/>
        </w:rPr>
        <w:t>general</w:t>
      </w:r>
      <w:proofErr w:type="spellEnd"/>
      <w:r w:rsidR="00893A29">
        <w:rPr>
          <w:i/>
          <w:iCs/>
          <w:vertAlign w:val="subscript"/>
        </w:rPr>
        <w:t xml:space="preserve"> </w:t>
      </w:r>
      <w:r w:rsidR="0086522A">
        <w:t xml:space="preserve">(447) = -.00, </w:t>
      </w:r>
      <w:r w:rsidR="0086522A">
        <w:rPr>
          <w:i/>
          <w:iCs/>
        </w:rPr>
        <w:t xml:space="preserve">p </w:t>
      </w:r>
      <w:r w:rsidR="0086522A">
        <w:t>= .98</w:t>
      </w:r>
      <w:r w:rsidR="00BC6A70">
        <w:t>); however, a positive relationship emerged for the elite population</w:t>
      </w:r>
      <w:r w:rsidR="008136A1">
        <w:t>, perhaps because they are understood to have negotiation training</w:t>
      </w:r>
      <w:r w:rsidR="00BC6A70">
        <w:t xml:space="preserve"> (</w:t>
      </w:r>
      <w:r w:rsidR="0086522A">
        <w:rPr>
          <w:i/>
          <w:iCs/>
        </w:rPr>
        <w:t>r</w:t>
      </w:r>
      <w:r w:rsidR="00893A29">
        <w:rPr>
          <w:i/>
          <w:iCs/>
          <w:vertAlign w:val="subscript"/>
        </w:rPr>
        <w:t xml:space="preserve">elite </w:t>
      </w:r>
      <w:r w:rsidR="0086522A">
        <w:t xml:space="preserve">(447) = .12, </w:t>
      </w:r>
      <w:r w:rsidR="0086522A">
        <w:rPr>
          <w:i/>
          <w:iCs/>
        </w:rPr>
        <w:t xml:space="preserve">p </w:t>
      </w:r>
      <w:r w:rsidR="0086522A">
        <w:t xml:space="preserve">= .01). </w:t>
      </w:r>
      <w:r w:rsidR="00893A29">
        <w:t>Endorsement of negotiation</w:t>
      </w:r>
      <w:r w:rsidR="00E93A00">
        <w:t>-based</w:t>
      </w:r>
      <w:r w:rsidR="00893A29">
        <w:t xml:space="preserve"> explanations </w:t>
      </w:r>
      <w:r w:rsidR="0086522A">
        <w:t>showed a large, negative correlation with fairness-based explanations (</w:t>
      </w:r>
      <w:proofErr w:type="spellStart"/>
      <w:r w:rsidR="0086522A">
        <w:rPr>
          <w:i/>
          <w:iCs/>
        </w:rPr>
        <w:t>r</w:t>
      </w:r>
      <w:r w:rsidR="00893A29">
        <w:rPr>
          <w:i/>
          <w:iCs/>
          <w:vertAlign w:val="subscript"/>
        </w:rPr>
        <w:t>general</w:t>
      </w:r>
      <w:proofErr w:type="spellEnd"/>
      <w:r w:rsidR="00893A29">
        <w:rPr>
          <w:i/>
          <w:iCs/>
          <w:vertAlign w:val="subscript"/>
        </w:rPr>
        <w:t xml:space="preserve"> </w:t>
      </w:r>
      <w:r w:rsidR="0086522A">
        <w:t xml:space="preserve">(447) = -.76, </w:t>
      </w:r>
      <w:r w:rsidR="0086522A">
        <w:rPr>
          <w:i/>
          <w:iCs/>
        </w:rPr>
        <w:t xml:space="preserve">p </w:t>
      </w:r>
      <w:r w:rsidR="0086522A">
        <w:t>&lt; .001</w:t>
      </w:r>
      <w:r w:rsidR="00893A29">
        <w:t xml:space="preserve">; </w:t>
      </w:r>
      <w:r w:rsidR="0086522A">
        <w:rPr>
          <w:i/>
          <w:iCs/>
        </w:rPr>
        <w:t>r</w:t>
      </w:r>
      <w:r w:rsidR="00893A29">
        <w:rPr>
          <w:i/>
          <w:iCs/>
          <w:vertAlign w:val="subscript"/>
        </w:rPr>
        <w:t>elite</w:t>
      </w:r>
      <w:r w:rsidR="0086522A">
        <w:rPr>
          <w:i/>
          <w:iCs/>
        </w:rPr>
        <w:t xml:space="preserve"> </w:t>
      </w:r>
      <w:r w:rsidR="0086522A">
        <w:t xml:space="preserve">(447) = -.70, </w:t>
      </w:r>
      <w:r w:rsidR="0086522A">
        <w:rPr>
          <w:i/>
          <w:iCs/>
        </w:rPr>
        <w:t xml:space="preserve">p </w:t>
      </w:r>
      <w:r w:rsidR="0086522A">
        <w:t>&lt; .001) populations.</w:t>
      </w:r>
    </w:p>
    <w:tbl>
      <w:tblPr>
        <w:tblStyle w:val="TableGrid"/>
        <w:tblW w:w="0" w:type="auto"/>
        <w:jc w:val="center"/>
        <w:tblBorders>
          <w:top w:val="dashed" w:sz="4" w:space="0" w:color="auto"/>
          <w:left w:val="none" w:sz="0" w:space="0" w:color="auto"/>
          <w:bottom w:val="dashed" w:sz="4" w:space="0" w:color="auto"/>
          <w:right w:val="none" w:sz="0" w:space="0" w:color="auto"/>
        </w:tblBorders>
        <w:tblLook w:val="04A0" w:firstRow="1" w:lastRow="0" w:firstColumn="1" w:lastColumn="0" w:noHBand="0" w:noVBand="1"/>
      </w:tblPr>
      <w:tblGrid>
        <w:gridCol w:w="2970"/>
      </w:tblGrid>
      <w:tr w:rsidR="0086522A" w14:paraId="6EE242CF" w14:textId="77777777" w:rsidTr="00140558">
        <w:trPr>
          <w:jc w:val="center"/>
        </w:trPr>
        <w:tc>
          <w:tcPr>
            <w:tcW w:w="2970" w:type="dxa"/>
          </w:tcPr>
          <w:p w14:paraId="3585F3AF" w14:textId="735078A2" w:rsidR="0086522A" w:rsidRDefault="0086522A" w:rsidP="00140558">
            <w:pPr>
              <w:spacing w:line="480" w:lineRule="auto"/>
              <w:jc w:val="center"/>
            </w:pPr>
            <w:r>
              <w:t xml:space="preserve">Insert Figure </w:t>
            </w:r>
            <w:r w:rsidR="006C4DC7">
              <w:t xml:space="preserve">4 </w:t>
            </w:r>
            <w:r>
              <w:t>about here</w:t>
            </w:r>
          </w:p>
        </w:tc>
      </w:tr>
    </w:tbl>
    <w:p w14:paraId="7929EEEA" w14:textId="77777777" w:rsidR="0086522A" w:rsidRDefault="0086522A" w:rsidP="00140558">
      <w:pPr>
        <w:spacing w:line="480" w:lineRule="auto"/>
      </w:pPr>
    </w:p>
    <w:p w14:paraId="45B5FFBF" w14:textId="67A03B74" w:rsidR="0086522A" w:rsidRDefault="0086522A" w:rsidP="00140558">
      <w:pPr>
        <w:spacing w:line="480" w:lineRule="auto"/>
        <w:ind w:firstLine="720"/>
      </w:pPr>
      <w:r>
        <w:rPr>
          <w:b/>
          <w:bCs/>
          <w:i/>
          <w:iCs/>
        </w:rPr>
        <w:t xml:space="preserve">Support for legislation. </w:t>
      </w:r>
      <w:r>
        <w:t xml:space="preserve">We next examined how endorsing each category of explanations predicted </w:t>
      </w:r>
      <w:r w:rsidR="006D4D14">
        <w:t xml:space="preserve">attitudinal </w:t>
      </w:r>
      <w:r>
        <w:t>support (or opposition) to the salary history ban legislation. Because multicollinearity issues resulted in the expulsion of one predictor from the analysis, we entered predictors individually, in separate analyses. First examining explanations for the gender pay gap in the general population, choice explanations negatively predicted support (</w:t>
      </w:r>
      <w:r>
        <w:rPr>
          <w:i/>
          <w:iCs/>
        </w:rPr>
        <w:t xml:space="preserve">B </w:t>
      </w:r>
      <w:r>
        <w:t xml:space="preserve">= -0.02, </w:t>
      </w:r>
      <w:r>
        <w:rPr>
          <w:i/>
          <w:iCs/>
        </w:rPr>
        <w:t xml:space="preserve">β </w:t>
      </w:r>
      <w:r>
        <w:t xml:space="preserve">= -.33, </w:t>
      </w:r>
      <w:r>
        <w:rPr>
          <w:i/>
          <w:iCs/>
        </w:rPr>
        <w:t xml:space="preserve">t </w:t>
      </w:r>
      <w:r>
        <w:t xml:space="preserve">(447) = -7.35, </w:t>
      </w:r>
      <w:r>
        <w:rPr>
          <w:i/>
          <w:iCs/>
        </w:rPr>
        <w:t xml:space="preserve">p </w:t>
      </w:r>
      <w:r>
        <w:t>&lt; .001), fairness explanations positively predicted support (</w:t>
      </w:r>
      <w:r>
        <w:rPr>
          <w:i/>
          <w:iCs/>
        </w:rPr>
        <w:t xml:space="preserve">B </w:t>
      </w:r>
      <w:r>
        <w:t xml:space="preserve">= 0.02, </w:t>
      </w:r>
      <w:r>
        <w:rPr>
          <w:i/>
          <w:iCs/>
        </w:rPr>
        <w:t xml:space="preserve">β </w:t>
      </w:r>
      <w:r>
        <w:t xml:space="preserve">= .30, </w:t>
      </w:r>
      <w:r>
        <w:rPr>
          <w:i/>
          <w:iCs/>
        </w:rPr>
        <w:t xml:space="preserve">t </w:t>
      </w:r>
      <w:r>
        <w:t xml:space="preserve">(447) = 6.53, </w:t>
      </w:r>
      <w:r>
        <w:rPr>
          <w:i/>
          <w:iCs/>
        </w:rPr>
        <w:t xml:space="preserve">p </w:t>
      </w:r>
      <w:r>
        <w:t>&lt; .001), and negotiation explanations did not predict support (</w:t>
      </w:r>
      <w:r>
        <w:rPr>
          <w:i/>
          <w:iCs/>
        </w:rPr>
        <w:t xml:space="preserve">B </w:t>
      </w:r>
      <w:r>
        <w:t xml:space="preserve">= -0.01, </w:t>
      </w:r>
      <w:r>
        <w:rPr>
          <w:i/>
          <w:iCs/>
        </w:rPr>
        <w:t xml:space="preserve">β </w:t>
      </w:r>
      <w:r>
        <w:t xml:space="preserve">= -.07, </w:t>
      </w:r>
      <w:r>
        <w:rPr>
          <w:i/>
          <w:iCs/>
        </w:rPr>
        <w:t xml:space="preserve">t </w:t>
      </w:r>
      <w:r>
        <w:t xml:space="preserve">(447) = -1.51, </w:t>
      </w:r>
      <w:r>
        <w:rPr>
          <w:i/>
          <w:iCs/>
        </w:rPr>
        <w:t xml:space="preserve">p </w:t>
      </w:r>
      <w:r>
        <w:t>= .13)</w:t>
      </w:r>
      <w:r w:rsidRPr="00337373">
        <w:t xml:space="preserve"> </w:t>
      </w:r>
      <w:r>
        <w:t>for the legislation. Next examining explanations for the gender pay gap among the elite sample of MBA-holders, choice explanations (</w:t>
      </w:r>
      <w:r>
        <w:rPr>
          <w:i/>
          <w:iCs/>
        </w:rPr>
        <w:t xml:space="preserve">B </w:t>
      </w:r>
      <w:r>
        <w:t xml:space="preserve">= -0.02, </w:t>
      </w:r>
      <w:r>
        <w:rPr>
          <w:i/>
          <w:iCs/>
        </w:rPr>
        <w:t xml:space="preserve">β </w:t>
      </w:r>
      <w:r>
        <w:t xml:space="preserve">= -.31, </w:t>
      </w:r>
      <w:r>
        <w:rPr>
          <w:i/>
          <w:iCs/>
        </w:rPr>
        <w:t xml:space="preserve">t </w:t>
      </w:r>
      <w:r>
        <w:t xml:space="preserve">(447) = -6.86, </w:t>
      </w:r>
      <w:r>
        <w:rPr>
          <w:i/>
          <w:iCs/>
        </w:rPr>
        <w:t xml:space="preserve">p </w:t>
      </w:r>
      <w:r>
        <w:t>&lt; .001) and negotiation explanations (</w:t>
      </w:r>
      <w:r>
        <w:rPr>
          <w:i/>
          <w:iCs/>
        </w:rPr>
        <w:t xml:space="preserve">B </w:t>
      </w:r>
      <w:r>
        <w:t xml:space="preserve">= -0.01, </w:t>
      </w:r>
      <w:r>
        <w:rPr>
          <w:i/>
          <w:iCs/>
        </w:rPr>
        <w:t xml:space="preserve">β </w:t>
      </w:r>
      <w:r>
        <w:t xml:space="preserve">= -.14, </w:t>
      </w:r>
      <w:r>
        <w:rPr>
          <w:i/>
          <w:iCs/>
        </w:rPr>
        <w:t xml:space="preserve">t </w:t>
      </w:r>
      <w:r>
        <w:t xml:space="preserve">(447) = -3.05, </w:t>
      </w:r>
      <w:r>
        <w:rPr>
          <w:i/>
          <w:iCs/>
        </w:rPr>
        <w:t xml:space="preserve">p </w:t>
      </w:r>
      <w:r>
        <w:t>= .002) negatively predicted support, and fairness explanations positively predicted support (</w:t>
      </w:r>
      <w:r>
        <w:rPr>
          <w:i/>
          <w:iCs/>
        </w:rPr>
        <w:t xml:space="preserve">B </w:t>
      </w:r>
      <w:r>
        <w:t xml:space="preserve">= 0.02, </w:t>
      </w:r>
      <w:r>
        <w:rPr>
          <w:i/>
          <w:iCs/>
        </w:rPr>
        <w:t xml:space="preserve">β </w:t>
      </w:r>
      <w:r>
        <w:t xml:space="preserve">= .31, </w:t>
      </w:r>
      <w:r>
        <w:rPr>
          <w:i/>
          <w:iCs/>
        </w:rPr>
        <w:t xml:space="preserve">t </w:t>
      </w:r>
      <w:r>
        <w:t xml:space="preserve">(447) = 6.89, </w:t>
      </w:r>
      <w:r>
        <w:rPr>
          <w:i/>
          <w:iCs/>
        </w:rPr>
        <w:t xml:space="preserve">p </w:t>
      </w:r>
      <w:r>
        <w:t>&lt; .001) for the legislation.</w:t>
      </w:r>
    </w:p>
    <w:p w14:paraId="72210DC3" w14:textId="77777777" w:rsidR="0086522A" w:rsidRDefault="0086522A" w:rsidP="00140558">
      <w:pPr>
        <w:spacing w:line="480" w:lineRule="auto"/>
        <w:ind w:firstLine="720"/>
      </w:pPr>
      <w:r>
        <w:rPr>
          <w:b/>
          <w:bCs/>
          <w:i/>
          <w:iCs/>
        </w:rPr>
        <w:t xml:space="preserve">Gender-specific system justification. </w:t>
      </w:r>
      <w:r>
        <w:t>We then examined gender-specific system justification using the same approach as above. Using predictors for the pay gap in the general population, choice (</w:t>
      </w:r>
      <w:r>
        <w:rPr>
          <w:i/>
          <w:iCs/>
        </w:rPr>
        <w:t xml:space="preserve">B </w:t>
      </w:r>
      <w:r>
        <w:t xml:space="preserve">= 0.03, </w:t>
      </w:r>
      <w:r>
        <w:rPr>
          <w:i/>
          <w:iCs/>
        </w:rPr>
        <w:t xml:space="preserve">β </w:t>
      </w:r>
      <w:r>
        <w:t xml:space="preserve">= .56, </w:t>
      </w:r>
      <w:r>
        <w:rPr>
          <w:i/>
          <w:iCs/>
        </w:rPr>
        <w:t xml:space="preserve">t </w:t>
      </w:r>
      <w:r>
        <w:t xml:space="preserve">(447) = 14.22, </w:t>
      </w:r>
      <w:r>
        <w:rPr>
          <w:i/>
          <w:iCs/>
        </w:rPr>
        <w:t xml:space="preserve">p </w:t>
      </w:r>
      <w:r>
        <w:t>&lt; .001) and negotiation (</w:t>
      </w:r>
      <w:r>
        <w:rPr>
          <w:i/>
          <w:iCs/>
        </w:rPr>
        <w:t xml:space="preserve">B </w:t>
      </w:r>
      <w:r>
        <w:t xml:space="preserve">= 0.02, </w:t>
      </w:r>
      <w:r>
        <w:rPr>
          <w:i/>
          <w:iCs/>
        </w:rPr>
        <w:t xml:space="preserve">β </w:t>
      </w:r>
      <w:r>
        <w:t xml:space="preserve">= .29, </w:t>
      </w:r>
      <w:r>
        <w:rPr>
          <w:i/>
          <w:iCs/>
        </w:rPr>
        <w:t xml:space="preserve">t </w:t>
      </w:r>
      <w:r>
        <w:t xml:space="preserve">(447) = 6.49, </w:t>
      </w:r>
      <w:r>
        <w:rPr>
          <w:i/>
          <w:iCs/>
        </w:rPr>
        <w:t xml:space="preserve">p </w:t>
      </w:r>
      <w:r>
        <w:t>&lt; .001) explanations positively predicted system justification, whereas fairness (</w:t>
      </w:r>
      <w:r>
        <w:rPr>
          <w:i/>
          <w:iCs/>
        </w:rPr>
        <w:t xml:space="preserve">B </w:t>
      </w:r>
      <w:r>
        <w:t xml:space="preserve">= -0.03, </w:t>
      </w:r>
      <w:r>
        <w:rPr>
          <w:i/>
          <w:iCs/>
        </w:rPr>
        <w:t xml:space="preserve">β </w:t>
      </w:r>
      <w:r>
        <w:t xml:space="preserve">= -.61, </w:t>
      </w:r>
      <w:r>
        <w:rPr>
          <w:i/>
          <w:iCs/>
        </w:rPr>
        <w:t xml:space="preserve">t </w:t>
      </w:r>
      <w:r>
        <w:t xml:space="preserve">(447) = -16.45, </w:t>
      </w:r>
      <w:r>
        <w:rPr>
          <w:i/>
          <w:iCs/>
        </w:rPr>
        <w:t xml:space="preserve">p </w:t>
      </w:r>
      <w:r>
        <w:t>&lt; .001) explanations negatively predicted system justification. Using predictors for the pay gap in the MBA population, nearly identical results emerged. Choice (</w:t>
      </w:r>
      <w:r>
        <w:rPr>
          <w:i/>
          <w:iCs/>
        </w:rPr>
        <w:t xml:space="preserve">B </w:t>
      </w:r>
      <w:r>
        <w:t xml:space="preserve">= 0.03, </w:t>
      </w:r>
      <w:r>
        <w:rPr>
          <w:i/>
          <w:iCs/>
        </w:rPr>
        <w:t xml:space="preserve">β </w:t>
      </w:r>
      <w:r>
        <w:t xml:space="preserve">= .52, </w:t>
      </w:r>
      <w:r>
        <w:rPr>
          <w:i/>
          <w:iCs/>
        </w:rPr>
        <w:t xml:space="preserve">t </w:t>
      </w:r>
      <w:r>
        <w:t xml:space="preserve">(447) = 12.92, </w:t>
      </w:r>
      <w:r>
        <w:rPr>
          <w:i/>
          <w:iCs/>
        </w:rPr>
        <w:t xml:space="preserve">p </w:t>
      </w:r>
      <w:r>
        <w:t>&lt; .001) and negotiation (</w:t>
      </w:r>
      <w:r>
        <w:rPr>
          <w:i/>
          <w:iCs/>
        </w:rPr>
        <w:t xml:space="preserve">B </w:t>
      </w:r>
      <w:r>
        <w:t xml:space="preserve">= 0.03, </w:t>
      </w:r>
      <w:r>
        <w:rPr>
          <w:i/>
          <w:iCs/>
        </w:rPr>
        <w:t xml:space="preserve">β </w:t>
      </w:r>
      <w:r>
        <w:t xml:space="preserve">= .36, </w:t>
      </w:r>
      <w:r>
        <w:rPr>
          <w:i/>
          <w:iCs/>
        </w:rPr>
        <w:t xml:space="preserve">t </w:t>
      </w:r>
      <w:r>
        <w:t xml:space="preserve">(447) = 8.03, </w:t>
      </w:r>
      <w:r>
        <w:rPr>
          <w:i/>
          <w:iCs/>
        </w:rPr>
        <w:t xml:space="preserve">p </w:t>
      </w:r>
      <w:r>
        <w:t>&lt; .001) explanations positively predicted system justification, whereas fairness (</w:t>
      </w:r>
      <w:r>
        <w:rPr>
          <w:i/>
          <w:iCs/>
        </w:rPr>
        <w:t xml:space="preserve">B </w:t>
      </w:r>
      <w:r>
        <w:t xml:space="preserve">= -0.03, </w:t>
      </w:r>
      <w:r>
        <w:rPr>
          <w:i/>
          <w:iCs/>
        </w:rPr>
        <w:t xml:space="preserve">β </w:t>
      </w:r>
      <w:r>
        <w:t xml:space="preserve">= -.59, </w:t>
      </w:r>
      <w:r>
        <w:rPr>
          <w:i/>
          <w:iCs/>
        </w:rPr>
        <w:t xml:space="preserve">t </w:t>
      </w:r>
      <w:r>
        <w:t xml:space="preserve">(447) = -15.57, </w:t>
      </w:r>
      <w:r>
        <w:rPr>
          <w:i/>
          <w:iCs/>
        </w:rPr>
        <w:t xml:space="preserve">p </w:t>
      </w:r>
      <w:r>
        <w:t>&lt; .001) explanations negatively predicted system justification.</w:t>
      </w:r>
    </w:p>
    <w:p w14:paraId="7919E7B3" w14:textId="292FE09D" w:rsidR="0086522A" w:rsidRDefault="0086522A" w:rsidP="00140558">
      <w:pPr>
        <w:spacing w:line="480" w:lineRule="auto"/>
        <w:ind w:firstLine="720"/>
      </w:pPr>
      <w:r w:rsidRPr="00C33CAD">
        <w:rPr>
          <w:b/>
          <w:bCs/>
          <w:i/>
          <w:iCs/>
        </w:rPr>
        <w:lastRenderedPageBreak/>
        <w:t>Mediation</w:t>
      </w:r>
      <w:r>
        <w:rPr>
          <w:b/>
          <w:bCs/>
          <w:i/>
          <w:iCs/>
        </w:rPr>
        <w:t xml:space="preserve">. </w:t>
      </w:r>
      <w:r>
        <w:t>We also explored whether gender-specific system justification could mediate the relation between negotiation-based explanations for the gender pay gap and support for the legislation. The analysis involved a bootstrapping analysis of mediation with Model 4 of PROCESS (Hayes, 201</w:t>
      </w:r>
      <w:r w:rsidR="001710B3">
        <w:t>3</w:t>
      </w:r>
      <w:r>
        <w:t xml:space="preserve">) and 10,000 samples. For both the general (95% CI: -0.005, -0.013) and elite (95% CI: -0.007, -0.015) population gender pay gaps, system justification mediated the relationship between negotiation-based explanations and lower support for the legislation. </w:t>
      </w:r>
    </w:p>
    <w:p w14:paraId="71DAB396" w14:textId="7E6073BE" w:rsidR="0086522A" w:rsidRPr="00260104" w:rsidRDefault="0086522A" w:rsidP="00140558">
      <w:pPr>
        <w:spacing w:after="160" w:line="480" w:lineRule="auto"/>
        <w:ind w:firstLine="720"/>
      </w:pPr>
      <w:r>
        <w:rPr>
          <w:b/>
          <w:bCs/>
          <w:i/>
          <w:iCs/>
        </w:rPr>
        <w:t xml:space="preserve">Gender differences. </w:t>
      </w:r>
      <w:r>
        <w:t>Finally, we tested for gender differences along each variable.</w:t>
      </w:r>
      <w:r w:rsidR="004A5C78">
        <w:t xml:space="preserve"> </w:t>
      </w:r>
      <w:r>
        <w:t>Relative to men, women perceived a greater percentage of the pay gap in both the general and elite populations to be explained by fairness-related issues. Men, relative to women, perceived choice-related issues to explain a larger percentage of the gender pay gap in both populations. No gender differences emerged for the perception of negotiation-related explanations. Women and men equally believed that</w:t>
      </w:r>
      <w:r w:rsidR="00432644">
        <w:t xml:space="preserve">, </w:t>
      </w:r>
      <w:r w:rsidR="00DE6165">
        <w:t xml:space="preserve">even </w:t>
      </w:r>
      <w:r>
        <w:t xml:space="preserve">among </w:t>
      </w:r>
      <w:r w:rsidR="00432644">
        <w:t xml:space="preserve">an elite population of </w:t>
      </w:r>
      <w:r>
        <w:t>people who hold MBA degrees</w:t>
      </w:r>
      <w:r w:rsidR="00432644">
        <w:t xml:space="preserve">, women exhibit a lower </w:t>
      </w:r>
      <w:r w:rsidR="004A791B">
        <w:t>negotiation propensity</w:t>
      </w:r>
      <w:r w:rsidR="00432644">
        <w:t xml:space="preserve"> than men</w:t>
      </w:r>
      <w:r>
        <w:t xml:space="preserve">. Finally, women supported the salary history ban legislation more than men did and showed less evidence of gender-specific system justification, a pattern that mediated the relation between gender and legislation support (95% CI: 0.282, 0.588). </w:t>
      </w:r>
      <w:r w:rsidR="00A67A9A">
        <w:t>Table 1 in the Supplemental Online Materials summarizes the results.</w:t>
      </w:r>
    </w:p>
    <w:p w14:paraId="47B17D6F" w14:textId="77777777" w:rsidR="0086522A" w:rsidRPr="00AE5545" w:rsidRDefault="0086522A" w:rsidP="00140558">
      <w:pPr>
        <w:keepNext/>
        <w:spacing w:line="480" w:lineRule="auto"/>
        <w:rPr>
          <w:b/>
        </w:rPr>
      </w:pPr>
      <w:r w:rsidRPr="00AE5545">
        <w:rPr>
          <w:b/>
        </w:rPr>
        <w:t>Discussion</w:t>
      </w:r>
    </w:p>
    <w:p w14:paraId="659A9FF1" w14:textId="38FD22E5" w:rsidR="00580E32" w:rsidRDefault="00831FE8" w:rsidP="00140558">
      <w:pPr>
        <w:spacing w:line="480" w:lineRule="auto"/>
        <w:ind w:firstLine="720"/>
        <w:rPr>
          <w:lang w:eastAsia="ko-KR"/>
        </w:rPr>
      </w:pPr>
      <w:r>
        <w:t>Over and above</w:t>
      </w:r>
      <w:r w:rsidR="009202C5">
        <w:t xml:space="preserve"> </w:t>
      </w:r>
      <w:r w:rsidR="00DE6165">
        <w:t xml:space="preserve">known </w:t>
      </w:r>
      <w:r w:rsidR="009202C5">
        <w:t xml:space="preserve">choice-based and fairness-based explanations for the gender pay gap, </w:t>
      </w:r>
      <w:r w:rsidR="0086522A">
        <w:t xml:space="preserve">men and women expected </w:t>
      </w:r>
      <w:r w:rsidR="0086522A" w:rsidRPr="001C611E">
        <w:t xml:space="preserve">negotiation propensity </w:t>
      </w:r>
      <w:r w:rsidR="0086522A" w:rsidRPr="006016CE">
        <w:t xml:space="preserve">to </w:t>
      </w:r>
      <w:r w:rsidRPr="00176BD1">
        <w:t>be a significant contributor to the gender pay gap</w:t>
      </w:r>
      <w:r w:rsidR="0086522A" w:rsidRPr="001C611E">
        <w:t xml:space="preserve">. </w:t>
      </w:r>
      <w:r w:rsidRPr="006016CE">
        <w:t>While only a minority</w:t>
      </w:r>
      <w:r>
        <w:t xml:space="preserve"> of participants spontaneously attributed the gender pay gap to </w:t>
      </w:r>
      <w:r w:rsidR="004A791B">
        <w:t>negotiation propensity</w:t>
      </w:r>
      <w:r>
        <w:t xml:space="preserve">, when they were asked to judge its comparative contribution to the pay gap relative to several popular choice and fairness explanations, </w:t>
      </w:r>
      <w:r w:rsidR="004A791B">
        <w:t>negotiation propensity</w:t>
      </w:r>
      <w:r>
        <w:t xml:space="preserve"> emerged as more important than choice explanations but less important than fairness </w:t>
      </w:r>
      <w:r>
        <w:lastRenderedPageBreak/>
        <w:t xml:space="preserve">explanations. </w:t>
      </w:r>
      <w:r>
        <w:rPr>
          <w:lang w:eastAsia="ko-KR"/>
        </w:rPr>
        <w:t>We also note that the</w:t>
      </w:r>
      <w:r w:rsidR="0086522A" w:rsidRPr="00AE5545">
        <w:rPr>
          <w:lang w:eastAsia="ko-KR"/>
        </w:rPr>
        <w:t xml:space="preserve"> gender differences in support for choice and unfairness explanations were in the expected directions—with men more strongly endorsing choice explanations than women, and</w:t>
      </w:r>
      <w:r w:rsidR="0086522A">
        <w:rPr>
          <w:lang w:eastAsia="ko-KR"/>
        </w:rPr>
        <w:t xml:space="preserve"> women more strongly endorsing unfairness explanations than men—</w:t>
      </w:r>
      <w:r>
        <w:rPr>
          <w:lang w:eastAsia="ko-KR"/>
        </w:rPr>
        <w:t xml:space="preserve">yet </w:t>
      </w:r>
      <w:r w:rsidR="0086522A">
        <w:rPr>
          <w:lang w:eastAsia="ko-KR"/>
        </w:rPr>
        <w:t xml:space="preserve">the fact that both men and women similarly endorse the negotiation explanation </w:t>
      </w:r>
      <w:r w:rsidR="009202C5">
        <w:rPr>
          <w:lang w:eastAsia="ko-KR"/>
        </w:rPr>
        <w:t>suggests</w:t>
      </w:r>
      <w:r w:rsidR="0086522A">
        <w:rPr>
          <w:lang w:eastAsia="ko-KR"/>
        </w:rPr>
        <w:t xml:space="preserve"> that </w:t>
      </w:r>
      <w:r>
        <w:rPr>
          <w:lang w:eastAsia="ko-KR"/>
        </w:rPr>
        <w:t>this line of reasoning</w:t>
      </w:r>
      <w:r w:rsidR="0086522A">
        <w:rPr>
          <w:lang w:eastAsia="ko-KR"/>
        </w:rPr>
        <w:t xml:space="preserve"> </w:t>
      </w:r>
      <w:r w:rsidR="009202C5">
        <w:rPr>
          <w:lang w:eastAsia="ko-KR"/>
        </w:rPr>
        <w:t>may be</w:t>
      </w:r>
      <w:r w:rsidR="0086522A">
        <w:rPr>
          <w:lang w:eastAsia="ko-KR"/>
        </w:rPr>
        <w:t xml:space="preserve"> system justifying. In addition to being positively correlated with a measure of gender-specific system justification, endorsement of the negotiating explanations is also consistent with false consciousness given its acceptance by women</w:t>
      </w:r>
      <w:r w:rsidR="00DE6165">
        <w:rPr>
          <w:lang w:eastAsia="ko-KR"/>
        </w:rPr>
        <w:t xml:space="preserve"> as much as men</w:t>
      </w:r>
      <w:r w:rsidR="0086522A">
        <w:rPr>
          <w:lang w:eastAsia="ko-KR"/>
        </w:rPr>
        <w:t xml:space="preserve">. This is an important discovery that runs counter to trends for higher status people to endorse choice explanations for inequality whereas lower status people endorse fairness explanations (Connor &amp; Fiske, 2019; Kluegel &amp; Smith, 1986). </w:t>
      </w:r>
    </w:p>
    <w:p w14:paraId="7F25DA5F" w14:textId="3BDDEE70" w:rsidR="0086522A" w:rsidRDefault="0086522A" w:rsidP="00140558">
      <w:pPr>
        <w:spacing w:line="480" w:lineRule="auto"/>
        <w:ind w:firstLine="720"/>
      </w:pPr>
      <w:r>
        <w:rPr>
          <w:lang w:eastAsia="ko-KR"/>
        </w:rPr>
        <w:t xml:space="preserve">Furthermore, we found that endorsement of the negotiating explanations was associated with </w:t>
      </w:r>
      <w:r w:rsidRPr="00EB0E59">
        <w:rPr>
          <w:i/>
          <w:lang w:eastAsia="ko-KR"/>
        </w:rPr>
        <w:t>less</w:t>
      </w:r>
      <w:r>
        <w:rPr>
          <w:lang w:eastAsia="ko-KR"/>
        </w:rPr>
        <w:t xml:space="preserve"> support for legislative interventions meant to help women when considering the elite population of MBAs. </w:t>
      </w:r>
      <w:r w:rsidR="00853AAB">
        <w:rPr>
          <w:lang w:eastAsia="ko-KR"/>
        </w:rPr>
        <w:t>While the response scale was Likert, not behavioral, the measure of intentions to support the policy likely captures naturally occurring variation in degree of support, opposition, and apathy. Still, future research could replicate the results with a behavioral measure to validate the results. Overall, t</w:t>
      </w:r>
      <w:r>
        <w:rPr>
          <w:lang w:eastAsia="ko-KR"/>
        </w:rPr>
        <w:t xml:space="preserve">hese findings </w:t>
      </w:r>
      <w:r w:rsidR="00DE6165">
        <w:rPr>
          <w:lang w:eastAsia="ko-KR"/>
        </w:rPr>
        <w:t>are suggestive of a</w:t>
      </w:r>
      <w:r>
        <w:rPr>
          <w:lang w:eastAsia="ko-KR"/>
        </w:rPr>
        <w:t xml:space="preserve"> negative </w:t>
      </w:r>
      <w:r w:rsidR="00EC4BF9">
        <w:rPr>
          <w:lang w:eastAsia="ko-KR"/>
        </w:rPr>
        <w:t>relation between</w:t>
      </w:r>
      <w:r>
        <w:rPr>
          <w:lang w:eastAsia="ko-KR"/>
        </w:rPr>
        <w:t xml:space="preserve"> endorsement of the </w:t>
      </w:r>
      <w:r w:rsidR="00DE6165">
        <w:rPr>
          <w:lang w:eastAsia="ko-KR"/>
        </w:rPr>
        <w:t xml:space="preserve">belief </w:t>
      </w:r>
      <w:r>
        <w:rPr>
          <w:lang w:eastAsia="ko-KR"/>
        </w:rPr>
        <w:t xml:space="preserve">that </w:t>
      </w:r>
      <w:r w:rsidR="00DE6165">
        <w:rPr>
          <w:lang w:eastAsia="ko-KR"/>
        </w:rPr>
        <w:t>“</w:t>
      </w:r>
      <w:r>
        <w:rPr>
          <w:lang w:eastAsia="ko-KR"/>
        </w:rPr>
        <w:t xml:space="preserve">women </w:t>
      </w:r>
      <w:r w:rsidR="00DE6165">
        <w:rPr>
          <w:lang w:eastAsia="ko-KR"/>
        </w:rPr>
        <w:t>don’t ask”</w:t>
      </w:r>
      <w:r>
        <w:rPr>
          <w:lang w:eastAsia="ko-KR"/>
        </w:rPr>
        <w:t xml:space="preserve"> </w:t>
      </w:r>
      <w:r w:rsidR="00EC4BF9">
        <w:rPr>
          <w:lang w:eastAsia="ko-KR"/>
        </w:rPr>
        <w:t>and support for</w:t>
      </w:r>
      <w:r>
        <w:rPr>
          <w:lang w:eastAsia="ko-KR"/>
        </w:rPr>
        <w:t xml:space="preserve"> </w:t>
      </w:r>
      <w:r w:rsidR="00EC4BF9">
        <w:rPr>
          <w:lang w:eastAsia="ko-KR"/>
        </w:rPr>
        <w:t xml:space="preserve">a </w:t>
      </w:r>
      <w:r>
        <w:rPr>
          <w:lang w:eastAsia="ko-KR"/>
        </w:rPr>
        <w:t>policy designed to reduce the gender pay gap.</w:t>
      </w:r>
      <w:r w:rsidRPr="00FC03FA">
        <w:t xml:space="preserve"> </w:t>
      </w:r>
      <w:r>
        <w:t xml:space="preserve">Though such a law would implement a relatively small change in hiring processes – the exclusion of one question – the consequences can be substantial. </w:t>
      </w:r>
    </w:p>
    <w:p w14:paraId="6A37608D" w14:textId="497BBA8F" w:rsidR="0086522A" w:rsidRDefault="0086522A" w:rsidP="00140558">
      <w:pPr>
        <w:spacing w:line="480" w:lineRule="auto"/>
        <w:ind w:firstLine="720"/>
      </w:pPr>
      <w:r>
        <w:t xml:space="preserve">Why endorsing negotiating explanations for the gender pay gap among the MBA population corresponded with </w:t>
      </w:r>
      <w:r w:rsidR="009202C5">
        <w:t>de</w:t>
      </w:r>
      <w:r>
        <w:t>creased support for salary history bans, yet in the general population</w:t>
      </w:r>
      <w:r w:rsidR="00BF3D1F">
        <w:t xml:space="preserve"> </w:t>
      </w:r>
      <w:r>
        <w:t xml:space="preserve">it </w:t>
      </w:r>
      <w:r w:rsidR="00BF3D1F">
        <w:t>was unrelated to</w:t>
      </w:r>
      <w:r>
        <w:t xml:space="preserve"> support for salary history bans remains an outstanding question. Endorsing negotiating explanations had a significant, negative indirect effect on salary history </w:t>
      </w:r>
      <w:r>
        <w:lastRenderedPageBreak/>
        <w:t xml:space="preserve">ban support through gender-specific system justification for both populations, but no direct effect for the general population. This </w:t>
      </w:r>
      <w:r w:rsidR="00BF3B47">
        <w:t xml:space="preserve">pattern </w:t>
      </w:r>
      <w:r>
        <w:t xml:space="preserve">suggests that believing women in the general population are less likely to negotiate than men </w:t>
      </w:r>
      <w:proofErr w:type="gramStart"/>
      <w:r>
        <w:t>exerts</w:t>
      </w:r>
      <w:proofErr w:type="gramEnd"/>
      <w:r>
        <w:t xml:space="preserve"> a </w:t>
      </w:r>
      <w:r w:rsidR="009202C5">
        <w:t>nega</w:t>
      </w:r>
      <w:r>
        <w:t xml:space="preserve">tive effect on salary history ban support via some other </w:t>
      </w:r>
      <w:r w:rsidR="00DE6165">
        <w:t xml:space="preserve">mechanism </w:t>
      </w:r>
      <w:r>
        <w:t>that is yet to be discovered. It is possible that people believe that not every</w:t>
      </w:r>
      <w:r w:rsidR="00DE6165">
        <w:t>one</w:t>
      </w:r>
      <w:r>
        <w:t xml:space="preserve"> has the bargaining power or education required to negotiate</w:t>
      </w:r>
      <w:r w:rsidR="009202C5">
        <w:t>, or that negotiating is simply less important in determining pay in jobs at the lower ends of the income distribution</w:t>
      </w:r>
      <w:r>
        <w:t>.</w:t>
      </w:r>
    </w:p>
    <w:p w14:paraId="697FECBE" w14:textId="77777777" w:rsidR="0086522A" w:rsidRPr="00D9571F" w:rsidRDefault="0086522A" w:rsidP="00140558">
      <w:pPr>
        <w:pStyle w:val="Heading1"/>
      </w:pPr>
      <w:r>
        <w:t>STUDY</w:t>
      </w:r>
      <w:r w:rsidRPr="00D9571F">
        <w:t xml:space="preserve"> </w:t>
      </w:r>
      <w:r>
        <w:t>4</w:t>
      </w:r>
    </w:p>
    <w:p w14:paraId="6BAA27F6" w14:textId="62E138D2" w:rsidR="0086522A" w:rsidRPr="00D9571F" w:rsidRDefault="0086522A" w:rsidP="00140558">
      <w:pPr>
        <w:spacing w:line="480" w:lineRule="auto"/>
      </w:pPr>
      <w:r w:rsidRPr="00D9571F">
        <w:tab/>
      </w:r>
      <w:r>
        <w:t>The previous study</w:t>
      </w:r>
      <w:r w:rsidRPr="00D9571F">
        <w:t xml:space="preserve"> </w:t>
      </w:r>
      <w:r>
        <w:t>offered correlational evidence linking</w:t>
      </w:r>
      <w:r w:rsidRPr="00D9571F">
        <w:t xml:space="preserve"> </w:t>
      </w:r>
      <w:r>
        <w:t>notions of</w:t>
      </w:r>
      <w:r w:rsidRPr="00D9571F">
        <w:t xml:space="preserve"> </w:t>
      </w:r>
      <w:r w:rsidR="00BF3B47">
        <w:t xml:space="preserve">a gender gap in </w:t>
      </w:r>
      <w:r w:rsidR="004A791B">
        <w:t>negotiation propensity</w:t>
      </w:r>
      <w:r w:rsidR="00BF3B47">
        <w:t xml:space="preserve"> </w:t>
      </w:r>
      <w:r>
        <w:t>with system justification</w:t>
      </w:r>
      <w:r w:rsidRPr="00D9571F">
        <w:t xml:space="preserve">. In the final study, we </w:t>
      </w:r>
      <w:r>
        <w:t>extend knowledge by</w:t>
      </w:r>
      <w:r w:rsidR="00691B00">
        <w:t xml:space="preserve"> asking how</w:t>
      </w:r>
      <w:r>
        <w:t xml:space="preserve"> a popular, real-world message </w:t>
      </w:r>
      <w:r w:rsidR="00691B00">
        <w:t xml:space="preserve">might </w:t>
      </w:r>
      <w:r>
        <w:t xml:space="preserve">influence support for </w:t>
      </w:r>
      <w:r w:rsidR="00BF3B47">
        <w:t xml:space="preserve">both </w:t>
      </w:r>
      <w:r>
        <w:t>negotiati</w:t>
      </w:r>
      <w:r w:rsidR="00BF3B47">
        <w:t>on-based and choice-based</w:t>
      </w:r>
      <w:r>
        <w:t xml:space="preserve"> explanation</w:t>
      </w:r>
      <w:r w:rsidR="00BF3B47">
        <w:t>s</w:t>
      </w:r>
      <w:r>
        <w:t xml:space="preserve"> for the gender gap, </w:t>
      </w:r>
      <w:r w:rsidR="00BF3B47">
        <w:t>both of which were negatively correlated with fairness-based explanations in the previous study</w:t>
      </w:r>
      <w:r>
        <w:t>. W</w:t>
      </w:r>
      <w:r w:rsidRPr="00D9571F">
        <w:t xml:space="preserve">e compared exposure to the </w:t>
      </w:r>
      <w:r>
        <w:t xml:space="preserve">“women don’t ask” </w:t>
      </w:r>
      <w:r w:rsidRPr="00D9571F">
        <w:t>message with a</w:t>
      </w:r>
      <w:r>
        <w:t>n alternative, control</w:t>
      </w:r>
      <w:r w:rsidRPr="00D9571F">
        <w:t xml:space="preserve"> message that </w:t>
      </w:r>
      <w:r>
        <w:t xml:space="preserve">similarly </w:t>
      </w:r>
      <w:r w:rsidRPr="00D9571F">
        <w:t>highlights the importance of negotiating</w:t>
      </w:r>
      <w:r>
        <w:t>, but</w:t>
      </w:r>
      <w:r w:rsidRPr="00D9571F">
        <w:t xml:space="preserve"> without mentioning gender</w:t>
      </w:r>
      <w:r>
        <w:t xml:space="preserve"> differences</w:t>
      </w:r>
      <w:r w:rsidRPr="00D9571F">
        <w:t xml:space="preserve">. Recent research has found that ‘gender blind’ approaches that downplay gender differences increase women’s confidence in male-dominated environments relative to approaches that embrace gender differences </w:t>
      </w:r>
      <w:r>
        <w:rPr>
          <w:noProof/>
        </w:rPr>
        <w:t>(Martin &amp; Phillips, 2019)</w:t>
      </w:r>
      <w:r>
        <w:t xml:space="preserve">. </w:t>
      </w:r>
      <w:r w:rsidR="00691B00">
        <w:t xml:space="preserve">We thought it possible that the </w:t>
      </w:r>
      <w:r w:rsidR="007A1D8B">
        <w:t>“</w:t>
      </w:r>
      <w:r w:rsidR="00691B00">
        <w:t>women don’t ask</w:t>
      </w:r>
      <w:r w:rsidR="007A1D8B">
        <w:t>”</w:t>
      </w:r>
      <w:r w:rsidR="00691B00">
        <w:t xml:space="preserve"> message could affect </w:t>
      </w:r>
      <w:r w:rsidRPr="00DA69BF">
        <w:t xml:space="preserve">system justification </w:t>
      </w:r>
      <w:r>
        <w:t>tendencies</w:t>
      </w:r>
      <w:r w:rsidR="00691B00">
        <w:t xml:space="preserve">, </w:t>
      </w:r>
      <w:r w:rsidR="00D34F90">
        <w:t xml:space="preserve">including promoting </w:t>
      </w:r>
      <w:r w:rsidR="00506550">
        <w:t>outdated belief</w:t>
      </w:r>
      <w:r>
        <w:t>s about</w:t>
      </w:r>
      <w:r w:rsidRPr="00DA69BF">
        <w:t xml:space="preserve"> </w:t>
      </w:r>
      <w:r w:rsidR="004A791B">
        <w:t>negotiation propensity</w:t>
      </w:r>
      <w:r w:rsidRPr="00DA69BF">
        <w:t xml:space="preserve"> and the pay gap, </w:t>
      </w:r>
      <w:r w:rsidR="007A1D8B">
        <w:t xml:space="preserve">and </w:t>
      </w:r>
      <w:r w:rsidR="00A336B2">
        <w:t>other outcomes such as</w:t>
      </w:r>
      <w:r w:rsidR="005F3ED3">
        <w:t xml:space="preserve"> the</w:t>
      </w:r>
      <w:r>
        <w:t xml:space="preserve"> endorsement of</w:t>
      </w:r>
      <w:r w:rsidRPr="00D9571F">
        <w:t xml:space="preserve"> </w:t>
      </w:r>
      <w:r>
        <w:t>gender stereotypes</w:t>
      </w:r>
      <w:r w:rsidRPr="00D9571F">
        <w:t xml:space="preserve">. </w:t>
      </w:r>
      <w:r w:rsidR="000D2C1A">
        <w:t>Study 3</w:t>
      </w:r>
      <w:r w:rsidR="009D2219">
        <w:t xml:space="preserve"> </w:t>
      </w:r>
      <w:r w:rsidR="000D2C1A">
        <w:t xml:space="preserve">measured </w:t>
      </w:r>
      <w:r w:rsidR="00BF3B47">
        <w:t xml:space="preserve">endorsement of </w:t>
      </w:r>
      <w:r w:rsidR="004A791B">
        <w:t>negotiation propensity</w:t>
      </w:r>
      <w:r w:rsidR="000D2C1A">
        <w:t xml:space="preserve"> explanations </w:t>
      </w:r>
      <w:r w:rsidR="00BF3B47">
        <w:t>both in terms of</w:t>
      </w:r>
      <w:r w:rsidR="000D2C1A">
        <w:t xml:space="preserve"> spontaneous mentions</w:t>
      </w:r>
      <w:r w:rsidR="00BF3B47">
        <w:t xml:space="preserve"> and</w:t>
      </w:r>
      <w:r w:rsidR="00A16E0E">
        <w:t xml:space="preserve"> </w:t>
      </w:r>
      <w:r w:rsidR="000D2C1A">
        <w:t>in a</w:t>
      </w:r>
      <w:r w:rsidR="00A16E0E">
        <w:t xml:space="preserve"> task that forced participants to </w:t>
      </w:r>
      <w:r w:rsidR="00E10581">
        <w:t xml:space="preserve">assign </w:t>
      </w:r>
      <w:r w:rsidR="00BF3B47">
        <w:t xml:space="preserve">relative importance </w:t>
      </w:r>
      <w:r w:rsidR="00E10581">
        <w:t>to</w:t>
      </w:r>
      <w:r w:rsidR="00A16E0E">
        <w:t xml:space="preserve"> each type of explanation</w:t>
      </w:r>
      <w:r w:rsidR="00964672">
        <w:t>, which may have been cognitively demanding for lay people</w:t>
      </w:r>
      <w:r w:rsidR="002D58B3">
        <w:t xml:space="preserve">. </w:t>
      </w:r>
      <w:r w:rsidR="009D2219">
        <w:t xml:space="preserve">Study 4 </w:t>
      </w:r>
      <w:r w:rsidR="00BF3B47">
        <w:t>utilized</w:t>
      </w:r>
      <w:r w:rsidR="009D2219">
        <w:t xml:space="preserve"> </w:t>
      </w:r>
      <w:r w:rsidR="000D2C1A">
        <w:t>a Likert scale</w:t>
      </w:r>
      <w:r w:rsidR="00BF3B47">
        <w:t>, which</w:t>
      </w:r>
      <w:r w:rsidR="009D2219">
        <w:t xml:space="preserve"> allowed us</w:t>
      </w:r>
      <w:r w:rsidR="000D2C1A">
        <w:t xml:space="preserve"> to </w:t>
      </w:r>
      <w:r w:rsidR="00E065AC">
        <w:t>measure</w:t>
      </w:r>
      <w:r w:rsidR="002D58B3">
        <w:t xml:space="preserve"> endorsement of each type of explanation </w:t>
      </w:r>
      <w:r w:rsidR="005F3458">
        <w:t xml:space="preserve">without </w:t>
      </w:r>
      <w:r w:rsidR="005F3458">
        <w:lastRenderedPageBreak/>
        <w:t xml:space="preserve">requiring participants to </w:t>
      </w:r>
      <w:r w:rsidR="00964672">
        <w:t xml:space="preserve">make comparative judgments. </w:t>
      </w:r>
      <w:r w:rsidR="00EE370E">
        <w:t xml:space="preserve">By corroborating the results of Study 3 using </w:t>
      </w:r>
      <w:r w:rsidR="00964672">
        <w:t>another</w:t>
      </w:r>
      <w:r w:rsidR="00EE370E">
        <w:t xml:space="preserve"> approach, we </w:t>
      </w:r>
      <w:r w:rsidR="00964672">
        <w:t xml:space="preserve">aim to </w:t>
      </w:r>
      <w:r w:rsidR="00EE370E">
        <w:t>further establish the reliability of our findings</w:t>
      </w:r>
      <w:r w:rsidR="002D58B3">
        <w:t xml:space="preserve">. </w:t>
      </w:r>
    </w:p>
    <w:p w14:paraId="35D91829" w14:textId="36AE54DD" w:rsidR="00D13556" w:rsidRDefault="00D13556" w:rsidP="00140558">
      <w:pPr>
        <w:pStyle w:val="Heading3"/>
        <w:rPr>
          <w:i w:val="0"/>
          <w:iCs w:val="0"/>
        </w:rPr>
      </w:pPr>
      <w:r>
        <w:rPr>
          <w:i w:val="0"/>
          <w:iCs w:val="0"/>
        </w:rPr>
        <w:t>Method</w:t>
      </w:r>
    </w:p>
    <w:p w14:paraId="215AF2D8" w14:textId="4C293C7C" w:rsidR="0086522A" w:rsidRPr="00472F41" w:rsidRDefault="0086522A" w:rsidP="00472F41">
      <w:pPr>
        <w:pStyle w:val="Heading3"/>
        <w:ind w:firstLine="720"/>
        <w:rPr>
          <w:b w:val="0"/>
          <w:bCs w:val="0"/>
          <w:i w:val="0"/>
          <w:iCs w:val="0"/>
        </w:rPr>
      </w:pPr>
      <w:r w:rsidRPr="00472F41">
        <w:rPr>
          <w:b w:val="0"/>
          <w:bCs w:val="0"/>
        </w:rPr>
        <w:t>Participants</w:t>
      </w:r>
      <w:r w:rsidR="00D13556" w:rsidRPr="00472F41">
        <w:rPr>
          <w:b w:val="0"/>
          <w:bCs w:val="0"/>
        </w:rPr>
        <w:t xml:space="preserve">. </w:t>
      </w:r>
      <w:r w:rsidRPr="00472F41">
        <w:rPr>
          <w:b w:val="0"/>
          <w:bCs w:val="0"/>
          <w:i w:val="0"/>
          <w:iCs w:val="0"/>
        </w:rPr>
        <w:t>Participants (</w:t>
      </w:r>
      <w:r w:rsidRPr="00E065AC">
        <w:rPr>
          <w:b w:val="0"/>
          <w:bCs w:val="0"/>
        </w:rPr>
        <w:t>N</w:t>
      </w:r>
      <w:r w:rsidRPr="00472F41">
        <w:rPr>
          <w:b w:val="0"/>
          <w:bCs w:val="0"/>
          <w:i w:val="0"/>
          <w:iCs w:val="0"/>
        </w:rPr>
        <w:t xml:space="preserve"> = 402) were recruited using Amazon’s Mechanical Turk. </w:t>
      </w:r>
      <w:r w:rsidR="00966A1F" w:rsidRPr="00472F41">
        <w:rPr>
          <w:b w:val="0"/>
          <w:bCs w:val="0"/>
          <w:i w:val="0"/>
          <w:iCs w:val="0"/>
        </w:rPr>
        <w:t xml:space="preserve">Forty-six participants were excluded for missing attention check questions. </w:t>
      </w:r>
      <w:r w:rsidRPr="00472F41">
        <w:rPr>
          <w:b w:val="0"/>
          <w:bCs w:val="0"/>
          <w:i w:val="0"/>
          <w:iCs w:val="0"/>
        </w:rPr>
        <w:t>The</w:t>
      </w:r>
      <w:r w:rsidR="00966A1F" w:rsidRPr="00472F41">
        <w:rPr>
          <w:b w:val="0"/>
          <w:bCs w:val="0"/>
          <w:i w:val="0"/>
          <w:iCs w:val="0"/>
        </w:rPr>
        <w:t xml:space="preserve"> final</w:t>
      </w:r>
      <w:r w:rsidRPr="00472F41">
        <w:rPr>
          <w:b w:val="0"/>
          <w:bCs w:val="0"/>
          <w:i w:val="0"/>
          <w:iCs w:val="0"/>
        </w:rPr>
        <w:t xml:space="preserve"> sample</w:t>
      </w:r>
      <w:r w:rsidR="00966A1F" w:rsidRPr="00472F41">
        <w:rPr>
          <w:b w:val="0"/>
          <w:bCs w:val="0"/>
          <w:i w:val="0"/>
          <w:iCs w:val="0"/>
        </w:rPr>
        <w:t xml:space="preserve"> (</w:t>
      </w:r>
      <w:r w:rsidR="00966A1F" w:rsidRPr="00FF575A">
        <w:rPr>
          <w:b w:val="0"/>
          <w:bCs w:val="0"/>
          <w:iCs w:val="0"/>
        </w:rPr>
        <w:t>n</w:t>
      </w:r>
      <w:r w:rsidR="00966A1F" w:rsidRPr="00472F41">
        <w:rPr>
          <w:b w:val="0"/>
          <w:bCs w:val="0"/>
          <w:i w:val="0"/>
          <w:iCs w:val="0"/>
        </w:rPr>
        <w:t xml:space="preserve"> = 356)</w:t>
      </w:r>
      <w:r w:rsidRPr="00472F41">
        <w:rPr>
          <w:b w:val="0"/>
          <w:bCs w:val="0"/>
          <w:i w:val="0"/>
          <w:iCs w:val="0"/>
        </w:rPr>
        <w:t xml:space="preserve"> included 2</w:t>
      </w:r>
      <w:r w:rsidR="00966A1F" w:rsidRPr="00472F41">
        <w:rPr>
          <w:b w:val="0"/>
          <w:bCs w:val="0"/>
          <w:i w:val="0"/>
          <w:iCs w:val="0"/>
        </w:rPr>
        <w:t>10</w:t>
      </w:r>
      <w:r w:rsidRPr="00472F41">
        <w:rPr>
          <w:b w:val="0"/>
          <w:bCs w:val="0"/>
          <w:i w:val="0"/>
          <w:iCs w:val="0"/>
        </w:rPr>
        <w:t xml:space="preserve"> men and 1</w:t>
      </w:r>
      <w:r w:rsidR="00966A1F" w:rsidRPr="00472F41">
        <w:rPr>
          <w:b w:val="0"/>
          <w:bCs w:val="0"/>
          <w:i w:val="0"/>
          <w:iCs w:val="0"/>
        </w:rPr>
        <w:t>46</w:t>
      </w:r>
      <w:r w:rsidRPr="00472F41">
        <w:rPr>
          <w:b w:val="0"/>
          <w:bCs w:val="0"/>
          <w:i w:val="0"/>
          <w:iCs w:val="0"/>
        </w:rPr>
        <w:t xml:space="preserve"> women with an average age of 36.</w:t>
      </w:r>
      <w:r w:rsidR="00E94E33" w:rsidRPr="00472F41">
        <w:rPr>
          <w:b w:val="0"/>
          <w:bCs w:val="0"/>
          <w:i w:val="0"/>
          <w:iCs w:val="0"/>
        </w:rPr>
        <w:t>6</w:t>
      </w:r>
      <w:r w:rsidRPr="00472F41">
        <w:rPr>
          <w:b w:val="0"/>
          <w:bCs w:val="0"/>
          <w:i w:val="0"/>
          <w:iCs w:val="0"/>
        </w:rPr>
        <w:t xml:space="preserve"> years (SD = 10.</w:t>
      </w:r>
      <w:r w:rsidR="00E94E33" w:rsidRPr="00472F41">
        <w:rPr>
          <w:b w:val="0"/>
          <w:bCs w:val="0"/>
          <w:i w:val="0"/>
          <w:iCs w:val="0"/>
        </w:rPr>
        <w:t>5</w:t>
      </w:r>
      <w:r w:rsidRPr="00472F41">
        <w:rPr>
          <w:b w:val="0"/>
          <w:bCs w:val="0"/>
          <w:i w:val="0"/>
          <w:iCs w:val="0"/>
        </w:rPr>
        <w:t>). They received $0.50 for completing the study. In terms of ethnicity</w:t>
      </w:r>
      <w:r w:rsidR="00A46D01" w:rsidRPr="00472F41">
        <w:rPr>
          <w:b w:val="0"/>
          <w:bCs w:val="0"/>
          <w:i w:val="0"/>
          <w:iCs w:val="0"/>
        </w:rPr>
        <w:t>,</w:t>
      </w:r>
      <w:r w:rsidRPr="00472F41">
        <w:rPr>
          <w:b w:val="0"/>
          <w:bCs w:val="0"/>
          <w:i w:val="0"/>
          <w:iCs w:val="0"/>
        </w:rPr>
        <w:t xml:space="preserve"> 1</w:t>
      </w:r>
      <w:r w:rsidR="00A46D01" w:rsidRPr="00472F41">
        <w:rPr>
          <w:b w:val="0"/>
          <w:bCs w:val="0"/>
          <w:i w:val="0"/>
          <w:iCs w:val="0"/>
        </w:rPr>
        <w:t>5</w:t>
      </w:r>
      <w:r w:rsidRPr="00472F41">
        <w:rPr>
          <w:b w:val="0"/>
          <w:bCs w:val="0"/>
          <w:i w:val="0"/>
          <w:iCs w:val="0"/>
        </w:rPr>
        <w:t xml:space="preserve">% were African American, </w:t>
      </w:r>
      <w:r w:rsidR="00A46D01" w:rsidRPr="00472F41">
        <w:rPr>
          <w:b w:val="0"/>
          <w:bCs w:val="0"/>
          <w:i w:val="0"/>
          <w:iCs w:val="0"/>
        </w:rPr>
        <w:t>5</w:t>
      </w:r>
      <w:r w:rsidRPr="00472F41">
        <w:rPr>
          <w:b w:val="0"/>
          <w:bCs w:val="0"/>
          <w:i w:val="0"/>
          <w:iCs w:val="0"/>
        </w:rPr>
        <w:t xml:space="preserve">% were Asian American, </w:t>
      </w:r>
      <w:r w:rsidR="00A46D01" w:rsidRPr="00472F41">
        <w:rPr>
          <w:b w:val="0"/>
          <w:bCs w:val="0"/>
          <w:i w:val="0"/>
          <w:iCs w:val="0"/>
        </w:rPr>
        <w:t>7</w:t>
      </w:r>
      <w:r w:rsidRPr="00472F41">
        <w:rPr>
          <w:b w:val="0"/>
          <w:bCs w:val="0"/>
          <w:i w:val="0"/>
          <w:iCs w:val="0"/>
        </w:rPr>
        <w:t>% were Hispanic, 7</w:t>
      </w:r>
      <w:r w:rsidR="00A46D01" w:rsidRPr="00472F41">
        <w:rPr>
          <w:b w:val="0"/>
          <w:bCs w:val="0"/>
          <w:i w:val="0"/>
          <w:iCs w:val="0"/>
        </w:rPr>
        <w:t>3</w:t>
      </w:r>
      <w:r w:rsidRPr="00472F41">
        <w:rPr>
          <w:b w:val="0"/>
          <w:bCs w:val="0"/>
          <w:i w:val="0"/>
          <w:iCs w:val="0"/>
        </w:rPr>
        <w:t>% were Caucasian, 1% were Native American.</w:t>
      </w:r>
    </w:p>
    <w:p w14:paraId="0F087A80" w14:textId="6E54DBA0" w:rsidR="0086522A" w:rsidRPr="00D13556" w:rsidRDefault="0086522A" w:rsidP="00472F41">
      <w:pPr>
        <w:pStyle w:val="Heading3"/>
        <w:ind w:firstLine="720"/>
      </w:pPr>
      <w:r w:rsidRPr="00472F41">
        <w:rPr>
          <w:b w:val="0"/>
          <w:bCs w:val="0"/>
        </w:rPr>
        <w:t>Procedure</w:t>
      </w:r>
      <w:r w:rsidR="00D13556">
        <w:t xml:space="preserve">. </w:t>
      </w:r>
      <w:r w:rsidRPr="00D13556">
        <w:rPr>
          <w:b w:val="0"/>
          <w:bCs w:val="0"/>
          <w:i w:val="0"/>
          <w:iCs w:val="0"/>
        </w:rPr>
        <w:t>Participants read an excerpt from one of two popular textbooks on negotiations, depending on the condition t</w:t>
      </w:r>
      <w:r w:rsidR="00B867C6">
        <w:rPr>
          <w:b w:val="0"/>
          <w:bCs w:val="0"/>
          <w:i w:val="0"/>
          <w:iCs w:val="0"/>
        </w:rPr>
        <w:t>o which</w:t>
      </w:r>
      <w:r w:rsidRPr="00D13556">
        <w:rPr>
          <w:b w:val="0"/>
          <w:bCs w:val="0"/>
          <w:i w:val="0"/>
          <w:iCs w:val="0"/>
        </w:rPr>
        <w:t xml:space="preserve"> they were randomly assigned. Those in the “women don’t ask” condition read an excerpt from the introduction of the book </w:t>
      </w:r>
      <w:r w:rsidRPr="00472F41">
        <w:rPr>
          <w:b w:val="0"/>
          <w:bCs w:val="0"/>
          <w:i w:val="0"/>
          <w:iCs w:val="0"/>
        </w:rPr>
        <w:t>Women Don’t Ask</w:t>
      </w:r>
      <w:r w:rsidRPr="00D13556">
        <w:rPr>
          <w:b w:val="0"/>
          <w:bCs w:val="0"/>
          <w:i w:val="0"/>
          <w:iCs w:val="0"/>
        </w:rPr>
        <w:t xml:space="preserve"> by </w:t>
      </w:r>
      <w:r w:rsidRPr="00D13556">
        <w:rPr>
          <w:b w:val="0"/>
          <w:bCs w:val="0"/>
          <w:i w:val="0"/>
          <w:iCs w:val="0"/>
          <w:noProof/>
        </w:rPr>
        <w:t>Babcock and Laschever (2003)</w:t>
      </w:r>
      <w:r w:rsidR="00B867C6">
        <w:rPr>
          <w:b w:val="0"/>
          <w:bCs w:val="0"/>
          <w:i w:val="0"/>
          <w:iCs w:val="0"/>
        </w:rPr>
        <w:t>. Participants</w:t>
      </w:r>
      <w:r w:rsidRPr="00D13556">
        <w:rPr>
          <w:b w:val="0"/>
          <w:bCs w:val="0"/>
          <w:i w:val="0"/>
          <w:iCs w:val="0"/>
        </w:rPr>
        <w:t xml:space="preserve"> in the control condition read an excerpt from the introduction of the book </w:t>
      </w:r>
      <w:r w:rsidRPr="00472F41">
        <w:rPr>
          <w:b w:val="0"/>
          <w:bCs w:val="0"/>
          <w:i w:val="0"/>
          <w:iCs w:val="0"/>
        </w:rPr>
        <w:t>Mind and Heart of the Negotiator</w:t>
      </w:r>
      <w:r w:rsidRPr="00D13556">
        <w:rPr>
          <w:b w:val="0"/>
          <w:bCs w:val="0"/>
          <w:i w:val="0"/>
          <w:iCs w:val="0"/>
        </w:rPr>
        <w:t xml:space="preserve"> by </w:t>
      </w:r>
      <w:r w:rsidRPr="00D13556">
        <w:rPr>
          <w:b w:val="0"/>
          <w:bCs w:val="0"/>
          <w:i w:val="0"/>
          <w:iCs w:val="0"/>
          <w:noProof/>
        </w:rPr>
        <w:t>Thompson (1998)</w:t>
      </w:r>
      <w:r w:rsidRPr="00D13556">
        <w:rPr>
          <w:b w:val="0"/>
          <w:bCs w:val="0"/>
          <w:i w:val="0"/>
          <w:iCs w:val="0"/>
        </w:rPr>
        <w:t xml:space="preserve"> (See Appendix C </w:t>
      </w:r>
      <w:r w:rsidR="00130B3B" w:rsidRPr="002E0D87">
        <w:rPr>
          <w:b w:val="0"/>
          <w:bCs w:val="0"/>
          <w:i w:val="0"/>
          <w:iCs w:val="0"/>
        </w:rPr>
        <w:t>in the Supplemental Online Materials</w:t>
      </w:r>
      <w:r w:rsidR="00130B3B" w:rsidRPr="00D13556">
        <w:rPr>
          <w:b w:val="0"/>
          <w:bCs w:val="0"/>
          <w:i w:val="0"/>
          <w:iCs w:val="0"/>
        </w:rPr>
        <w:t xml:space="preserve"> </w:t>
      </w:r>
      <w:r w:rsidRPr="00D13556">
        <w:rPr>
          <w:b w:val="0"/>
          <w:bCs w:val="0"/>
          <w:i w:val="0"/>
          <w:iCs w:val="0"/>
        </w:rPr>
        <w:t>for the excerpts).</w:t>
      </w:r>
      <w:r w:rsidRPr="00D13556">
        <w:rPr>
          <w:rStyle w:val="FootnoteReference"/>
          <w:b w:val="0"/>
          <w:bCs w:val="0"/>
          <w:i w:val="0"/>
          <w:iCs w:val="0"/>
        </w:rPr>
        <w:footnoteReference w:id="9"/>
      </w:r>
      <w:r w:rsidRPr="00D13556">
        <w:rPr>
          <w:b w:val="0"/>
          <w:bCs w:val="0"/>
          <w:i w:val="0"/>
          <w:iCs w:val="0"/>
        </w:rPr>
        <w:t xml:space="preserve"> </w:t>
      </w:r>
    </w:p>
    <w:p w14:paraId="53504B5A" w14:textId="237D721A" w:rsidR="0086522A" w:rsidRPr="00D9571F" w:rsidRDefault="0086522A" w:rsidP="00140558">
      <w:pPr>
        <w:spacing w:line="480" w:lineRule="auto"/>
      </w:pPr>
      <w:r w:rsidRPr="0080735A">
        <w:tab/>
      </w:r>
      <w:r w:rsidRPr="00F94509">
        <w:t>Participan</w:t>
      </w:r>
      <w:r w:rsidRPr="00D9571F">
        <w:t>ts were then told that we were interested in their beliefs about a current social issue in the United States</w:t>
      </w:r>
      <w:r>
        <w:t>—</w:t>
      </w:r>
      <w:r w:rsidRPr="00D9571F">
        <w:t xml:space="preserve">specifically, the pay gap between men and women. We provided participants with a description of what the gender pay gap is, stating, “The gender pay gap is a summary statistic for gender differences in compensation at work, and it reflects differences in the median amount of pay that women earn relative to men.” We also provided a statistic, stating </w:t>
      </w:r>
      <w:r w:rsidRPr="00D9571F">
        <w:lastRenderedPageBreak/>
        <w:t xml:space="preserve">that women are paid roughly 20% less than men. Our two </w:t>
      </w:r>
      <w:r>
        <w:t xml:space="preserve">dependent </w:t>
      </w:r>
      <w:r w:rsidRPr="00D9571F">
        <w:t xml:space="preserve">variables of interest </w:t>
      </w:r>
      <w:r>
        <w:t xml:space="preserve">appeared </w:t>
      </w:r>
      <w:r w:rsidRPr="00D9571F">
        <w:t>next</w:t>
      </w:r>
      <w:r>
        <w:t xml:space="preserve"> in counterbalanced order:</w:t>
      </w:r>
      <w:r w:rsidRPr="00D9571F">
        <w:t xml:space="preserve"> endorsement of gender stereotypes and system justifying reasons</w:t>
      </w:r>
      <w:r w:rsidR="00D34F90">
        <w:t xml:space="preserve"> (e.g., choice, </w:t>
      </w:r>
      <w:r w:rsidR="004A791B">
        <w:t>negotiation propensity</w:t>
      </w:r>
      <w:r w:rsidR="00D34F90">
        <w:t>)</w:t>
      </w:r>
      <w:r w:rsidRPr="00D9571F">
        <w:t xml:space="preserve"> for the pay gap. Finally, participants answered demographic questions.</w:t>
      </w:r>
    </w:p>
    <w:p w14:paraId="4A67A724" w14:textId="61F66ABE" w:rsidR="0086522A" w:rsidRPr="00D9571F" w:rsidRDefault="0086522A" w:rsidP="00140558">
      <w:pPr>
        <w:spacing w:line="480" w:lineRule="auto"/>
      </w:pPr>
      <w:r w:rsidRPr="00D9571F">
        <w:tab/>
      </w:r>
      <w:r w:rsidRPr="00F5728A">
        <w:rPr>
          <w:b/>
          <w:bCs/>
          <w:i/>
          <w:iCs/>
        </w:rPr>
        <w:t xml:space="preserve">Endorsement of </w:t>
      </w:r>
      <w:r w:rsidR="00334EE2">
        <w:rPr>
          <w:b/>
          <w:bCs/>
          <w:i/>
          <w:iCs/>
        </w:rPr>
        <w:t>g</w:t>
      </w:r>
      <w:r w:rsidRPr="00F5728A">
        <w:rPr>
          <w:b/>
          <w:bCs/>
          <w:i/>
          <w:iCs/>
        </w:rPr>
        <w:t xml:space="preserve">ender </w:t>
      </w:r>
      <w:r w:rsidR="00334EE2">
        <w:rPr>
          <w:b/>
          <w:bCs/>
          <w:i/>
          <w:iCs/>
        </w:rPr>
        <w:t>s</w:t>
      </w:r>
      <w:r w:rsidRPr="00F5728A">
        <w:rPr>
          <w:b/>
          <w:bCs/>
          <w:i/>
          <w:iCs/>
        </w:rPr>
        <w:t>tereotypes.</w:t>
      </w:r>
      <w:r w:rsidRPr="00D9571F">
        <w:t xml:space="preserve"> We us</w:t>
      </w:r>
      <w:r w:rsidR="00AF5955">
        <w:t>ed</w:t>
      </w:r>
      <w:r w:rsidRPr="00D9571F">
        <w:t xml:space="preserve"> a 20-item measure from </w:t>
      </w:r>
      <w:r>
        <w:rPr>
          <w:noProof/>
        </w:rPr>
        <w:t>Brescoll and LaFrance (2004)</w:t>
      </w:r>
      <w:r w:rsidRPr="00D9571F">
        <w:t>. Participants rated how the average man and the average wom</w:t>
      </w:r>
      <w:r w:rsidR="00BC2A39">
        <w:t>a</w:t>
      </w:r>
      <w:r w:rsidRPr="00D9571F">
        <w:t>n compare to each other on each trait using a scale from 1 (</w:t>
      </w:r>
      <w:r w:rsidRPr="00274207">
        <w:rPr>
          <w:i/>
          <w:iCs/>
        </w:rPr>
        <w:t>men extremely more</w:t>
      </w:r>
      <w:r w:rsidRPr="00D9571F">
        <w:t>) to 9 (</w:t>
      </w:r>
      <w:r w:rsidRPr="00274207">
        <w:rPr>
          <w:i/>
          <w:iCs/>
        </w:rPr>
        <w:t>women extremely more</w:t>
      </w:r>
      <w:r w:rsidRPr="00D9571F">
        <w:t xml:space="preserve">) with the midpoint labeled as </w:t>
      </w:r>
      <w:r w:rsidRPr="00FC48D7">
        <w:rPr>
          <w:i/>
          <w:iCs/>
        </w:rPr>
        <w:t>men and women the same</w:t>
      </w:r>
      <w:r w:rsidRPr="00D9571F">
        <w:t xml:space="preserve">. The 20 items included 10 </w:t>
      </w:r>
      <w:r>
        <w:t xml:space="preserve">stereotypes about men and 10 about women, </w:t>
      </w:r>
      <w:r w:rsidRPr="00D9571F">
        <w:t>and within those 10 stereotypes, 5 positive and 5 negative</w:t>
      </w:r>
      <w:r>
        <w:t xml:space="preserve"> ones</w:t>
      </w:r>
      <w:r w:rsidRPr="00D9571F">
        <w:t>. We reverse</w:t>
      </w:r>
      <w:r>
        <w:t>-</w:t>
      </w:r>
      <w:r w:rsidRPr="00D9571F">
        <w:t>scored the masculine items so that higher values indicate greater stereotype endorsement (</w:t>
      </w:r>
      <w:r w:rsidRPr="00D9571F">
        <w:rPr>
          <w:i/>
          <w:iCs/>
        </w:rPr>
        <w:sym w:font="Symbol" w:char="F061"/>
      </w:r>
      <w:r w:rsidRPr="00D9571F">
        <w:t xml:space="preserve"> = .83).</w:t>
      </w:r>
      <w:r w:rsidR="003320A6">
        <w:t xml:space="preserve"> </w:t>
      </w:r>
      <w:r w:rsidR="005E3CEA">
        <w:t xml:space="preserve">For instance, </w:t>
      </w:r>
      <w:r w:rsidR="00B01BA8">
        <w:t xml:space="preserve">one masculine item was “competitive.” Before reverse-scoring, lower numbers indicated perceptions of men as relatively more competitive than women. One feminine item was </w:t>
      </w:r>
      <w:r w:rsidR="00F73394">
        <w:t>“</w:t>
      </w:r>
      <w:r w:rsidR="00B01BA8">
        <w:t>nurturing,</w:t>
      </w:r>
      <w:r w:rsidR="00F73394">
        <w:t>”</w:t>
      </w:r>
      <w:r w:rsidR="00B01BA8">
        <w:t xml:space="preserve"> and higher numbers indicated perceptions of women as relatively more nurturing than men. To combine these measures</w:t>
      </w:r>
      <w:r w:rsidR="003A6624">
        <w:t xml:space="preserve"> into one scale</w:t>
      </w:r>
      <w:r w:rsidR="00B01BA8">
        <w:t>,</w:t>
      </w:r>
      <w:r w:rsidR="00364CFA">
        <w:t xml:space="preserve"> masculine</w:t>
      </w:r>
      <w:r w:rsidR="00B01BA8">
        <w:t xml:space="preserve"> items such as competitive were </w:t>
      </w:r>
      <w:proofErr w:type="gramStart"/>
      <w:r w:rsidR="00B01BA8">
        <w:t>reverse-scored</w:t>
      </w:r>
      <w:proofErr w:type="gramEnd"/>
      <w:r w:rsidR="00B01BA8">
        <w:t xml:space="preserve"> so that higher ratings indicated greater gender stereotyping</w:t>
      </w:r>
      <w:r w:rsidR="004B10E7">
        <w:t xml:space="preserve"> (e.g., “men are more competitive than women, and women are more nurturing than men”).</w:t>
      </w:r>
    </w:p>
    <w:p w14:paraId="0583FC0E" w14:textId="487A843B" w:rsidR="0086522A" w:rsidRPr="00D9571F" w:rsidRDefault="0086522A" w:rsidP="00140558">
      <w:pPr>
        <w:spacing w:line="480" w:lineRule="auto"/>
      </w:pPr>
      <w:r w:rsidRPr="00D9571F">
        <w:tab/>
      </w:r>
      <w:r w:rsidRPr="000C3C0C">
        <w:rPr>
          <w:b/>
          <w:bCs/>
        </w:rPr>
        <w:t xml:space="preserve"> </w:t>
      </w:r>
      <w:r w:rsidR="00EE2B7A">
        <w:rPr>
          <w:b/>
          <w:bCs/>
          <w:i/>
          <w:iCs/>
        </w:rPr>
        <w:t>Explanations for</w:t>
      </w:r>
      <w:r w:rsidR="00EE2B7A" w:rsidRPr="00A809D7">
        <w:rPr>
          <w:b/>
          <w:bCs/>
          <w:i/>
          <w:iCs/>
        </w:rPr>
        <w:t xml:space="preserve"> the gender pay gap</w:t>
      </w:r>
      <w:r w:rsidRPr="00F5728A">
        <w:rPr>
          <w:b/>
          <w:bCs/>
          <w:i/>
          <w:iCs/>
        </w:rPr>
        <w:t>.</w:t>
      </w:r>
      <w:r w:rsidRPr="00D9571F">
        <w:t xml:space="preserve"> Participants were asked to indicate the degree to which they believe that the gender pay gap can be explained by </w:t>
      </w:r>
      <w:r>
        <w:t>ten</w:t>
      </w:r>
      <w:r w:rsidRPr="00D9571F">
        <w:t xml:space="preserve"> different </w:t>
      </w:r>
      <w:r w:rsidR="00077A06">
        <w:t>potential explanations</w:t>
      </w:r>
      <w:r w:rsidR="00077A06" w:rsidRPr="00D9571F">
        <w:t xml:space="preserve"> </w:t>
      </w:r>
      <w:r w:rsidRPr="00D9571F">
        <w:t xml:space="preserve">on a </w:t>
      </w:r>
      <w:r w:rsidR="005F3458">
        <w:t xml:space="preserve">Likert </w:t>
      </w:r>
      <w:r w:rsidRPr="00D9571F">
        <w:t>scale from 1 (</w:t>
      </w:r>
      <w:r w:rsidRPr="00BD7CF1">
        <w:rPr>
          <w:i/>
          <w:iCs/>
        </w:rPr>
        <w:t>entirely untrue</w:t>
      </w:r>
      <w:r w:rsidRPr="00D9571F">
        <w:t>) to 7 (</w:t>
      </w:r>
      <w:r w:rsidRPr="00BD7CF1">
        <w:rPr>
          <w:i/>
          <w:iCs/>
        </w:rPr>
        <w:t>entirely true</w:t>
      </w:r>
      <w:r w:rsidRPr="00D9571F">
        <w:t xml:space="preserve">). </w:t>
      </w:r>
      <w:r>
        <w:t>T</w:t>
      </w:r>
      <w:r w:rsidRPr="00D9571F">
        <w:t>hree</w:t>
      </w:r>
      <w:r>
        <w:t xml:space="preserve"> statements offered</w:t>
      </w:r>
      <w:r w:rsidRPr="00D9571F">
        <w:t xml:space="preserve"> choice-based reasons for the pay gap, including: “Women are less ambitious than men</w:t>
      </w:r>
      <w:r>
        <w:t>,” “</w:t>
      </w:r>
      <w:r w:rsidRPr="00D9571F">
        <w:t>Women are less committed to their jobs due to raising children</w:t>
      </w:r>
      <w:r>
        <w:t xml:space="preserve">,” and </w:t>
      </w:r>
      <w:r w:rsidRPr="00D9571F">
        <w:t xml:space="preserve">“Women are less competitive than men are” </w:t>
      </w:r>
      <w:r w:rsidRPr="001F62E3">
        <w:t>(</w:t>
      </w:r>
      <w:r w:rsidRPr="001F62E3">
        <w:rPr>
          <w:i/>
          <w:iCs/>
        </w:rPr>
        <w:sym w:font="Symbol" w:char="F061"/>
      </w:r>
      <w:r w:rsidRPr="001F62E3">
        <w:t xml:space="preserve"> = .8</w:t>
      </w:r>
      <w:r w:rsidR="00884ADF">
        <w:t>0</w:t>
      </w:r>
      <w:r w:rsidRPr="00D9571F">
        <w:t xml:space="preserve">). </w:t>
      </w:r>
      <w:r>
        <w:t>Five statements offered</w:t>
      </w:r>
      <w:r w:rsidRPr="00D9571F">
        <w:t xml:space="preserve"> unfairness-based reasons for the </w:t>
      </w:r>
      <w:r w:rsidRPr="00D9571F">
        <w:lastRenderedPageBreak/>
        <w:t xml:space="preserve">pay gap, including </w:t>
      </w:r>
      <w:r w:rsidRPr="001F62E3">
        <w:t>(</w:t>
      </w:r>
      <w:r w:rsidRPr="001F62E3">
        <w:rPr>
          <w:i/>
          <w:iCs/>
        </w:rPr>
        <w:sym w:font="Symbol" w:char="F061"/>
      </w:r>
      <w:r w:rsidRPr="001F62E3">
        <w:t xml:space="preserve"> = .89</w:t>
      </w:r>
      <w:r w:rsidRPr="00D9571F">
        <w:t>): “Employers are biased against women</w:t>
      </w:r>
      <w:r>
        <w:t xml:space="preserve">,” </w:t>
      </w:r>
      <w:r w:rsidRPr="00D9571F">
        <w:t>“A glass ceiling exists that prevents women from achieving the highest paying jobs</w:t>
      </w:r>
      <w:r>
        <w:t>,” “</w:t>
      </w:r>
      <w:r w:rsidRPr="00D9571F">
        <w:t>Employers are biased against working mothers</w:t>
      </w:r>
      <w:r>
        <w:t xml:space="preserve">,” </w:t>
      </w:r>
      <w:r w:rsidRPr="00D9571F">
        <w:t>“Employers endorse gender stereotypes indicating men are more capable of leadership than women are</w:t>
      </w:r>
      <w:r>
        <w:t>,</w:t>
      </w:r>
      <w:r w:rsidRPr="00D9571F">
        <w:t xml:space="preserve">” and “Men use their greater power and status in organizations to increase their own compensation.” </w:t>
      </w:r>
      <w:r>
        <w:t>Two statements offered</w:t>
      </w:r>
      <w:r w:rsidRPr="00D9571F">
        <w:t xml:space="preserve"> negotiation-based reasons</w:t>
      </w:r>
      <w:r>
        <w:t xml:space="preserve"> for the pay gap</w:t>
      </w:r>
      <w:r w:rsidRPr="00D9571F">
        <w:t xml:space="preserve"> </w:t>
      </w:r>
      <w:r w:rsidRPr="001F62E3">
        <w:t>(</w:t>
      </w:r>
      <w:r w:rsidRPr="001F62E3">
        <w:rPr>
          <w:i/>
          <w:iCs/>
        </w:rPr>
        <w:sym w:font="Symbol" w:char="F061"/>
      </w:r>
      <w:r w:rsidRPr="001F62E3">
        <w:t xml:space="preserve"> = .82</w:t>
      </w:r>
      <w:r w:rsidRPr="00D9571F">
        <w:t xml:space="preserve">): “Women don’t negotiate </w:t>
      </w:r>
      <w:r w:rsidRPr="002124BC">
        <w:t>compensation as effectively as men do,” and “Women don’t ask for additional compensation.” Items were presented in counterbalanced order.</w:t>
      </w:r>
    </w:p>
    <w:p w14:paraId="33694EBF" w14:textId="77777777" w:rsidR="0086522A" w:rsidRPr="00D9571F" w:rsidRDefault="0086522A" w:rsidP="00140558">
      <w:pPr>
        <w:pStyle w:val="Heading2"/>
      </w:pPr>
      <w:r w:rsidRPr="00D9571F">
        <w:t>Results</w:t>
      </w:r>
    </w:p>
    <w:p w14:paraId="69FECEEC" w14:textId="3BA48AB8" w:rsidR="0086522A" w:rsidRDefault="0086522A" w:rsidP="00140558">
      <w:pPr>
        <w:spacing w:line="480" w:lineRule="auto"/>
        <w:ind w:firstLine="720"/>
      </w:pPr>
      <w:r>
        <w:rPr>
          <w:b/>
          <w:bCs/>
          <w:i/>
          <w:iCs/>
        </w:rPr>
        <w:t xml:space="preserve">Endorsement of gender stereotypes. </w:t>
      </w:r>
      <w:r w:rsidRPr="00D9571F">
        <w:t xml:space="preserve">We conducted a 2 (condition: </w:t>
      </w:r>
      <w:r>
        <w:t xml:space="preserve">“women don’t ask” </w:t>
      </w:r>
      <w:r w:rsidRPr="00D9571F">
        <w:t xml:space="preserve">or control) </w:t>
      </w:r>
      <w:r w:rsidRPr="00D9571F">
        <w:sym w:font="Symbol" w:char="F0B4"/>
      </w:r>
      <w:r w:rsidRPr="00D9571F">
        <w:t xml:space="preserve"> 2 (participant gender: </w:t>
      </w:r>
      <w:r>
        <w:t>male or female</w:t>
      </w:r>
      <w:r w:rsidRPr="00D9571F">
        <w:t xml:space="preserve">) between-subjects ANOVA. Endorsement of gender stereotypes was greater after exposure to the </w:t>
      </w:r>
      <w:r>
        <w:t xml:space="preserve">“women don’t ask” </w:t>
      </w:r>
      <w:r w:rsidRPr="00D9571F">
        <w:t>message (</w:t>
      </w:r>
      <w:r w:rsidRPr="00D9571F">
        <w:rPr>
          <w:i/>
          <w:iCs/>
        </w:rPr>
        <w:t>M</w:t>
      </w:r>
      <w:r w:rsidRPr="00D9571F">
        <w:t xml:space="preserve"> = </w:t>
      </w:r>
      <w:r w:rsidR="00834B7D">
        <w:t>6.01</w:t>
      </w:r>
      <w:r w:rsidRPr="00D9571F">
        <w:t xml:space="preserve">, </w:t>
      </w:r>
      <w:r w:rsidRPr="00D9571F">
        <w:rPr>
          <w:i/>
          <w:iCs/>
        </w:rPr>
        <w:t>SD</w:t>
      </w:r>
      <w:r w:rsidRPr="00D9571F">
        <w:t xml:space="preserve"> = </w:t>
      </w:r>
      <w:r w:rsidR="00834B7D">
        <w:t>0.76</w:t>
      </w:r>
      <w:r w:rsidRPr="00D9571F">
        <w:t>) than the control message (</w:t>
      </w:r>
      <w:r w:rsidRPr="00D9571F">
        <w:rPr>
          <w:i/>
          <w:iCs/>
        </w:rPr>
        <w:t>M</w:t>
      </w:r>
      <w:r w:rsidRPr="00D9571F">
        <w:t xml:space="preserve"> = 5.7</w:t>
      </w:r>
      <w:r w:rsidR="00834B7D">
        <w:t>7</w:t>
      </w:r>
      <w:r w:rsidRPr="00D9571F">
        <w:t xml:space="preserve">, </w:t>
      </w:r>
      <w:r w:rsidRPr="00D9571F">
        <w:rPr>
          <w:i/>
          <w:iCs/>
        </w:rPr>
        <w:t>SD</w:t>
      </w:r>
      <w:r w:rsidRPr="00D9571F">
        <w:t xml:space="preserve"> = </w:t>
      </w:r>
      <w:r w:rsidR="00834B7D">
        <w:t>0</w:t>
      </w:r>
      <w:r w:rsidRPr="00D9571F">
        <w:t xml:space="preserve">.72), </w:t>
      </w:r>
      <w:proofErr w:type="gramStart"/>
      <w:r w:rsidRPr="00D9571F">
        <w:rPr>
          <w:i/>
          <w:iCs/>
        </w:rPr>
        <w:t>F</w:t>
      </w:r>
      <w:r w:rsidRPr="00D9571F">
        <w:t>(</w:t>
      </w:r>
      <w:proofErr w:type="gramEnd"/>
      <w:r w:rsidRPr="00D9571F">
        <w:t>1, 3</w:t>
      </w:r>
      <w:r w:rsidR="00834B7D">
        <w:t>52</w:t>
      </w:r>
      <w:r w:rsidRPr="00D9571F">
        <w:t xml:space="preserve">) = </w:t>
      </w:r>
      <w:r w:rsidR="00834B7D">
        <w:t>9.10</w:t>
      </w:r>
      <w:r w:rsidRPr="00D9571F">
        <w:t xml:space="preserve">, </w:t>
      </w:r>
      <w:r w:rsidRPr="00D9571F">
        <w:rPr>
          <w:i/>
          <w:iCs/>
        </w:rPr>
        <w:t>p</w:t>
      </w:r>
      <w:r w:rsidRPr="00D9571F">
        <w:t xml:space="preserve"> = .00</w:t>
      </w:r>
      <w:r w:rsidR="00834B7D">
        <w:t>3</w:t>
      </w:r>
      <w:r w:rsidRPr="00D9571F">
        <w:t xml:space="preserve">, </w:t>
      </w:r>
      <w:r w:rsidRPr="00D9571F">
        <w:rPr>
          <w:i/>
          <w:iCs/>
        </w:rPr>
        <w:t>η</w:t>
      </w:r>
      <w:r w:rsidRPr="00D9571F">
        <w:rPr>
          <w:i/>
          <w:iCs/>
          <w:vertAlign w:val="subscript"/>
        </w:rPr>
        <w:t>p</w:t>
      </w:r>
      <w:r w:rsidRPr="00D9571F">
        <w:rPr>
          <w:vertAlign w:val="superscript"/>
        </w:rPr>
        <w:t xml:space="preserve">2 </w:t>
      </w:r>
      <w:r w:rsidRPr="00D9571F">
        <w:t>= .03. No other effects were significant (</w:t>
      </w:r>
      <w:proofErr w:type="spellStart"/>
      <w:r w:rsidRPr="00D9571F">
        <w:rPr>
          <w:i/>
          <w:iCs/>
        </w:rPr>
        <w:t>p</w:t>
      </w:r>
      <w:r w:rsidRPr="00D9571F">
        <w:rPr>
          <w:iCs/>
        </w:rPr>
        <w:t>s</w:t>
      </w:r>
      <w:proofErr w:type="spellEnd"/>
      <w:r w:rsidRPr="00D9571F">
        <w:t xml:space="preserve"> &gt; .</w:t>
      </w:r>
      <w:r w:rsidR="008975B7">
        <w:t>74</w:t>
      </w:r>
      <w:r w:rsidRPr="00D9571F">
        <w:t>).</w:t>
      </w:r>
      <w:r>
        <w:t xml:space="preserve"> In other words, people came to perceive greater differences between men and women along many other </w:t>
      </w:r>
      <w:r w:rsidR="00D34F90">
        <w:t xml:space="preserve">stereotypical </w:t>
      </w:r>
      <w:r>
        <w:t xml:space="preserve">dimensions when they were told that “women don’t ask” relative to a control condition. </w:t>
      </w:r>
    </w:p>
    <w:p w14:paraId="087B5573" w14:textId="61CCA77F" w:rsidR="0086522A" w:rsidRPr="00964672" w:rsidRDefault="00B47313" w:rsidP="00964672">
      <w:pPr>
        <w:spacing w:line="480" w:lineRule="auto"/>
        <w:ind w:firstLine="720"/>
      </w:pPr>
      <w:r>
        <w:t xml:space="preserve">In an exploratory analysis </w:t>
      </w:r>
      <w:r w:rsidR="00A305BE">
        <w:t>(i.e., not</w:t>
      </w:r>
      <w:r>
        <w:t xml:space="preserve"> pre-registered</w:t>
      </w:r>
      <w:r w:rsidR="00A305BE">
        <w:t>)</w:t>
      </w:r>
      <w:r>
        <w:t xml:space="preserve">, we </w:t>
      </w:r>
      <w:r w:rsidRPr="00B47313">
        <w:t>examine</w:t>
      </w:r>
      <w:r>
        <w:t>d</w:t>
      </w:r>
      <w:r w:rsidRPr="00B47313">
        <w:t xml:space="preserve"> whether the “women don’t ask” messaging had a differential impact on </w:t>
      </w:r>
      <w:r>
        <w:t xml:space="preserve">gender stereotyping for </w:t>
      </w:r>
      <w:r w:rsidRPr="00B47313">
        <w:t>masculine versus feminine attributes. To test</w:t>
      </w:r>
      <w:r>
        <w:t xml:space="preserve"> this</w:t>
      </w:r>
      <w:r w:rsidRPr="00B47313">
        <w:t xml:space="preserve">, we ran a mixed-model ANOVA with type of attribute (masculine, feminine) as a within-subject factor and experimental condition (WDA, control) as a between-subject factor. We found a significant type of attribute X experimental condition interaction, </w:t>
      </w:r>
      <w:proofErr w:type="gramStart"/>
      <w:r w:rsidRPr="00B47313">
        <w:rPr>
          <w:i/>
          <w:iCs/>
        </w:rPr>
        <w:t>F</w:t>
      </w:r>
      <w:r w:rsidRPr="00B47313">
        <w:t>(</w:t>
      </w:r>
      <w:proofErr w:type="gramEnd"/>
      <w:r w:rsidRPr="00B47313">
        <w:t xml:space="preserve">1, 354) = 9.23, </w:t>
      </w:r>
      <w:r w:rsidRPr="00B47313">
        <w:rPr>
          <w:i/>
          <w:iCs/>
        </w:rPr>
        <w:t>p</w:t>
      </w:r>
      <w:r w:rsidRPr="00B47313">
        <w:t xml:space="preserve"> = .003, </w:t>
      </w:r>
      <w:r w:rsidRPr="00B47313">
        <w:rPr>
          <w:i/>
          <w:iCs/>
        </w:rPr>
        <w:t>η</w:t>
      </w:r>
      <w:r w:rsidRPr="00B47313">
        <w:rPr>
          <w:i/>
          <w:iCs/>
          <w:vertAlign w:val="subscript"/>
        </w:rPr>
        <w:t>p</w:t>
      </w:r>
      <w:r w:rsidRPr="00B47313">
        <w:rPr>
          <w:vertAlign w:val="superscript"/>
        </w:rPr>
        <w:t>2</w:t>
      </w:r>
      <w:r w:rsidRPr="00B47313">
        <w:t xml:space="preserve"> = .025. Next, we examined simple effects within each type of attribute separately. For endorsement of masculine traits, the WDA message (</w:t>
      </w:r>
      <w:r w:rsidRPr="00B47313">
        <w:rPr>
          <w:i/>
          <w:iCs/>
        </w:rPr>
        <w:t>M</w:t>
      </w:r>
      <w:r w:rsidRPr="00B47313">
        <w:t xml:space="preserve"> = 3.95, </w:t>
      </w:r>
      <w:r w:rsidRPr="00B47313">
        <w:rPr>
          <w:i/>
          <w:iCs/>
        </w:rPr>
        <w:t>SD</w:t>
      </w:r>
      <w:r w:rsidRPr="00B47313">
        <w:t xml:space="preserve"> = 1.14) caused women to be perceived as less masculine relative to men compared to the </w:t>
      </w:r>
      <w:r w:rsidRPr="00B47313">
        <w:lastRenderedPageBreak/>
        <w:t>control condition (</w:t>
      </w:r>
      <w:r w:rsidRPr="00B47313">
        <w:rPr>
          <w:i/>
          <w:iCs/>
        </w:rPr>
        <w:t>M</w:t>
      </w:r>
      <w:r w:rsidRPr="00B47313">
        <w:t xml:space="preserve"> = 4.26, </w:t>
      </w:r>
      <w:r w:rsidRPr="00B47313">
        <w:rPr>
          <w:i/>
          <w:iCs/>
        </w:rPr>
        <w:t>SD</w:t>
      </w:r>
      <w:r w:rsidRPr="00B47313">
        <w:t xml:space="preserve"> = 1.06), </w:t>
      </w:r>
      <w:proofErr w:type="gramStart"/>
      <w:r w:rsidRPr="00B47313">
        <w:rPr>
          <w:i/>
          <w:iCs/>
        </w:rPr>
        <w:t>t</w:t>
      </w:r>
      <w:r w:rsidRPr="00B47313">
        <w:t>(</w:t>
      </w:r>
      <w:proofErr w:type="gramEnd"/>
      <w:r w:rsidRPr="00B47313">
        <w:t xml:space="preserve">354) = 2.63, </w:t>
      </w:r>
      <w:r w:rsidRPr="00B47313">
        <w:rPr>
          <w:i/>
          <w:iCs/>
        </w:rPr>
        <w:t>p</w:t>
      </w:r>
      <w:r w:rsidRPr="00B47313">
        <w:t xml:space="preserve"> = .009. For endorsement of feminine traits, the WDA message (</w:t>
      </w:r>
      <w:r w:rsidRPr="00B47313">
        <w:rPr>
          <w:i/>
          <w:iCs/>
        </w:rPr>
        <w:t>M</w:t>
      </w:r>
      <w:r w:rsidRPr="00B47313">
        <w:t xml:space="preserve"> = 5.99, </w:t>
      </w:r>
      <w:r w:rsidRPr="00B47313">
        <w:rPr>
          <w:i/>
          <w:iCs/>
        </w:rPr>
        <w:t>SD</w:t>
      </w:r>
      <w:r w:rsidRPr="00B47313">
        <w:t xml:space="preserve"> = .86) caused, to a marginal degree, women to be perceived as more feminine relative to men compared to the control condition (</w:t>
      </w:r>
      <w:r w:rsidRPr="00B47313">
        <w:rPr>
          <w:i/>
          <w:iCs/>
        </w:rPr>
        <w:t>M</w:t>
      </w:r>
      <w:r w:rsidRPr="00B47313">
        <w:t xml:space="preserve"> = 5.81, </w:t>
      </w:r>
      <w:r w:rsidRPr="00B47313">
        <w:rPr>
          <w:i/>
          <w:iCs/>
        </w:rPr>
        <w:t>SD</w:t>
      </w:r>
      <w:r w:rsidRPr="00B47313">
        <w:t xml:space="preserve"> = .86), </w:t>
      </w:r>
      <w:proofErr w:type="gramStart"/>
      <w:r w:rsidRPr="00B47313">
        <w:rPr>
          <w:i/>
          <w:iCs/>
        </w:rPr>
        <w:t>t</w:t>
      </w:r>
      <w:r w:rsidRPr="00B47313">
        <w:t>(</w:t>
      </w:r>
      <w:proofErr w:type="gramEnd"/>
      <w:r w:rsidRPr="00B47313">
        <w:t xml:space="preserve">354) = -1.89, </w:t>
      </w:r>
      <w:r w:rsidRPr="00B47313">
        <w:rPr>
          <w:i/>
          <w:iCs/>
        </w:rPr>
        <w:t>p</w:t>
      </w:r>
      <w:r w:rsidRPr="00B47313">
        <w:t xml:space="preserve"> = .06. </w:t>
      </w:r>
      <w:r w:rsidR="00A148F8">
        <w:t xml:space="preserve">See Figure </w:t>
      </w:r>
      <w:r w:rsidR="00884829">
        <w:t>2</w:t>
      </w:r>
      <w:r w:rsidR="00A148F8">
        <w:t xml:space="preserve"> of the Supplemental Online Materials for depiction.</w:t>
      </w:r>
    </w:p>
    <w:p w14:paraId="7E89C3F6" w14:textId="13BD49CB" w:rsidR="0086522A" w:rsidRDefault="004272C1" w:rsidP="00140558">
      <w:pPr>
        <w:spacing w:line="480" w:lineRule="auto"/>
        <w:ind w:firstLine="720"/>
      </w:pPr>
      <w:r>
        <w:rPr>
          <w:b/>
          <w:bCs/>
          <w:i/>
          <w:iCs/>
        </w:rPr>
        <w:t>Explanations for</w:t>
      </w:r>
      <w:r w:rsidRPr="00A809D7">
        <w:rPr>
          <w:b/>
          <w:bCs/>
          <w:i/>
          <w:iCs/>
        </w:rPr>
        <w:t xml:space="preserve"> the gender pay gap</w:t>
      </w:r>
      <w:r w:rsidRPr="00F5728A">
        <w:rPr>
          <w:b/>
          <w:bCs/>
          <w:i/>
          <w:iCs/>
        </w:rPr>
        <w:t>.</w:t>
      </w:r>
      <w:r w:rsidRPr="00D9571F">
        <w:t xml:space="preserve"> </w:t>
      </w:r>
      <w:r w:rsidR="0086522A" w:rsidRPr="00D9571F">
        <w:t xml:space="preserve">We conducted three separate ANOVAs for </w:t>
      </w:r>
      <w:r w:rsidR="001C611E" w:rsidRPr="00D9571F">
        <w:t>choice-based, unfairness-based</w:t>
      </w:r>
      <w:r w:rsidR="005F3458">
        <w:t>, and negotiation-based</w:t>
      </w:r>
      <w:r w:rsidR="0086522A" w:rsidRPr="00D9571F">
        <w:t xml:space="preserve"> explanations for the gender pay gap, including participant gender and experimental condition as between-subject factors. </w:t>
      </w:r>
    </w:p>
    <w:p w14:paraId="062FB480" w14:textId="0EB25364" w:rsidR="0086522A" w:rsidRDefault="0086522A" w:rsidP="00140558">
      <w:pPr>
        <w:spacing w:line="480" w:lineRule="auto"/>
        <w:ind w:firstLine="720"/>
      </w:pPr>
      <w:r w:rsidRPr="00B775CB">
        <w:rPr>
          <w:b/>
          <w:bCs/>
          <w:i/>
        </w:rPr>
        <w:t>Choice-</w:t>
      </w:r>
      <w:r>
        <w:rPr>
          <w:b/>
          <w:bCs/>
          <w:i/>
        </w:rPr>
        <w:t>b</w:t>
      </w:r>
      <w:r w:rsidRPr="00B775CB">
        <w:rPr>
          <w:b/>
          <w:bCs/>
          <w:i/>
        </w:rPr>
        <w:t xml:space="preserve">ased </w:t>
      </w:r>
      <w:r>
        <w:rPr>
          <w:b/>
          <w:bCs/>
          <w:i/>
        </w:rPr>
        <w:t>e</w:t>
      </w:r>
      <w:r w:rsidRPr="00B775CB">
        <w:rPr>
          <w:b/>
          <w:bCs/>
          <w:i/>
        </w:rPr>
        <w:t>xplanations.</w:t>
      </w:r>
      <w:r>
        <w:rPr>
          <w:i/>
        </w:rPr>
        <w:t xml:space="preserve"> </w:t>
      </w:r>
      <w:r>
        <w:t xml:space="preserve">Two effects emerged as significant. First, </w:t>
      </w:r>
      <w:r w:rsidR="00077A06">
        <w:t xml:space="preserve">replicating the previous study, </w:t>
      </w:r>
      <w:r>
        <w:t xml:space="preserve">men </w:t>
      </w:r>
      <w:r w:rsidRPr="00D9571F">
        <w:t>(</w:t>
      </w:r>
      <w:r w:rsidRPr="00D9571F">
        <w:rPr>
          <w:i/>
          <w:iCs/>
        </w:rPr>
        <w:t>M</w:t>
      </w:r>
      <w:r w:rsidRPr="00D9571F">
        <w:t xml:space="preserve"> = 3.</w:t>
      </w:r>
      <w:r w:rsidR="009D4247">
        <w:t>37</w:t>
      </w:r>
      <w:r w:rsidRPr="00D9571F">
        <w:t xml:space="preserve">, </w:t>
      </w:r>
      <w:r w:rsidRPr="00D9571F">
        <w:rPr>
          <w:i/>
          <w:iCs/>
        </w:rPr>
        <w:t>SD</w:t>
      </w:r>
      <w:r w:rsidRPr="00D9571F">
        <w:t xml:space="preserve"> = 1.</w:t>
      </w:r>
      <w:r w:rsidR="009D4247">
        <w:t>47</w:t>
      </w:r>
      <w:r w:rsidRPr="00D9571F">
        <w:t>)</w:t>
      </w:r>
      <w:r>
        <w:t xml:space="preserve"> endorsed choice explanations more than women </w:t>
      </w:r>
      <w:r w:rsidRPr="00D9571F">
        <w:t>(</w:t>
      </w:r>
      <w:r w:rsidRPr="00D9571F">
        <w:rPr>
          <w:i/>
          <w:iCs/>
        </w:rPr>
        <w:t>M</w:t>
      </w:r>
      <w:r w:rsidRPr="00D9571F">
        <w:t xml:space="preserve"> = </w:t>
      </w:r>
      <w:r>
        <w:t>2.</w:t>
      </w:r>
      <w:r w:rsidR="00DD02AD">
        <w:t>78</w:t>
      </w:r>
      <w:r w:rsidRPr="00D9571F">
        <w:t xml:space="preserve">, </w:t>
      </w:r>
      <w:r w:rsidRPr="00D9571F">
        <w:rPr>
          <w:i/>
          <w:iCs/>
        </w:rPr>
        <w:t>SD</w:t>
      </w:r>
      <w:r w:rsidRPr="00D9571F">
        <w:t xml:space="preserve"> = 1.</w:t>
      </w:r>
      <w:r w:rsidR="00DD02AD">
        <w:t>46</w:t>
      </w:r>
      <w:r w:rsidRPr="00D9571F">
        <w:t>)</w:t>
      </w:r>
      <w:r>
        <w:t xml:space="preserve">, </w:t>
      </w:r>
      <w:proofErr w:type="gramStart"/>
      <w:r w:rsidRPr="005E559E">
        <w:rPr>
          <w:i/>
        </w:rPr>
        <w:t>F</w:t>
      </w:r>
      <w:r>
        <w:t>(</w:t>
      </w:r>
      <w:proofErr w:type="gramEnd"/>
      <w:r>
        <w:t>1, 3</w:t>
      </w:r>
      <w:r w:rsidR="00480E54">
        <w:t>52</w:t>
      </w:r>
      <w:r>
        <w:t xml:space="preserve">) = </w:t>
      </w:r>
      <w:r w:rsidR="006953D5">
        <w:t>15.22</w:t>
      </w:r>
      <w:r>
        <w:t xml:space="preserve">, </w:t>
      </w:r>
      <w:r w:rsidRPr="005E559E">
        <w:rPr>
          <w:i/>
        </w:rPr>
        <w:t>p</w:t>
      </w:r>
      <w:r>
        <w:t xml:space="preserve"> </w:t>
      </w:r>
      <w:r w:rsidR="006953D5">
        <w:t>&lt;</w:t>
      </w:r>
      <w:r>
        <w:t xml:space="preserve"> .001, </w:t>
      </w:r>
      <w:r w:rsidRPr="00D9571F">
        <w:rPr>
          <w:i/>
          <w:iCs/>
        </w:rPr>
        <w:t>η</w:t>
      </w:r>
      <w:r w:rsidRPr="00D9571F">
        <w:rPr>
          <w:i/>
          <w:iCs/>
          <w:vertAlign w:val="subscript"/>
        </w:rPr>
        <w:t>p</w:t>
      </w:r>
      <w:r w:rsidRPr="00D9571F">
        <w:rPr>
          <w:vertAlign w:val="superscript"/>
        </w:rPr>
        <w:t xml:space="preserve">2 </w:t>
      </w:r>
      <w:r>
        <w:t>= .0</w:t>
      </w:r>
      <w:r w:rsidR="006953D5">
        <w:t>4</w:t>
      </w:r>
      <w:r w:rsidR="00077A06">
        <w:t xml:space="preserve">. </w:t>
      </w:r>
      <w:r>
        <w:t>Second, p</w:t>
      </w:r>
      <w:r w:rsidRPr="00D9571F">
        <w:t xml:space="preserve">articipants in the </w:t>
      </w:r>
      <w:r>
        <w:t xml:space="preserve">“women don’t ask” </w:t>
      </w:r>
      <w:r w:rsidRPr="00D9571F">
        <w:t>condition (</w:t>
      </w:r>
      <w:r w:rsidRPr="00D9571F">
        <w:rPr>
          <w:i/>
          <w:iCs/>
        </w:rPr>
        <w:t>M</w:t>
      </w:r>
      <w:r w:rsidRPr="00D9571F">
        <w:t xml:space="preserve"> = 3.</w:t>
      </w:r>
      <w:r w:rsidR="00805A6E">
        <w:t>36</w:t>
      </w:r>
      <w:r w:rsidRPr="00D9571F">
        <w:t xml:space="preserve">, </w:t>
      </w:r>
      <w:r w:rsidRPr="00D9571F">
        <w:rPr>
          <w:i/>
          <w:iCs/>
        </w:rPr>
        <w:t>SD</w:t>
      </w:r>
      <w:r w:rsidRPr="00D9571F">
        <w:t xml:space="preserve"> = </w:t>
      </w:r>
      <w:r>
        <w:t>1.4</w:t>
      </w:r>
      <w:r w:rsidR="00805A6E">
        <w:t>3</w:t>
      </w:r>
      <w:r w:rsidRPr="00D9571F">
        <w:t xml:space="preserve">) more strongly endorsed </w:t>
      </w:r>
      <w:r>
        <w:t>choice-based</w:t>
      </w:r>
      <w:r w:rsidRPr="00D9571F">
        <w:t xml:space="preserve"> reasons than participants in the control condition (</w:t>
      </w:r>
      <w:r w:rsidRPr="00D9571F">
        <w:rPr>
          <w:i/>
          <w:iCs/>
        </w:rPr>
        <w:t>M</w:t>
      </w:r>
      <w:r w:rsidRPr="00D9571F">
        <w:t xml:space="preserve"> = </w:t>
      </w:r>
      <w:r w:rsidR="00805A6E">
        <w:t>2.88</w:t>
      </w:r>
      <w:r w:rsidRPr="00D9571F">
        <w:t xml:space="preserve">, </w:t>
      </w:r>
      <w:r w:rsidRPr="00D9571F">
        <w:rPr>
          <w:i/>
          <w:iCs/>
        </w:rPr>
        <w:t>SD</w:t>
      </w:r>
      <w:r w:rsidRPr="00D9571F">
        <w:t xml:space="preserve"> = 1.</w:t>
      </w:r>
      <w:r w:rsidR="00805A6E">
        <w:t>5</w:t>
      </w:r>
      <w:r>
        <w:t>2</w:t>
      </w:r>
      <w:r w:rsidRPr="00D9571F">
        <w:t xml:space="preserve">), </w:t>
      </w:r>
      <w:proofErr w:type="gramStart"/>
      <w:r>
        <w:rPr>
          <w:i/>
          <w:iCs/>
        </w:rPr>
        <w:t>F</w:t>
      </w:r>
      <w:r w:rsidRPr="00D9571F">
        <w:t>(</w:t>
      </w:r>
      <w:proofErr w:type="gramEnd"/>
      <w:r>
        <w:t>1, 3</w:t>
      </w:r>
      <w:r w:rsidR="006953D5">
        <w:t>52</w:t>
      </w:r>
      <w:r w:rsidRPr="00D9571F">
        <w:t xml:space="preserve">) = </w:t>
      </w:r>
      <w:r w:rsidR="006953D5">
        <w:t>10.45</w:t>
      </w:r>
      <w:r w:rsidRPr="00D9571F">
        <w:t xml:space="preserve">, </w:t>
      </w:r>
      <w:r w:rsidRPr="00D9571F">
        <w:rPr>
          <w:i/>
          <w:iCs/>
        </w:rPr>
        <w:t>p</w:t>
      </w:r>
      <w:r w:rsidRPr="00D9571F">
        <w:t xml:space="preserve"> </w:t>
      </w:r>
      <w:r>
        <w:t>=</w:t>
      </w:r>
      <w:r w:rsidRPr="00D9571F">
        <w:t xml:space="preserve"> .0</w:t>
      </w:r>
      <w:r>
        <w:t>0</w:t>
      </w:r>
      <w:r w:rsidR="006953D5">
        <w:t>1</w:t>
      </w:r>
      <w:r w:rsidRPr="00D9571F">
        <w:t>,</w:t>
      </w:r>
      <w:r>
        <w:t xml:space="preserve"> </w:t>
      </w:r>
      <w:r w:rsidRPr="00D9571F">
        <w:rPr>
          <w:i/>
          <w:iCs/>
        </w:rPr>
        <w:t>η</w:t>
      </w:r>
      <w:r w:rsidRPr="00D9571F">
        <w:rPr>
          <w:i/>
          <w:iCs/>
          <w:vertAlign w:val="subscript"/>
        </w:rPr>
        <w:t>p</w:t>
      </w:r>
      <w:r w:rsidRPr="00D9571F">
        <w:rPr>
          <w:vertAlign w:val="superscript"/>
        </w:rPr>
        <w:t xml:space="preserve">2 </w:t>
      </w:r>
      <w:r>
        <w:t>= .0</w:t>
      </w:r>
      <w:r w:rsidR="006953D5">
        <w:t>3</w:t>
      </w:r>
      <w:r w:rsidRPr="00D9571F">
        <w:t xml:space="preserve">. </w:t>
      </w:r>
    </w:p>
    <w:p w14:paraId="3FC4562E" w14:textId="5713F1E3" w:rsidR="0086522A" w:rsidRDefault="0086522A" w:rsidP="0059601B">
      <w:pPr>
        <w:spacing w:line="480" w:lineRule="auto"/>
      </w:pPr>
      <w:r>
        <w:rPr>
          <w:b/>
          <w:bCs/>
          <w:i/>
        </w:rPr>
        <w:tab/>
        <w:t>F</w:t>
      </w:r>
      <w:r w:rsidRPr="00B775CB">
        <w:rPr>
          <w:b/>
          <w:bCs/>
          <w:i/>
        </w:rPr>
        <w:t>airness-</w:t>
      </w:r>
      <w:r>
        <w:rPr>
          <w:b/>
          <w:bCs/>
          <w:i/>
        </w:rPr>
        <w:t>b</w:t>
      </w:r>
      <w:r w:rsidRPr="00B775CB">
        <w:rPr>
          <w:b/>
          <w:bCs/>
          <w:i/>
        </w:rPr>
        <w:t xml:space="preserve">ased </w:t>
      </w:r>
      <w:r>
        <w:rPr>
          <w:b/>
          <w:bCs/>
          <w:i/>
        </w:rPr>
        <w:t>e</w:t>
      </w:r>
      <w:r w:rsidRPr="00B775CB">
        <w:rPr>
          <w:b/>
          <w:bCs/>
          <w:i/>
        </w:rPr>
        <w:t>xplanations.</w:t>
      </w:r>
      <w:r w:rsidRPr="00B775CB">
        <w:rPr>
          <w:i/>
        </w:rPr>
        <w:t xml:space="preserve"> </w:t>
      </w:r>
      <w:r>
        <w:t>Wo</w:t>
      </w:r>
      <w:r w:rsidRPr="00D9571F">
        <w:t>men (</w:t>
      </w:r>
      <w:r w:rsidRPr="00D9571F">
        <w:rPr>
          <w:i/>
          <w:iCs/>
        </w:rPr>
        <w:t>M</w:t>
      </w:r>
      <w:r w:rsidRPr="00D9571F">
        <w:t xml:space="preserve"> = </w:t>
      </w:r>
      <w:r>
        <w:t>4.9</w:t>
      </w:r>
      <w:r w:rsidR="00D73991">
        <w:t>2</w:t>
      </w:r>
      <w:r w:rsidRPr="00D9571F">
        <w:t xml:space="preserve">, </w:t>
      </w:r>
      <w:r w:rsidRPr="00D9571F">
        <w:rPr>
          <w:i/>
          <w:iCs/>
        </w:rPr>
        <w:t>SD</w:t>
      </w:r>
      <w:r w:rsidRPr="00D9571F">
        <w:t xml:space="preserve"> = 1.</w:t>
      </w:r>
      <w:r>
        <w:t>4</w:t>
      </w:r>
      <w:r w:rsidR="00D73991">
        <w:t>5</w:t>
      </w:r>
      <w:r w:rsidRPr="00D9571F">
        <w:t xml:space="preserve">) </w:t>
      </w:r>
      <w:r>
        <w:t xml:space="preserve">endorsed unfairness explanations more than </w:t>
      </w:r>
      <w:r w:rsidRPr="00D9571F">
        <w:t>men did (</w:t>
      </w:r>
      <w:r w:rsidRPr="00D9571F">
        <w:rPr>
          <w:i/>
          <w:iCs/>
        </w:rPr>
        <w:t>M</w:t>
      </w:r>
      <w:r w:rsidRPr="00D9571F">
        <w:t xml:space="preserve"> = </w:t>
      </w:r>
      <w:r>
        <w:t>4.5</w:t>
      </w:r>
      <w:r w:rsidR="00D73991">
        <w:t>4</w:t>
      </w:r>
      <w:r w:rsidRPr="00D9571F">
        <w:t xml:space="preserve">, </w:t>
      </w:r>
      <w:r w:rsidRPr="00D9571F">
        <w:rPr>
          <w:i/>
          <w:iCs/>
        </w:rPr>
        <w:t>SD</w:t>
      </w:r>
      <w:r>
        <w:t xml:space="preserve"> = 1.</w:t>
      </w:r>
      <w:r w:rsidR="00D73991">
        <w:t>41</w:t>
      </w:r>
      <w:r w:rsidRPr="00D9571F">
        <w:t>)</w:t>
      </w:r>
      <w:r>
        <w:t xml:space="preserve">, </w:t>
      </w:r>
      <w:proofErr w:type="gramStart"/>
      <w:r w:rsidRPr="002A1B3B">
        <w:rPr>
          <w:i/>
        </w:rPr>
        <w:t>F</w:t>
      </w:r>
      <w:r>
        <w:t>(</w:t>
      </w:r>
      <w:proofErr w:type="gramEnd"/>
      <w:r>
        <w:t>1, 3</w:t>
      </w:r>
      <w:r w:rsidR="00F960D1">
        <w:t>52</w:t>
      </w:r>
      <w:r>
        <w:t xml:space="preserve">) = </w:t>
      </w:r>
      <w:r w:rsidR="00F960D1">
        <w:t>5.74</w:t>
      </w:r>
      <w:r>
        <w:t xml:space="preserve">, </w:t>
      </w:r>
      <w:r w:rsidRPr="002A1B3B">
        <w:rPr>
          <w:i/>
        </w:rPr>
        <w:t>p</w:t>
      </w:r>
      <w:r>
        <w:t xml:space="preserve"> = .01</w:t>
      </w:r>
      <w:r w:rsidR="00F960D1">
        <w:t>7</w:t>
      </w:r>
      <w:r>
        <w:t xml:space="preserve">, </w:t>
      </w:r>
      <w:r w:rsidRPr="00D9571F">
        <w:rPr>
          <w:i/>
          <w:iCs/>
        </w:rPr>
        <w:t>η</w:t>
      </w:r>
      <w:r w:rsidRPr="00D9571F">
        <w:rPr>
          <w:i/>
          <w:iCs/>
          <w:vertAlign w:val="subscript"/>
        </w:rPr>
        <w:t>p</w:t>
      </w:r>
      <w:r w:rsidRPr="00D9571F">
        <w:rPr>
          <w:vertAlign w:val="superscript"/>
        </w:rPr>
        <w:t xml:space="preserve">2 </w:t>
      </w:r>
      <w:r>
        <w:t>= .02</w:t>
      </w:r>
      <w:r w:rsidRPr="00D9571F">
        <w:t xml:space="preserve">. </w:t>
      </w:r>
      <w:r>
        <w:t>No other effects were significant (</w:t>
      </w:r>
      <w:proofErr w:type="spellStart"/>
      <w:r w:rsidRPr="002A1B3B">
        <w:rPr>
          <w:i/>
        </w:rPr>
        <w:t>p</w:t>
      </w:r>
      <w:r>
        <w:t>s</w:t>
      </w:r>
      <w:proofErr w:type="spellEnd"/>
      <w:r>
        <w:t xml:space="preserve"> &gt; .</w:t>
      </w:r>
      <w:r w:rsidR="004D6CE4">
        <w:t>62</w:t>
      </w:r>
      <w:r>
        <w:t>). Again, this replicated the results of Study 3 and indicates that the</w:t>
      </w:r>
      <w:r w:rsidR="005C342E">
        <w:t xml:space="preserve"> endorsement of the</w:t>
      </w:r>
      <w:r>
        <w:t xml:space="preserve"> “women don’t ask” explanation </w:t>
      </w:r>
      <w:r w:rsidR="005C342E">
        <w:t xml:space="preserve">may </w:t>
      </w:r>
      <w:r w:rsidR="007F706D">
        <w:t xml:space="preserve">operate independent of support for </w:t>
      </w:r>
      <w:r>
        <w:t xml:space="preserve">fairness-based explanations. </w:t>
      </w:r>
    </w:p>
    <w:p w14:paraId="57661879" w14:textId="77777777" w:rsidR="005F3458" w:rsidRDefault="005F3458" w:rsidP="005F3458">
      <w:pPr>
        <w:spacing w:line="480" w:lineRule="auto"/>
        <w:ind w:firstLine="720"/>
        <w:rPr>
          <w:lang w:val="en-GB" w:eastAsia="ko-KR"/>
        </w:rPr>
      </w:pPr>
      <w:r w:rsidRPr="00B775CB">
        <w:rPr>
          <w:b/>
          <w:bCs/>
          <w:i/>
        </w:rPr>
        <w:t>Negotiation-</w:t>
      </w:r>
      <w:r>
        <w:rPr>
          <w:b/>
          <w:bCs/>
          <w:i/>
        </w:rPr>
        <w:t>b</w:t>
      </w:r>
      <w:r w:rsidRPr="00B775CB">
        <w:rPr>
          <w:b/>
          <w:bCs/>
          <w:i/>
        </w:rPr>
        <w:t xml:space="preserve">ased </w:t>
      </w:r>
      <w:r>
        <w:rPr>
          <w:b/>
          <w:bCs/>
          <w:i/>
        </w:rPr>
        <w:t>e</w:t>
      </w:r>
      <w:r w:rsidRPr="00B775CB">
        <w:rPr>
          <w:b/>
          <w:bCs/>
          <w:i/>
        </w:rPr>
        <w:t>xplanations.</w:t>
      </w:r>
      <w:r>
        <w:rPr>
          <w:i/>
        </w:rPr>
        <w:t xml:space="preserve"> </w:t>
      </w:r>
      <w:r>
        <w:t>Two significant effects emerged. First, participants in the “women don’t ask” condition (</w:t>
      </w:r>
      <w:r w:rsidRPr="00D9571F">
        <w:rPr>
          <w:i/>
          <w:iCs/>
        </w:rPr>
        <w:t>M</w:t>
      </w:r>
      <w:r w:rsidRPr="00D9571F">
        <w:t xml:space="preserve"> = </w:t>
      </w:r>
      <w:r>
        <w:t>4.76</w:t>
      </w:r>
      <w:r w:rsidRPr="00D9571F">
        <w:t xml:space="preserve">, </w:t>
      </w:r>
      <w:r w:rsidRPr="00D9571F">
        <w:rPr>
          <w:i/>
          <w:iCs/>
        </w:rPr>
        <w:t>SD</w:t>
      </w:r>
      <w:r w:rsidRPr="00D9571F">
        <w:t xml:space="preserve"> = 1.</w:t>
      </w:r>
      <w:r>
        <w:t xml:space="preserve">30) more strongly endorsed negotiation-based explanations than participants in the control condition </w:t>
      </w:r>
      <w:r w:rsidRPr="00D9571F">
        <w:t>(</w:t>
      </w:r>
      <w:r w:rsidRPr="00D9571F">
        <w:rPr>
          <w:i/>
          <w:iCs/>
        </w:rPr>
        <w:t>M</w:t>
      </w:r>
      <w:r w:rsidRPr="00D9571F">
        <w:t xml:space="preserve"> = </w:t>
      </w:r>
      <w:r>
        <w:t>3.60</w:t>
      </w:r>
      <w:r w:rsidRPr="00D9571F">
        <w:t xml:space="preserve">, </w:t>
      </w:r>
      <w:r w:rsidRPr="00D9571F">
        <w:rPr>
          <w:i/>
          <w:iCs/>
        </w:rPr>
        <w:t>SD</w:t>
      </w:r>
      <w:r w:rsidRPr="00D9571F">
        <w:t xml:space="preserve"> = 1.</w:t>
      </w:r>
      <w:r>
        <w:t>68</w:t>
      </w:r>
      <w:r w:rsidRPr="00D9571F">
        <w:t xml:space="preserve">), </w:t>
      </w:r>
      <w:proofErr w:type="gramStart"/>
      <w:r w:rsidRPr="00D9571F">
        <w:rPr>
          <w:i/>
          <w:iCs/>
        </w:rPr>
        <w:t>F</w:t>
      </w:r>
      <w:r w:rsidRPr="00D9571F">
        <w:t>(</w:t>
      </w:r>
      <w:proofErr w:type="gramEnd"/>
      <w:r w:rsidRPr="00D9571F">
        <w:t>1,</w:t>
      </w:r>
      <w:r>
        <w:t xml:space="preserve"> </w:t>
      </w:r>
      <w:r w:rsidRPr="00D9571F">
        <w:t>3</w:t>
      </w:r>
      <w:r>
        <w:t>52</w:t>
      </w:r>
      <w:r w:rsidRPr="00D9571F">
        <w:t xml:space="preserve">) = </w:t>
      </w:r>
      <w:r>
        <w:t>58.48</w:t>
      </w:r>
      <w:r w:rsidRPr="00D9571F">
        <w:t xml:space="preserve">, </w:t>
      </w:r>
      <w:r w:rsidRPr="00D9571F">
        <w:rPr>
          <w:i/>
          <w:iCs/>
        </w:rPr>
        <w:t>p</w:t>
      </w:r>
      <w:r w:rsidRPr="00D9571F">
        <w:t xml:space="preserve"> &lt; .001</w:t>
      </w:r>
      <w:r>
        <w:t xml:space="preserve">, </w:t>
      </w:r>
      <w:r w:rsidRPr="00D9571F">
        <w:rPr>
          <w:i/>
          <w:iCs/>
        </w:rPr>
        <w:t>η</w:t>
      </w:r>
      <w:r w:rsidRPr="00D9571F">
        <w:rPr>
          <w:i/>
          <w:iCs/>
          <w:vertAlign w:val="subscript"/>
        </w:rPr>
        <w:t>p</w:t>
      </w:r>
      <w:r w:rsidRPr="00D9571F">
        <w:rPr>
          <w:vertAlign w:val="superscript"/>
        </w:rPr>
        <w:t xml:space="preserve">2 </w:t>
      </w:r>
      <w:r>
        <w:t xml:space="preserve">= .14. This main effect was qualified by an interaction with participant gender, </w:t>
      </w:r>
      <w:proofErr w:type="gramStart"/>
      <w:r w:rsidRPr="00D9571F">
        <w:rPr>
          <w:i/>
          <w:iCs/>
        </w:rPr>
        <w:t>F</w:t>
      </w:r>
      <w:r w:rsidRPr="00D9571F">
        <w:t>(</w:t>
      </w:r>
      <w:proofErr w:type="gramEnd"/>
      <w:r w:rsidRPr="00D9571F">
        <w:t>1,</w:t>
      </w:r>
      <w:r>
        <w:t xml:space="preserve"> </w:t>
      </w:r>
      <w:r w:rsidRPr="00D9571F">
        <w:t>3</w:t>
      </w:r>
      <w:r>
        <w:t>52</w:t>
      </w:r>
      <w:r w:rsidRPr="00D9571F">
        <w:t xml:space="preserve">) = </w:t>
      </w:r>
      <w:r>
        <w:t>5.69</w:t>
      </w:r>
      <w:r w:rsidRPr="00D9571F">
        <w:t xml:space="preserve">, </w:t>
      </w:r>
      <w:r w:rsidRPr="00D9571F">
        <w:rPr>
          <w:i/>
          <w:iCs/>
        </w:rPr>
        <w:t>p</w:t>
      </w:r>
      <w:r>
        <w:t xml:space="preserve"> = .018, </w:t>
      </w:r>
      <w:r w:rsidRPr="00D9571F">
        <w:rPr>
          <w:i/>
          <w:iCs/>
        </w:rPr>
        <w:t>η</w:t>
      </w:r>
      <w:r w:rsidRPr="00D9571F">
        <w:rPr>
          <w:i/>
          <w:iCs/>
          <w:vertAlign w:val="subscript"/>
        </w:rPr>
        <w:t>p</w:t>
      </w:r>
      <w:r w:rsidRPr="00D9571F">
        <w:rPr>
          <w:vertAlign w:val="superscript"/>
        </w:rPr>
        <w:t xml:space="preserve">2 </w:t>
      </w:r>
      <w:r>
        <w:t xml:space="preserve">= .02. </w:t>
      </w:r>
    </w:p>
    <w:p w14:paraId="33337040" w14:textId="45492EAE" w:rsidR="005F3458" w:rsidRPr="005F3458" w:rsidRDefault="005F3458" w:rsidP="005F3458">
      <w:pPr>
        <w:spacing w:line="480" w:lineRule="auto"/>
        <w:ind w:firstLine="720"/>
        <w:rPr>
          <w:lang w:val="en-GB" w:eastAsia="ko-KR"/>
        </w:rPr>
      </w:pPr>
      <w:r w:rsidRPr="005C2969">
        <w:lastRenderedPageBreak/>
        <w:t>Simple effects analyses revealed a significant effect of the “women don’t ask” message in shifting the beliefs of both men and women (</w:t>
      </w:r>
      <w:proofErr w:type="spellStart"/>
      <w:r w:rsidRPr="005C2969">
        <w:rPr>
          <w:i/>
          <w:iCs/>
        </w:rPr>
        <w:t>p</w:t>
      </w:r>
      <w:r w:rsidRPr="005C2969">
        <w:t>s</w:t>
      </w:r>
      <w:proofErr w:type="spellEnd"/>
      <w:r w:rsidRPr="005C2969">
        <w:t xml:space="preserve"> &lt; .001). In the control condition, men (</w:t>
      </w:r>
      <w:r w:rsidRPr="005C2969">
        <w:rPr>
          <w:i/>
          <w:iCs/>
        </w:rPr>
        <w:t>M</w:t>
      </w:r>
      <w:r w:rsidRPr="005C2969">
        <w:t xml:space="preserve"> = 3.76, </w:t>
      </w:r>
      <w:r w:rsidRPr="005C2969">
        <w:rPr>
          <w:i/>
          <w:iCs/>
        </w:rPr>
        <w:t>SD</w:t>
      </w:r>
      <w:r w:rsidRPr="005C2969">
        <w:t xml:space="preserve"> = 1.62) more strongly endorsed negotiation-based explanations than women did (</w:t>
      </w:r>
      <w:r w:rsidRPr="005C2969">
        <w:rPr>
          <w:i/>
          <w:iCs/>
        </w:rPr>
        <w:t>M</w:t>
      </w:r>
      <w:r w:rsidRPr="005C2969">
        <w:t xml:space="preserve"> = 3.37, </w:t>
      </w:r>
      <w:r w:rsidRPr="005C2969">
        <w:rPr>
          <w:i/>
          <w:iCs/>
        </w:rPr>
        <w:t>SD</w:t>
      </w:r>
      <w:r w:rsidRPr="005C2969">
        <w:t xml:space="preserve"> = 1.75) to a </w:t>
      </w:r>
      <w:r w:rsidR="006837B0">
        <w:t>marginally significant</w:t>
      </w:r>
      <w:r w:rsidRPr="005C2969">
        <w:t xml:space="preserve"> degree, </w:t>
      </w:r>
      <w:proofErr w:type="gramStart"/>
      <w:r w:rsidRPr="005C2969">
        <w:rPr>
          <w:i/>
        </w:rPr>
        <w:t>t</w:t>
      </w:r>
      <w:r w:rsidRPr="005C2969">
        <w:t>(</w:t>
      </w:r>
      <w:proofErr w:type="gramEnd"/>
      <w:r w:rsidRPr="005C2969">
        <w:t xml:space="preserve">352) = 1.69, </w:t>
      </w:r>
      <w:r w:rsidRPr="005C2969">
        <w:rPr>
          <w:i/>
        </w:rPr>
        <w:t>p</w:t>
      </w:r>
      <w:r w:rsidRPr="005C2969">
        <w:t xml:space="preserve"> = .093. After exposure to the “women don’t ask” message, a </w:t>
      </w:r>
      <w:r w:rsidR="006837B0">
        <w:t>marginally significant</w:t>
      </w:r>
      <w:r w:rsidRPr="005C2969">
        <w:t xml:space="preserve"> trend emerged whereby women (</w:t>
      </w:r>
      <w:r w:rsidRPr="005C2969">
        <w:rPr>
          <w:i/>
          <w:iCs/>
        </w:rPr>
        <w:t>M</w:t>
      </w:r>
      <w:r w:rsidRPr="005C2969">
        <w:t xml:space="preserve"> = 4.97, </w:t>
      </w:r>
      <w:r w:rsidRPr="005C2969">
        <w:rPr>
          <w:i/>
          <w:iCs/>
        </w:rPr>
        <w:t>SD</w:t>
      </w:r>
      <w:r w:rsidRPr="005C2969">
        <w:t xml:space="preserve"> = 1.20) </w:t>
      </w:r>
      <w:r w:rsidR="00077A06">
        <w:t>more strongly</w:t>
      </w:r>
      <w:r w:rsidRPr="005C2969">
        <w:t xml:space="preserve"> endorse</w:t>
      </w:r>
      <w:r w:rsidR="00077A06">
        <w:t>d</w:t>
      </w:r>
      <w:r w:rsidRPr="005C2969">
        <w:t xml:space="preserve"> negotiation-based explanations than men (</w:t>
      </w:r>
      <w:r w:rsidRPr="005C2969">
        <w:rPr>
          <w:i/>
          <w:iCs/>
        </w:rPr>
        <w:t>M</w:t>
      </w:r>
      <w:r w:rsidRPr="005C2969">
        <w:t xml:space="preserve"> = 4.60, </w:t>
      </w:r>
      <w:r w:rsidRPr="005C2969">
        <w:rPr>
          <w:i/>
          <w:iCs/>
        </w:rPr>
        <w:t>SD</w:t>
      </w:r>
      <w:r w:rsidRPr="005C2969">
        <w:t xml:space="preserve"> = 1.34), </w:t>
      </w:r>
      <w:proofErr w:type="gramStart"/>
      <w:r w:rsidRPr="005C2969">
        <w:rPr>
          <w:i/>
        </w:rPr>
        <w:t>t</w:t>
      </w:r>
      <w:r w:rsidRPr="005C2969">
        <w:t>(</w:t>
      </w:r>
      <w:proofErr w:type="gramEnd"/>
      <w:r w:rsidRPr="005C2969">
        <w:t xml:space="preserve">352) = -1.69, </w:t>
      </w:r>
      <w:r w:rsidRPr="005C2969">
        <w:rPr>
          <w:i/>
        </w:rPr>
        <w:t>p</w:t>
      </w:r>
      <w:r w:rsidRPr="005C2969">
        <w:t xml:space="preserve"> = .092. </w:t>
      </w:r>
      <w:r w:rsidRPr="0095698F">
        <w:t xml:space="preserve">The “women don’t ask” message led both men and women to endorse </w:t>
      </w:r>
      <w:r w:rsidR="00077A06">
        <w:t>a potentially</w:t>
      </w:r>
      <w:r w:rsidR="00077A06" w:rsidRPr="0095698F">
        <w:t xml:space="preserve"> </w:t>
      </w:r>
      <w:r w:rsidR="00506550">
        <w:t>outdated belief</w:t>
      </w:r>
      <w:r w:rsidRPr="0095698F">
        <w:t xml:space="preserve"> about the gender pay gap significantly more than they </w:t>
      </w:r>
      <w:r>
        <w:t>endorsed it</w:t>
      </w:r>
      <w:r w:rsidRPr="0095698F">
        <w:t xml:space="preserve"> under baseline conditions.</w:t>
      </w:r>
    </w:p>
    <w:p w14:paraId="6A2B00AB" w14:textId="77777777" w:rsidR="0086522A" w:rsidRPr="00D9571F" w:rsidRDefault="0086522A" w:rsidP="00140558">
      <w:pPr>
        <w:pStyle w:val="Heading2"/>
      </w:pPr>
      <w:r w:rsidRPr="00D9571F">
        <w:t>Discussion</w:t>
      </w:r>
    </w:p>
    <w:p w14:paraId="0EC597C9" w14:textId="4B85CAE7" w:rsidR="0086522A" w:rsidRPr="00D9571F" w:rsidRDefault="0086522A" w:rsidP="00140558">
      <w:pPr>
        <w:spacing w:line="480" w:lineRule="auto"/>
      </w:pPr>
      <w:r w:rsidRPr="00D9571F">
        <w:tab/>
      </w:r>
      <w:r>
        <w:t>In this study, exposure to a passage from a book</w:t>
      </w:r>
      <w:r w:rsidR="00077A06">
        <w:t xml:space="preserve"> </w:t>
      </w:r>
      <w:r>
        <w:t xml:space="preserve">designed to promote gender equality </w:t>
      </w:r>
      <w:r w:rsidR="0091719B">
        <w:t xml:space="preserve">instead </w:t>
      </w:r>
      <w:r>
        <w:t xml:space="preserve">prompted greater endorsement of gender stereotypes, relative to a control condition. </w:t>
      </w:r>
      <w:r w:rsidR="00B47313">
        <w:t xml:space="preserve">This strengthening of gender stereotypes was particularly strong for masculine attributes, which makes sense </w:t>
      </w:r>
      <w:r w:rsidR="00B47313" w:rsidRPr="00B47313">
        <w:t>given negotiations are a masculine-stereotyped task</w:t>
      </w:r>
      <w:r w:rsidR="00B47313">
        <w:t xml:space="preserve"> (</w:t>
      </w:r>
      <w:r w:rsidR="005C2969">
        <w:t>Kray &amp; Thompson, 2004</w:t>
      </w:r>
      <w:r w:rsidR="00B47313">
        <w:t>)</w:t>
      </w:r>
      <w:r w:rsidR="00B47313" w:rsidRPr="00B47313">
        <w:t>.</w:t>
      </w:r>
      <w:r w:rsidR="00B47313">
        <w:t xml:space="preserve"> </w:t>
      </w:r>
      <w:r>
        <w:t xml:space="preserve">Gender stereotypes play an important role in justifying existing social arrangements, including inequalities between men and women (Jost &amp; Kay, 2005). </w:t>
      </w:r>
      <w:r w:rsidR="00077A06">
        <w:t>Perhaps more surprisingly</w:t>
      </w:r>
      <w:r>
        <w:t xml:space="preserve">, </w:t>
      </w:r>
      <w:r w:rsidR="00077A06">
        <w:t xml:space="preserve">exposure to the </w:t>
      </w:r>
      <w:r>
        <w:t xml:space="preserve">“women don’t ask” </w:t>
      </w:r>
      <w:r w:rsidR="00077A06">
        <w:t xml:space="preserve">message </w:t>
      </w:r>
      <w:r>
        <w:t>promote</w:t>
      </w:r>
      <w:r w:rsidR="00077A06">
        <w:t>d</w:t>
      </w:r>
      <w:r>
        <w:t xml:space="preserve"> </w:t>
      </w:r>
      <w:r w:rsidR="00077A06">
        <w:t xml:space="preserve">greater </w:t>
      </w:r>
      <w:r>
        <w:t>endorsement of choice-based explanations for the gender pay gap</w:t>
      </w:r>
      <w:r w:rsidR="00077A06">
        <w:t>, suggesting it is part of a broader set of system-justifying beliefs</w:t>
      </w:r>
      <w:r>
        <w:t xml:space="preserve">. </w:t>
      </w:r>
    </w:p>
    <w:p w14:paraId="4D5CB091" w14:textId="77777777" w:rsidR="0086522A" w:rsidRDefault="0086522A" w:rsidP="00140558">
      <w:pPr>
        <w:pStyle w:val="Heading1"/>
      </w:pPr>
      <w:r w:rsidRPr="00D9571F">
        <w:t>GENERAL DISCUSSION</w:t>
      </w:r>
    </w:p>
    <w:p w14:paraId="77EE8D81" w14:textId="14810288" w:rsidR="0086522A" w:rsidRPr="00993733" w:rsidRDefault="00766CF3" w:rsidP="00140558">
      <w:pPr>
        <w:spacing w:line="480" w:lineRule="auto"/>
        <w:ind w:firstLine="720"/>
      </w:pPr>
      <w:r>
        <w:t>We investigate whether</w:t>
      </w:r>
      <w:r w:rsidR="00E85273">
        <w:t xml:space="preserve"> </w:t>
      </w:r>
      <w:r>
        <w:t>it</w:t>
      </w:r>
      <w:r w:rsidR="00E477C5">
        <w:t xml:space="preserve"> i</w:t>
      </w:r>
      <w:r>
        <w:t>s</w:t>
      </w:r>
      <w:r w:rsidR="006163CE">
        <w:t xml:space="preserve"> currently</w:t>
      </w:r>
      <w:r>
        <w:t xml:space="preserve"> t</w:t>
      </w:r>
      <w:r w:rsidR="006163CE">
        <w:t>he case</w:t>
      </w:r>
      <w:r>
        <w:t xml:space="preserve"> that</w:t>
      </w:r>
      <w:r w:rsidR="00E85273">
        <w:t>, among working professionals,</w:t>
      </w:r>
      <w:r w:rsidR="006163CE">
        <w:t xml:space="preserve"> women are less prone to negotiate salary than men. We</w:t>
      </w:r>
      <w:r w:rsidR="00E477C5">
        <w:t xml:space="preserve"> find </w:t>
      </w:r>
      <w:r w:rsidR="00CF403C">
        <w:t>that women do ask, as much as if not more than men</w:t>
      </w:r>
      <w:r w:rsidR="00E477C5">
        <w:t xml:space="preserve">. </w:t>
      </w:r>
      <w:r w:rsidR="0086522A">
        <w:t xml:space="preserve">While the literature </w:t>
      </w:r>
      <w:r w:rsidR="004F6C2F">
        <w:t>offers</w:t>
      </w:r>
      <w:r w:rsidR="0086522A">
        <w:t xml:space="preserve"> conflicting evidence that either women h</w:t>
      </w:r>
      <w:r w:rsidR="000976F9">
        <w:t>istorically had</w:t>
      </w:r>
      <w:r w:rsidR="0086522A">
        <w:t xml:space="preserve"> a lower propensity to negotiate </w:t>
      </w:r>
      <w:r w:rsidR="004F6C2F">
        <w:t>than</w:t>
      </w:r>
      <w:r w:rsidR="0086522A">
        <w:t xml:space="preserve"> men or no gender difference </w:t>
      </w:r>
      <w:r w:rsidR="000976F9">
        <w:t>existed</w:t>
      </w:r>
      <w:r w:rsidR="004F6C2F">
        <w:t>,</w:t>
      </w:r>
      <w:r w:rsidR="0086522A">
        <w:t xml:space="preserve"> </w:t>
      </w:r>
      <w:r w:rsidR="004F6C2F">
        <w:t xml:space="preserve">we find </w:t>
      </w:r>
      <w:r w:rsidR="000976F9">
        <w:t xml:space="preserve">with recent data </w:t>
      </w:r>
      <w:r w:rsidR="0086522A">
        <w:lastRenderedPageBreak/>
        <w:t>that women negotiate</w:t>
      </w:r>
      <w:r w:rsidR="002D6FCA">
        <w:t xml:space="preserve"> for </w:t>
      </w:r>
      <w:r w:rsidR="0091719B">
        <w:t xml:space="preserve">a </w:t>
      </w:r>
      <w:r w:rsidR="002D6FCA">
        <w:t>higher salary</w:t>
      </w:r>
      <w:r w:rsidR="0086522A">
        <w:t xml:space="preserve"> </w:t>
      </w:r>
      <w:r w:rsidR="0086522A">
        <w:rPr>
          <w:i/>
          <w:iCs/>
        </w:rPr>
        <w:t>more</w:t>
      </w:r>
      <w:r w:rsidR="0086522A">
        <w:t xml:space="preserve">, </w:t>
      </w:r>
      <w:r w:rsidR="004C3F86">
        <w:t>not</w:t>
      </w:r>
      <w:r w:rsidR="0086522A">
        <w:t xml:space="preserve"> </w:t>
      </w:r>
      <w:r w:rsidR="0086522A" w:rsidRPr="004C3F86">
        <w:t>less</w:t>
      </w:r>
      <w:r w:rsidR="0086522A">
        <w:t xml:space="preserve">, </w:t>
      </w:r>
      <w:r w:rsidR="007218B1">
        <w:t xml:space="preserve">often </w:t>
      </w:r>
      <w:r w:rsidR="0086522A">
        <w:t>than men. We know of no theory to date that can account for this discovery</w:t>
      </w:r>
      <w:r w:rsidR="004B3DC6">
        <w:t>, although prior research has documented heterogeneity in negotiation propensity by gender (Kugler et al., 2018)</w:t>
      </w:r>
      <w:r w:rsidR="0086522A">
        <w:t xml:space="preserve">. </w:t>
      </w:r>
      <w:r w:rsidR="008A79F5">
        <w:t xml:space="preserve">Our research highlights the importance of focusing on comparable dependent variables when studying gender differences in negotiation propensity and outcomes. The findings of Kugler et al. (2018) are important given they reveal </w:t>
      </w:r>
      <w:r w:rsidR="00964672">
        <w:t xml:space="preserve">aggregated </w:t>
      </w:r>
      <w:r w:rsidR="008A79F5">
        <w:t xml:space="preserve">patterns from </w:t>
      </w:r>
      <w:r w:rsidR="000A6701">
        <w:t>a diverse set of</w:t>
      </w:r>
      <w:r w:rsidR="008A79F5">
        <w:t xml:space="preserve"> studies, but the general conclusion of this</w:t>
      </w:r>
      <w:r w:rsidR="00CF403C">
        <w:t xml:space="preserve"> recent</w:t>
      </w:r>
      <w:r w:rsidR="008A79F5">
        <w:t xml:space="preserve"> meta-analysis</w:t>
      </w:r>
      <w:r w:rsidR="00E85273">
        <w:t xml:space="preserve">—that women have a lower </w:t>
      </w:r>
      <w:r w:rsidR="004A791B">
        <w:t>negotiation propensity</w:t>
      </w:r>
      <w:r w:rsidR="00E85273">
        <w:t xml:space="preserve"> than men—</w:t>
      </w:r>
      <w:r w:rsidR="008A79F5">
        <w:t>changes when only comparable dependent variables</w:t>
      </w:r>
      <w:r w:rsidR="000A6701">
        <w:t xml:space="preserve"> pertaining to salary negotiations</w:t>
      </w:r>
      <w:r w:rsidR="008A79F5">
        <w:t xml:space="preserve"> are studied. </w:t>
      </w:r>
      <w:r w:rsidR="0086522A">
        <w:t xml:space="preserve">While some recent research has shown a pay premium for high-potential women (Leslie et al., 2017), </w:t>
      </w:r>
      <w:r w:rsidR="00D66667">
        <w:t xml:space="preserve">our data show </w:t>
      </w:r>
      <w:r w:rsidR="0086522A">
        <w:t xml:space="preserve">women were paid significantly </w:t>
      </w:r>
      <w:r w:rsidR="0086522A" w:rsidRPr="00357B94">
        <w:rPr>
          <w:i/>
          <w:iCs/>
        </w:rPr>
        <w:t>less</w:t>
      </w:r>
      <w:r w:rsidR="0086522A">
        <w:t>, not more, than men</w:t>
      </w:r>
      <w:r w:rsidR="00D66667">
        <w:t>, despite their attempts to negotiate</w:t>
      </w:r>
      <w:r w:rsidR="0086522A">
        <w:t xml:space="preserve">. Therefore, the pay gap in this population disfavoring women </w:t>
      </w:r>
      <w:r w:rsidR="009F1772">
        <w:t xml:space="preserve">cannot logically be </w:t>
      </w:r>
      <w:r w:rsidR="0086522A">
        <w:t>due to women not asking.</w:t>
      </w:r>
    </w:p>
    <w:p w14:paraId="15B77E1C" w14:textId="598CF40F" w:rsidR="0086522A" w:rsidRDefault="00E85273" w:rsidP="00140558">
      <w:pPr>
        <w:spacing w:line="480" w:lineRule="auto"/>
        <w:ind w:firstLine="720"/>
      </w:pPr>
      <w:r>
        <w:t>In contrast to the current</w:t>
      </w:r>
      <w:r w:rsidR="0086522A">
        <w:t xml:space="preserve"> empirical evidence</w:t>
      </w:r>
      <w:r w:rsidR="00FC047E">
        <w:t xml:space="preserve"> that women do ask</w:t>
      </w:r>
      <w:r w:rsidR="0086522A">
        <w:t xml:space="preserve">, the belief that women </w:t>
      </w:r>
      <w:r w:rsidR="000A6701">
        <w:t>are relatively low in the propensity to negotiate</w:t>
      </w:r>
      <w:r w:rsidR="0086522A">
        <w:t xml:space="preserve"> continues to be held by lay people. Study 1 </w:t>
      </w:r>
      <w:r w:rsidR="001759A6">
        <w:t xml:space="preserve">explored lay beliefs </w:t>
      </w:r>
      <w:r w:rsidR="0086522A">
        <w:t xml:space="preserve">about MBA students’ negotiating </w:t>
      </w:r>
      <w:r w:rsidR="001F5F24">
        <w:t xml:space="preserve">propensities </w:t>
      </w:r>
      <w:r w:rsidR="0086522A">
        <w:t>and Studies 2A and 2B</w:t>
      </w:r>
      <w:r w:rsidR="001F5F24">
        <w:t xml:space="preserve"> </w:t>
      </w:r>
      <w:r w:rsidR="00736FB9">
        <w:t>explored the</w:t>
      </w:r>
      <w:r w:rsidR="001F5F24">
        <w:t xml:space="preserve"> negotiation behavior of MBA men and women </w:t>
      </w:r>
      <w:r w:rsidR="00736FB9">
        <w:t>using field data</w:t>
      </w:r>
      <w:r w:rsidR="0086522A">
        <w:t xml:space="preserve">. </w:t>
      </w:r>
      <w:r w:rsidR="009C3FC2">
        <w:t xml:space="preserve">Whereas </w:t>
      </w:r>
      <w:r w:rsidR="00FC047E">
        <w:t xml:space="preserve">a </w:t>
      </w:r>
      <w:proofErr w:type="gramStart"/>
      <w:r w:rsidR="00FC047E">
        <w:t>nationally-representative</w:t>
      </w:r>
      <w:proofErr w:type="gramEnd"/>
      <w:r w:rsidR="00FC047E">
        <w:t xml:space="preserve"> sample</w:t>
      </w:r>
      <w:r w:rsidR="0086522A">
        <w:t xml:space="preserve"> predicted that, among an elite MBA population, women would be less likely to negotiate their job offers than men, this is not what we found among MBA graduates.</w:t>
      </w:r>
      <w:r w:rsidR="005977B5">
        <w:t xml:space="preserve"> In fact, when we meta-analyze an array of studies </w:t>
      </w:r>
      <w:r w:rsidR="002D6FCA">
        <w:t>gathered across multiple decades that measured</w:t>
      </w:r>
      <w:r w:rsidR="005977B5">
        <w:t xml:space="preserve"> gender differences in salary negotiation propensity (Study 2C), we find </w:t>
      </w:r>
      <w:r w:rsidR="00FC047E">
        <w:t xml:space="preserve">some evidence </w:t>
      </w:r>
      <w:r w:rsidR="002C19E5">
        <w:t xml:space="preserve">in support </w:t>
      </w:r>
      <w:r w:rsidR="00FC047E">
        <w:t xml:space="preserve">of </w:t>
      </w:r>
      <w:r w:rsidR="005977B5">
        <w:t xml:space="preserve">our discovery in those </w:t>
      </w:r>
      <w:r w:rsidR="00FC047E">
        <w:t xml:space="preserve">earlier </w:t>
      </w:r>
      <w:r w:rsidR="005977B5">
        <w:t>data as well. Time matter</w:t>
      </w:r>
      <w:r w:rsidR="006E6B65">
        <w:t>s</w:t>
      </w:r>
      <w:r w:rsidR="005977B5">
        <w:t xml:space="preserve"> for the direction of the gender difference</w:t>
      </w:r>
      <w:r w:rsidR="00AB0B3C">
        <w:t>, with an increasing propensity to negotiate salary over time that is greater for women than it is for men.</w:t>
      </w:r>
      <w:r w:rsidR="005977B5">
        <w:t xml:space="preserve"> </w:t>
      </w:r>
      <w:r w:rsidR="00AB0B3C">
        <w:t>As a result of these changes over time, it appears that, w</w:t>
      </w:r>
      <w:r w:rsidR="005977B5">
        <w:t xml:space="preserve">hile </w:t>
      </w:r>
      <w:r w:rsidR="005977B5">
        <w:lastRenderedPageBreak/>
        <w:t xml:space="preserve">women </w:t>
      </w:r>
      <w:r w:rsidR="00FC047E">
        <w:t xml:space="preserve">may have </w:t>
      </w:r>
      <w:r w:rsidR="005977B5">
        <w:t xml:space="preserve">negotiated their salaries less often than men </w:t>
      </w:r>
      <w:r w:rsidR="0091719B">
        <w:t>before</w:t>
      </w:r>
      <w:r w:rsidR="005977B5">
        <w:t xml:space="preserve"> the </w:t>
      </w:r>
      <w:r w:rsidR="006F6152">
        <w:t>21st</w:t>
      </w:r>
      <w:r w:rsidR="005977B5">
        <w:t xml:space="preserve"> century, they now </w:t>
      </w:r>
      <w:r w:rsidR="00FC047E">
        <w:t xml:space="preserve">appear to </w:t>
      </w:r>
      <w:r w:rsidR="005977B5">
        <w:t>do so more often than men.</w:t>
      </w:r>
    </w:p>
    <w:p w14:paraId="3B6DAF8B" w14:textId="68CF54B2" w:rsidR="0086522A" w:rsidRDefault="0086522A" w:rsidP="00140558">
      <w:pPr>
        <w:spacing w:line="480" w:lineRule="auto"/>
        <w:ind w:firstLine="720"/>
      </w:pPr>
      <w:r>
        <w:t xml:space="preserve">We suggested that </w:t>
      </w:r>
      <w:r w:rsidR="00AB0B3C">
        <w:t>holding the belief that women are relatively low in the</w:t>
      </w:r>
      <w:r w:rsidR="00730200">
        <w:t xml:space="preserve"> propensity to negotiate</w:t>
      </w:r>
      <w:r>
        <w:t xml:space="preserve"> </w:t>
      </w:r>
      <w:r w:rsidR="002D6FCA">
        <w:t xml:space="preserve">may be </w:t>
      </w:r>
      <w:r>
        <w:t xml:space="preserve">useful in rationalizing the status quo. Following </w:t>
      </w:r>
      <w:r>
        <w:rPr>
          <w:noProof/>
        </w:rPr>
        <w:t>Jost (1995)</w:t>
      </w:r>
      <w:r>
        <w:t xml:space="preserve">’s two criteria of false consciousness, we found that beliefs regarding women’s </w:t>
      </w:r>
      <w:r w:rsidR="00730200">
        <w:t>low</w:t>
      </w:r>
      <w:r>
        <w:t xml:space="preserve"> negotiation propensity contradict </w:t>
      </w:r>
      <w:r w:rsidR="00BA5A00">
        <w:t>current</w:t>
      </w:r>
      <w:r w:rsidR="00E1317F">
        <w:t xml:space="preserve"> evidence and</w:t>
      </w:r>
      <w:r w:rsidR="004B4814">
        <w:t xml:space="preserve"> </w:t>
      </w:r>
      <w:r>
        <w:t>yet members of the disadvantaged group</w:t>
      </w:r>
      <w:r w:rsidR="002C19E5">
        <w:t xml:space="preserve"> (i.e., women)</w:t>
      </w:r>
      <w:r>
        <w:t xml:space="preserve"> </w:t>
      </w:r>
      <w:r w:rsidR="002C19E5">
        <w:t xml:space="preserve">hold </w:t>
      </w:r>
      <w:r>
        <w:t xml:space="preserve">the belief, despite its incompatibility with their interests. Although women and men differ in their endorsement of choice- and fairness-based explanations for the gender pay gap, they </w:t>
      </w:r>
      <w:r w:rsidR="003043A0">
        <w:t>endorse</w:t>
      </w:r>
      <w:r w:rsidR="0091719B">
        <w:t xml:space="preserve"> </w:t>
      </w:r>
      <w:r>
        <w:t xml:space="preserve">negotiation-based explanations </w:t>
      </w:r>
      <w:r w:rsidR="003043A0">
        <w:t>similarly</w:t>
      </w:r>
      <w:r>
        <w:t>. Furthermore, these beliefs were associated with less support for salary history bans, a</w:t>
      </w:r>
      <w:r w:rsidR="00E1317F">
        <w:t xml:space="preserve"> policy</w:t>
      </w:r>
      <w:r>
        <w:t xml:space="preserve"> intervention meant to address the gender pay gap</w:t>
      </w:r>
      <w:r w:rsidR="00E1317F">
        <w:t xml:space="preserve">. </w:t>
      </w:r>
      <w:r>
        <w:t>Finally, exposing people to the message that “women don’t ask” increased</w:t>
      </w:r>
      <w:r w:rsidRPr="00D9571F">
        <w:t xml:space="preserve"> endorsement of </w:t>
      </w:r>
      <w:r w:rsidR="00DC5B9F">
        <w:t xml:space="preserve">other </w:t>
      </w:r>
      <w:r w:rsidRPr="00D9571F">
        <w:t xml:space="preserve">gender stereotypes </w:t>
      </w:r>
      <w:r>
        <w:t>and</w:t>
      </w:r>
      <w:r w:rsidRPr="00D9571F">
        <w:t xml:space="preserve"> </w:t>
      </w:r>
      <w:r w:rsidR="00DC5B9F">
        <w:t>strengthened</w:t>
      </w:r>
      <w:r>
        <w:t xml:space="preserve"> </w:t>
      </w:r>
      <w:r w:rsidR="00DC5B9F">
        <w:t xml:space="preserve">attributions of </w:t>
      </w:r>
      <w:r>
        <w:t xml:space="preserve">gender income inequality to women’s </w:t>
      </w:r>
      <w:r w:rsidR="00BA5A00">
        <w:t>choices and low negotiation propensity</w:t>
      </w:r>
      <w:r>
        <w:t xml:space="preserve">, further establishing the system justifying role of this belief. Overall, our research suggests that macro-level trends in pay </w:t>
      </w:r>
      <w:r w:rsidR="00E1317F">
        <w:t>between women and men</w:t>
      </w:r>
      <w:r>
        <w:t xml:space="preserve"> cannot be explained by the micro-level factor of </w:t>
      </w:r>
      <w:r w:rsidR="00BA5A00">
        <w:t xml:space="preserve">gender differences in </w:t>
      </w:r>
      <w:r w:rsidR="00E1317F">
        <w:t>propensity to negotiate</w:t>
      </w:r>
      <w:r>
        <w:t>.</w:t>
      </w:r>
    </w:p>
    <w:p w14:paraId="79F44A40" w14:textId="6AAD19DB" w:rsidR="0086522A" w:rsidRPr="00FF5E08" w:rsidRDefault="0086522A" w:rsidP="00140558">
      <w:pPr>
        <w:pStyle w:val="Heading2"/>
      </w:pPr>
      <w:r>
        <w:t>Theoretical Contributions</w:t>
      </w:r>
    </w:p>
    <w:p w14:paraId="071E27BE" w14:textId="74F10E65" w:rsidR="00E60F0E" w:rsidRDefault="00504BE4" w:rsidP="007E740D">
      <w:pPr>
        <w:spacing w:line="480" w:lineRule="auto"/>
        <w:ind w:firstLine="720"/>
      </w:pPr>
      <w:r>
        <w:t xml:space="preserve">We discover a mismatch between lay beliefs and </w:t>
      </w:r>
      <w:r w:rsidR="00EB09C3">
        <w:t xml:space="preserve">current </w:t>
      </w:r>
      <w:r>
        <w:t xml:space="preserve">empirical </w:t>
      </w:r>
      <w:r w:rsidR="00EB09C3">
        <w:t xml:space="preserve">findings </w:t>
      </w:r>
      <w:r>
        <w:t xml:space="preserve">about the negotiation </w:t>
      </w:r>
      <w:r w:rsidR="001F190B">
        <w:t xml:space="preserve">propensities </w:t>
      </w:r>
      <w:r>
        <w:t xml:space="preserve">of women compared to men. </w:t>
      </w:r>
      <w:r w:rsidR="001F190B">
        <w:t xml:space="preserve">Our </w:t>
      </w:r>
      <w:r w:rsidR="0086522A">
        <w:t xml:space="preserve">research </w:t>
      </w:r>
      <w:r w:rsidR="00B65851">
        <w:t>suggests</w:t>
      </w:r>
      <w:r w:rsidR="0086522A">
        <w:t xml:space="preserve"> women’s </w:t>
      </w:r>
      <w:r w:rsidR="004A791B">
        <w:t>negotiation propensity</w:t>
      </w:r>
      <w:r w:rsidR="0086522A">
        <w:t xml:space="preserve"> is </w:t>
      </w:r>
      <w:r w:rsidR="00B65851">
        <w:t xml:space="preserve">unlikely to be </w:t>
      </w:r>
      <w:r w:rsidR="0086522A">
        <w:t xml:space="preserve">a key contributor to the gender pay gap. In contrast to the long-running hypothesis that women don’t ask, our data suggest that, at least in </w:t>
      </w:r>
      <w:r w:rsidR="00706969">
        <w:t>this century, women</w:t>
      </w:r>
      <w:r w:rsidR="0086522A">
        <w:t xml:space="preserve"> negotiate </w:t>
      </w:r>
      <w:r w:rsidR="00B660BF">
        <w:t xml:space="preserve">their salaries </w:t>
      </w:r>
      <w:r w:rsidR="0086522A">
        <w:t xml:space="preserve">more (not less) </w:t>
      </w:r>
      <w:r w:rsidR="00B660BF">
        <w:t xml:space="preserve">frequently </w:t>
      </w:r>
      <w:r w:rsidR="0086522A">
        <w:t>than men</w:t>
      </w:r>
      <w:r w:rsidR="00706969">
        <w:t xml:space="preserve">. </w:t>
      </w:r>
      <w:r w:rsidR="0086522A">
        <w:t xml:space="preserve">Despite the empirical </w:t>
      </w:r>
      <w:r w:rsidR="00B660BF">
        <w:t>trends</w:t>
      </w:r>
      <w:r w:rsidR="0086522A">
        <w:t xml:space="preserve">, both women and men continue to consider negotiation-related explanations as viable </w:t>
      </w:r>
      <w:r w:rsidR="00B660BF">
        <w:t>explanations</w:t>
      </w:r>
      <w:r w:rsidR="0086522A">
        <w:t xml:space="preserve"> for </w:t>
      </w:r>
      <w:r w:rsidR="00B660BF">
        <w:t>the</w:t>
      </w:r>
      <w:r w:rsidR="0086522A">
        <w:t xml:space="preserve"> gender pay gap. </w:t>
      </w:r>
      <w:r w:rsidR="00CE0590">
        <w:t xml:space="preserve">This </w:t>
      </w:r>
      <w:r w:rsidR="00B660BF">
        <w:t xml:space="preserve">tendency </w:t>
      </w:r>
      <w:r w:rsidR="00CE0590">
        <w:t xml:space="preserve">is consistent with system justification tendencies, as people </w:t>
      </w:r>
      <w:r w:rsidR="00CE0590">
        <w:lastRenderedPageBreak/>
        <w:t>with worse outcomes are often derogated along the traits believed to predict those outcomes (Kay, Jost, &amp; Young, 2005).</w:t>
      </w:r>
    </w:p>
    <w:p w14:paraId="755BDA47" w14:textId="138A002D" w:rsidR="0086522A" w:rsidRDefault="0086522A" w:rsidP="00140558">
      <w:pPr>
        <w:spacing w:line="480" w:lineRule="auto"/>
        <w:ind w:firstLine="720"/>
      </w:pPr>
      <w:r>
        <w:t xml:space="preserve">More generally, we believe that topics regarding gender in the workplace likely require more frequent updates, given the speed of change and progress that women have experienced in modern organizational life. Social expectations and norms have continued to change, and behaviors that may have carried greater social </w:t>
      </w:r>
      <w:r w:rsidR="0091719B">
        <w:t xml:space="preserve">penalties </w:t>
      </w:r>
      <w:r>
        <w:t xml:space="preserve">for women in past decades no longer have the same implications. In the case of women’s behavior in negotiations, we encourage an update to the heuristic that women differ from men. Similarly, while small differences can have large cumulative effects over time </w:t>
      </w:r>
      <w:r>
        <w:rPr>
          <w:noProof/>
        </w:rPr>
        <w:t>(Martell, Lane, &amp; Emrich, 1996)</w:t>
      </w:r>
      <w:r>
        <w:t xml:space="preserve">, it is important to remember that this analysis holds for differences in how men and women are treated (not just how they act). By shifting emphasis to </w:t>
      </w:r>
      <w:r w:rsidR="000E5B24">
        <w:t>issues of fairness</w:t>
      </w:r>
      <w:r>
        <w:t xml:space="preserve"> that women face at the bargaining table, policies to level the playing field may be more likely to be enacted. </w:t>
      </w:r>
    </w:p>
    <w:p w14:paraId="18EE2F74" w14:textId="56BFA496" w:rsidR="00007E4C" w:rsidRDefault="00A620A4" w:rsidP="002D58B3">
      <w:pPr>
        <w:snapToGrid w:val="0"/>
        <w:spacing w:line="480" w:lineRule="auto"/>
        <w:ind w:firstLine="720"/>
      </w:pPr>
      <w:r>
        <w:t>Our</w:t>
      </w:r>
      <w:r w:rsidR="001360D3">
        <w:t xml:space="preserve"> research suggests that attributing the gender pay gap to gender differences in </w:t>
      </w:r>
      <w:r w:rsidR="004A791B">
        <w:t>negotiation propensity</w:t>
      </w:r>
      <w:r w:rsidR="001360D3">
        <w:t xml:space="preserve"> may be system-justifying. However, we acknowledge that the intentions behind a “women don’t ask” message may reflect</w:t>
      </w:r>
      <w:r w:rsidR="001360D3" w:rsidRPr="00143A26">
        <w:t xml:space="preserve"> an empathetic recognition of the </w:t>
      </w:r>
      <w:r w:rsidR="001360D3">
        <w:t xml:space="preserve">unique challenges and </w:t>
      </w:r>
      <w:r w:rsidR="001360D3" w:rsidRPr="00143A26">
        <w:t xml:space="preserve">social environment faced by women. </w:t>
      </w:r>
      <w:r w:rsidR="001360D3">
        <w:t>Yet, we</w:t>
      </w:r>
      <w:r w:rsidR="001360D3" w:rsidRPr="00143A26">
        <w:t xml:space="preserve"> suspect this complexity is more commonly understood by academics than by laypeople</w:t>
      </w:r>
      <w:r w:rsidR="0091719B">
        <w:t>,</w:t>
      </w:r>
      <w:r w:rsidR="001360D3" w:rsidRPr="00143A26">
        <w:t xml:space="preserve"> or else the common phrase might be “Women can’t ask” or “Women are punished for asking,” a nuance</w:t>
      </w:r>
      <w:r w:rsidR="00BA5A00">
        <w:t xml:space="preserve"> that may get</w:t>
      </w:r>
      <w:r w:rsidR="001360D3" w:rsidRPr="00143A26">
        <w:t xml:space="preserve"> lost in translation</w:t>
      </w:r>
      <w:r w:rsidR="00EB09C3">
        <w:t xml:space="preserve"> to the </w:t>
      </w:r>
      <w:r w:rsidR="00BA5A00">
        <w:t>public</w:t>
      </w:r>
      <w:r w:rsidR="001360D3" w:rsidRPr="00143A26">
        <w:t xml:space="preserve">. </w:t>
      </w:r>
      <w:r w:rsidR="001360D3">
        <w:t>Given benevolent sexism is highly correlated with hostile sexism</w:t>
      </w:r>
      <w:r w:rsidR="001360D3" w:rsidRPr="00143A26">
        <w:t xml:space="preserve"> (Glick &amp; Fiske, 2001)</w:t>
      </w:r>
      <w:r w:rsidR="001360D3">
        <w:t xml:space="preserve">, and hostile sexism promotes choice-based explanations for the gender pay gap </w:t>
      </w:r>
      <w:r w:rsidR="00EB09C3">
        <w:t>(</w:t>
      </w:r>
      <w:r w:rsidR="001360D3">
        <w:t xml:space="preserve">Connor </w:t>
      </w:r>
      <w:r w:rsidR="00EB09C3">
        <w:t xml:space="preserve">&amp; </w:t>
      </w:r>
      <w:r w:rsidR="001360D3">
        <w:t>Fiske</w:t>
      </w:r>
      <w:r w:rsidR="00EB09C3">
        <w:t xml:space="preserve">, </w:t>
      </w:r>
      <w:r w:rsidR="001360D3">
        <w:t xml:space="preserve">2019), it is important to exercise caution </w:t>
      </w:r>
      <w:r w:rsidR="00EB09C3">
        <w:t>in making broad claims about</w:t>
      </w:r>
      <w:r w:rsidR="001360D3">
        <w:t xml:space="preserve"> gender differences</w:t>
      </w:r>
      <w:r w:rsidR="00E52A14">
        <w:t xml:space="preserve">. </w:t>
      </w:r>
    </w:p>
    <w:p w14:paraId="3B2EF6EF" w14:textId="469A2186" w:rsidR="00795C94" w:rsidRDefault="00795C94" w:rsidP="00795C94">
      <w:pPr>
        <w:spacing w:line="480" w:lineRule="auto"/>
        <w:rPr>
          <w:b/>
          <w:bCs/>
        </w:rPr>
      </w:pPr>
      <w:r>
        <w:rPr>
          <w:b/>
          <w:bCs/>
        </w:rPr>
        <w:t>Limitations and Future Directions</w:t>
      </w:r>
    </w:p>
    <w:p w14:paraId="2204F02B" w14:textId="19B5A4E3" w:rsidR="00795C94" w:rsidRDefault="00795C94" w:rsidP="000F4CD7">
      <w:pPr>
        <w:spacing w:line="480" w:lineRule="auto"/>
      </w:pPr>
      <w:r>
        <w:rPr>
          <w:b/>
          <w:bCs/>
        </w:rPr>
        <w:lastRenderedPageBreak/>
        <w:tab/>
      </w:r>
      <w:r w:rsidR="006175AF">
        <w:t>Our research has a few limitations that leave open directions for future research. First, our Studies 2A, 2B, and 2C</w:t>
      </w:r>
      <w:r w:rsidR="00CD72D0" w:rsidRPr="00CD72D0">
        <w:t xml:space="preserve"> rel</w:t>
      </w:r>
      <w:r w:rsidR="006175AF">
        <w:t>y</w:t>
      </w:r>
      <w:r w:rsidR="00CD72D0" w:rsidRPr="00CD72D0">
        <w:t xml:space="preserve"> on self-report</w:t>
      </w:r>
      <w:r w:rsidR="0061473D">
        <w:t xml:space="preserve"> </w:t>
      </w:r>
      <w:r w:rsidR="006175AF">
        <w:t xml:space="preserve">measures of initiated negotiation. While our studies are strong for using </w:t>
      </w:r>
      <w:r w:rsidR="00DA6F1F">
        <w:t xml:space="preserve">mature samples and </w:t>
      </w:r>
      <w:r w:rsidR="00775F61">
        <w:t xml:space="preserve">there is reason to think people know accurately whether they attempted negotiation, future research could aim to replicate our findings using measures of behavior. Notably, </w:t>
      </w:r>
      <w:r w:rsidR="0091719B">
        <w:t>those studies need</w:t>
      </w:r>
      <w:r w:rsidR="00775F61">
        <w:t xml:space="preserve"> to use a double-blind procedure where the gender of the negotiator is unknown</w:t>
      </w:r>
      <w:r w:rsidR="00D766CC">
        <w:t>, possibly based on anonymized transcripts of compensation discussions between HR and prospective employees, a highly</w:t>
      </w:r>
      <w:r w:rsidR="00A620A4">
        <w:t xml:space="preserve"> </w:t>
      </w:r>
      <w:r w:rsidR="00D766CC">
        <w:t xml:space="preserve">precise </w:t>
      </w:r>
      <w:r w:rsidR="00A620A4">
        <w:t xml:space="preserve">type of </w:t>
      </w:r>
      <w:r w:rsidR="00D766CC">
        <w:t>data heretofore unseen in the negotiation literature</w:t>
      </w:r>
      <w:r w:rsidR="00775F61">
        <w:t xml:space="preserve">. </w:t>
      </w:r>
      <w:r w:rsidR="004709FB">
        <w:t xml:space="preserve">At a minimum, laboratory-based investigations of gender differences in </w:t>
      </w:r>
      <w:r w:rsidR="004A791B">
        <w:t>negotiation propensity</w:t>
      </w:r>
      <w:r w:rsidR="004709FB">
        <w:t xml:space="preserve"> need to transcribe conversations and anonymize participant</w:t>
      </w:r>
      <w:r w:rsidR="00806EA2">
        <w:t>s’</w:t>
      </w:r>
      <w:r w:rsidR="004709FB">
        <w:t xml:space="preserve"> gender before coding their behavior</w:t>
      </w:r>
      <w:r w:rsidR="00C51A8B">
        <w:t xml:space="preserve"> to</w:t>
      </w:r>
      <w:r w:rsidR="004709FB">
        <w:t xml:space="preserve"> minimize the potential for experimenters’ stereotype endorsement to color judgments. </w:t>
      </w:r>
      <w:r w:rsidR="00775F61">
        <w:t xml:space="preserve">Second, our findings do diverge from the patterns reported in </w:t>
      </w:r>
      <w:r w:rsidR="0091719B">
        <w:t>large-</w:t>
      </w:r>
      <w:r w:rsidR="00775F61">
        <w:t xml:space="preserve">scale studies </w:t>
      </w:r>
      <w:r w:rsidR="00775F61" w:rsidRPr="00AA1D5C">
        <w:t>conducted by</w:t>
      </w:r>
      <w:r w:rsidR="0061473D" w:rsidRPr="00AA1D5C">
        <w:t xml:space="preserve"> Lean</w:t>
      </w:r>
      <w:r w:rsidR="00AA1D5C">
        <w:t xml:space="preserve">In.org and </w:t>
      </w:r>
      <w:r w:rsidR="0061473D" w:rsidRPr="00AA1D5C">
        <w:t>McKinsey</w:t>
      </w:r>
      <w:r w:rsidR="00FE238D" w:rsidRPr="00AA1D5C">
        <w:t xml:space="preserve"> (20</w:t>
      </w:r>
      <w:r w:rsidR="00D31AFF" w:rsidRPr="00AA1D5C">
        <w:t>17, 20</w:t>
      </w:r>
      <w:r w:rsidR="00687195" w:rsidRPr="00AA1D5C">
        <w:t>18</w:t>
      </w:r>
      <w:r w:rsidR="00D31AFF">
        <w:t>)</w:t>
      </w:r>
      <w:r w:rsidR="00FE238D">
        <w:t xml:space="preserve">, where they find </w:t>
      </w:r>
      <w:r w:rsidR="007D519B">
        <w:t>no gender difference in negotiation propensity</w:t>
      </w:r>
      <w:r w:rsidR="00775F61">
        <w:t>, and more research is necessary to understand why</w:t>
      </w:r>
      <w:r w:rsidR="00FE238D">
        <w:t>.</w:t>
      </w:r>
      <w:r w:rsidR="007D519B">
        <w:t xml:space="preserve"> </w:t>
      </w:r>
      <w:r w:rsidR="00D766CC">
        <w:t xml:space="preserve">While their analysis tested for moderation by race/ethnicity and sexual orientation, they did not appear to account for cultural variation in </w:t>
      </w:r>
      <w:r w:rsidR="004A791B">
        <w:t>negotiation propensity</w:t>
      </w:r>
      <w:r w:rsidR="00D766CC">
        <w:t xml:space="preserve"> in their global sample. </w:t>
      </w:r>
      <w:r w:rsidR="007D519B">
        <w:t>It could be that women and men are more identical when they have more advanced education</w:t>
      </w:r>
      <w:r w:rsidR="007A40BF">
        <w:t>, identical degrees, or are further along in their careers</w:t>
      </w:r>
      <w:r w:rsidR="00D766CC">
        <w:t>, and reside in the same cultural context</w:t>
      </w:r>
      <w:r w:rsidR="007A40BF">
        <w:t>. Third, Studies 2A and 2B were not able to control for all potential alternative explanations</w:t>
      </w:r>
      <w:r w:rsidR="00A74EE6">
        <w:t xml:space="preserve">. </w:t>
      </w:r>
      <w:r w:rsidR="00F1762A">
        <w:t xml:space="preserve">These limitations hold across the literature on gender and </w:t>
      </w:r>
      <w:r w:rsidR="004A791B">
        <w:t>negotiation propensity</w:t>
      </w:r>
      <w:r w:rsidR="00F1762A">
        <w:t>, suggesting a</w:t>
      </w:r>
      <w:r w:rsidR="00A74EE6">
        <w:t>dditional research controlling for factors s</w:t>
      </w:r>
      <w:r w:rsidR="007A40BF">
        <w:t>uch as</w:t>
      </w:r>
      <w:r w:rsidR="00CD72D0" w:rsidRPr="00CD72D0">
        <w:t xml:space="preserve"> industry, </w:t>
      </w:r>
      <w:r w:rsidR="00A74EE6">
        <w:t>hierarchical rank, age, and other factors could help to delineate boundaries or generality for our findings</w:t>
      </w:r>
      <w:r w:rsidR="00CE10DF">
        <w:t xml:space="preserve">. </w:t>
      </w:r>
    </w:p>
    <w:p w14:paraId="4E3EBB75" w14:textId="064296A7" w:rsidR="00CE224B" w:rsidRPr="0095204F" w:rsidRDefault="00CE224B" w:rsidP="0059601B">
      <w:pPr>
        <w:snapToGrid w:val="0"/>
        <w:spacing w:line="480" w:lineRule="auto"/>
        <w:ind w:firstLine="720"/>
        <w:rPr>
          <w:rFonts w:cstheme="minorHAnsi"/>
          <w:sz w:val="22"/>
          <w:szCs w:val="22"/>
        </w:rPr>
      </w:pPr>
      <w:r>
        <w:t>Future research is needed to identify the contexts under which b</w:t>
      </w:r>
      <w:r w:rsidRPr="00143A26">
        <w:t>elieving that “women don’t ask” could theoretically prompt greater endorsement of fairness-based explanations (i.e.,</w:t>
      </w:r>
      <w:r>
        <w:t xml:space="preserve"> </w:t>
      </w:r>
      <w:r>
        <w:lastRenderedPageBreak/>
        <w:t xml:space="preserve">discrimination) if people attribute women’s allegedly lower negotiation propensity to backlash (Bowles et al., 2007; </w:t>
      </w:r>
      <w:proofErr w:type="spellStart"/>
      <w:r>
        <w:t>Dannals</w:t>
      </w:r>
      <w:proofErr w:type="spellEnd"/>
      <w:r>
        <w:t xml:space="preserve">, Zlatev, Halevy, &amp; Neale, 2021; </w:t>
      </w:r>
      <w:r w:rsidRPr="00C51A8B">
        <w:t>Kray</w:t>
      </w:r>
      <w:r w:rsidR="00C51A8B" w:rsidRPr="00C51A8B">
        <w:t xml:space="preserve"> et al.</w:t>
      </w:r>
      <w:r w:rsidRPr="00C51A8B">
        <w:t>,</w:t>
      </w:r>
      <w:r>
        <w:t xml:space="preserve"> 2014), or believe it can prompt a reversal of the typical gender gap in negotiation outcomes (Bowles et al., 2005; Kray et al., 2001; Kray, Galinsky, </w:t>
      </w:r>
      <w:r w:rsidR="0059601B">
        <w:t>&amp;</w:t>
      </w:r>
      <w:r>
        <w:t xml:space="preserve"> Thompson, 2002). However, in practice, we find no evidence for this attribution. Instead, people who believe that “women don’t ask” tend to root</w:t>
      </w:r>
      <w:r w:rsidRPr="00D9571F">
        <w:t xml:space="preserve"> the cause of the gender pay gap more</w:t>
      </w:r>
      <w:r>
        <w:t xml:space="preserve"> heavily</w:t>
      </w:r>
      <w:r w:rsidRPr="00D9571F">
        <w:t xml:space="preserve"> in women</w:t>
      </w:r>
      <w:r>
        <w:t>’s (presumed) lesser human capital in the labor market</w:t>
      </w:r>
      <w:r w:rsidRPr="00D9571F">
        <w:t xml:space="preserve"> (e.g., </w:t>
      </w:r>
      <w:r>
        <w:t xml:space="preserve">claiming that </w:t>
      </w:r>
      <w:r w:rsidRPr="00D9571F">
        <w:t>women are</w:t>
      </w:r>
      <w:r>
        <w:t xml:space="preserve"> categorically</w:t>
      </w:r>
      <w:r w:rsidRPr="00D9571F">
        <w:t xml:space="preserve"> less competitive</w:t>
      </w:r>
      <w:r>
        <w:t xml:space="preserve"> and assertive, without recognizing the wide variation </w:t>
      </w:r>
      <w:r w:rsidR="00F1762A">
        <w:t>across people</w:t>
      </w:r>
      <w:r>
        <w:t xml:space="preserve"> and situations</w:t>
      </w:r>
      <w:r w:rsidRPr="00D9571F">
        <w:t>).</w:t>
      </w:r>
    </w:p>
    <w:p w14:paraId="79585EEE" w14:textId="0DC0185E" w:rsidR="00CE224B" w:rsidRDefault="00CE224B" w:rsidP="000F4CD7">
      <w:pPr>
        <w:spacing w:line="480" w:lineRule="auto"/>
      </w:pPr>
      <w:r>
        <w:tab/>
        <w:t xml:space="preserve">Future research could also </w:t>
      </w:r>
      <w:r w:rsidR="00973BAB">
        <w:t xml:space="preserve">apply our approach </w:t>
      </w:r>
      <w:r w:rsidR="000D6E9E">
        <w:t>to testing the validity of</w:t>
      </w:r>
      <w:r w:rsidR="00973BAB">
        <w:t xml:space="preserve"> “women don’t ask” beliefs to the other two categories of explanation for the gender pay gap. </w:t>
      </w:r>
      <w:r w:rsidR="00763C15">
        <w:t xml:space="preserve">It was notable that </w:t>
      </w:r>
      <w:r w:rsidR="00763C15" w:rsidRPr="00763C15">
        <w:t xml:space="preserve">fairness-based explanations </w:t>
      </w:r>
      <w:r w:rsidR="00763C15">
        <w:t xml:space="preserve">were perceived to be stronger explanations for the gender pay gap </w:t>
      </w:r>
      <w:r w:rsidR="00763C15" w:rsidRPr="00763C15">
        <w:t>than choice-based and negotiation-based explanations combined</w:t>
      </w:r>
      <w:r w:rsidR="00763C15">
        <w:t>. Researchers could test the validity of this perception</w:t>
      </w:r>
      <w:r w:rsidR="00BE4AAC">
        <w:t>, although according to human capital approaches, it means finding ways to reduce the residual</w:t>
      </w:r>
      <w:r w:rsidR="00794121">
        <w:t xml:space="preserve"> (i.e., unexplained portion)</w:t>
      </w:r>
      <w:r w:rsidR="00BE4AAC">
        <w:t xml:space="preserve"> in regression analyses</w:t>
      </w:r>
      <w:r w:rsidR="00794121">
        <w:t xml:space="preserve"> predicting the pay gap, which is typically interpreted as the potentially discriminatory component</w:t>
      </w:r>
      <w:r w:rsidR="00183837">
        <w:t xml:space="preserve"> (</w:t>
      </w:r>
      <w:proofErr w:type="spellStart"/>
      <w:r w:rsidR="00183837">
        <w:t>Altonji</w:t>
      </w:r>
      <w:proofErr w:type="spellEnd"/>
      <w:r w:rsidR="00183837">
        <w:t xml:space="preserve"> &amp; Blank, 1999)</w:t>
      </w:r>
      <w:r w:rsidR="00763C15">
        <w:t xml:space="preserve">. While discrimination and issues of fairness were long denied, </w:t>
      </w:r>
      <w:r w:rsidR="0091719B">
        <w:t>people could have</w:t>
      </w:r>
      <w:r w:rsidR="00763C15">
        <w:t xml:space="preserve"> overcorrected</w:t>
      </w:r>
      <w:r w:rsidR="00A46AA4">
        <w:t xml:space="preserve"> their beliefs</w:t>
      </w:r>
      <w:r w:rsidR="00763C15">
        <w:t xml:space="preserve">, </w:t>
      </w:r>
      <w:r w:rsidR="00656C65">
        <w:t>now perceiving</w:t>
      </w:r>
      <w:r w:rsidR="00763C15">
        <w:t xml:space="preserve"> the issues are more pervasive than they are, potentially </w:t>
      </w:r>
      <w:r w:rsidR="00045E39">
        <w:t>to preserve their well-being (</w:t>
      </w:r>
      <w:r w:rsidR="00012482">
        <w:t xml:space="preserve">Crocker &amp; Major, 1989; </w:t>
      </w:r>
      <w:r w:rsidR="00045E39">
        <w:t>Major, Kaiser, &amp; McCoy, 2003)</w:t>
      </w:r>
      <w:r w:rsidR="00E9637E">
        <w:t xml:space="preserve">. Whether </w:t>
      </w:r>
      <w:r w:rsidR="001B298F">
        <w:t>the tendency to attribute</w:t>
      </w:r>
      <w:r w:rsidR="00A16E0E">
        <w:t xml:space="preserve"> women’s </w:t>
      </w:r>
      <w:r w:rsidR="00383E28">
        <w:t>unsuccessful</w:t>
      </w:r>
      <w:r w:rsidR="00A16E0E">
        <w:t xml:space="preserve"> negotiation attempts to discrimin</w:t>
      </w:r>
      <w:r w:rsidR="00E9637E">
        <w:t>a</w:t>
      </w:r>
      <w:r w:rsidR="00A16E0E">
        <w:t xml:space="preserve">tion has protective or beneficial effects for </w:t>
      </w:r>
      <w:r w:rsidR="002D58B3">
        <w:t>women</w:t>
      </w:r>
      <w:r w:rsidR="00A16E0E">
        <w:t xml:space="preserve"> is an important direction for future research (cf. Major &amp; O’Brien, 2005)</w:t>
      </w:r>
      <w:r w:rsidR="001A74AE">
        <w:t xml:space="preserve">. </w:t>
      </w:r>
    </w:p>
    <w:p w14:paraId="6E9BA241" w14:textId="2A48DED0" w:rsidR="00876D71" w:rsidRPr="009C0FD3" w:rsidRDefault="00876D71" w:rsidP="000F4CD7">
      <w:pPr>
        <w:spacing w:line="480" w:lineRule="auto"/>
      </w:pPr>
      <w:r>
        <w:tab/>
      </w:r>
      <w:r w:rsidR="00070528">
        <w:t xml:space="preserve">To resolve remaining disagreement on </w:t>
      </w:r>
      <w:r w:rsidR="000D73B2">
        <w:t xml:space="preserve">the existence of </w:t>
      </w:r>
      <w:r w:rsidR="00070528">
        <w:t>gender differences in negotiation propensity</w:t>
      </w:r>
      <w:r>
        <w:t xml:space="preserve">, we recommend </w:t>
      </w:r>
      <w:r w:rsidR="00070528">
        <w:t xml:space="preserve">researchers from different camps </w:t>
      </w:r>
      <w:r>
        <w:t>adopt an approach of advers</w:t>
      </w:r>
      <w:r w:rsidR="009B5C7F">
        <w:t xml:space="preserve">arial </w:t>
      </w:r>
      <w:r w:rsidR="009B5C7F">
        <w:lastRenderedPageBreak/>
        <w:t>collaboration</w:t>
      </w:r>
      <w:r w:rsidR="005869C3">
        <w:t xml:space="preserve"> (e.g., Bateman et al., 2005)</w:t>
      </w:r>
      <w:r w:rsidR="009B5C7F">
        <w:t xml:space="preserve">. The </w:t>
      </w:r>
      <w:r w:rsidR="007339DE">
        <w:t>scientific process works best when people who endorse competing</w:t>
      </w:r>
      <w:r w:rsidR="00C46F88">
        <w:t xml:space="preserve"> theories</w:t>
      </w:r>
      <w:r w:rsidR="007339DE">
        <w:t xml:space="preserve"> come together to agree upon </w:t>
      </w:r>
      <w:r w:rsidR="00C46F88">
        <w:t xml:space="preserve">competing hypotheses and </w:t>
      </w:r>
      <w:r w:rsidR="007339DE">
        <w:t xml:space="preserve">a convincing operationalization of </w:t>
      </w:r>
      <w:r w:rsidR="00C46F88">
        <w:t xml:space="preserve">the </w:t>
      </w:r>
      <w:r w:rsidR="007339DE">
        <w:t xml:space="preserve">constructs of interest (Clark et al., 2022). By doing so, scholars cannot insulate their favored theories from rejection, and knowledge is advanced </w:t>
      </w:r>
      <w:r w:rsidR="00E93AD6">
        <w:t>as contradictory claims can no longer co-exist.</w:t>
      </w:r>
      <w:r w:rsidR="00C46F88">
        <w:t xml:space="preserve"> Moving from competitive rivalry to cooperation typically requires </w:t>
      </w:r>
      <w:r w:rsidR="00F9691C">
        <w:t xml:space="preserve">first </w:t>
      </w:r>
      <w:r w:rsidR="00C46F88">
        <w:t xml:space="preserve">establishing </w:t>
      </w:r>
      <w:r w:rsidR="00C46F88" w:rsidRPr="00C46F88">
        <w:t>a joint goal</w:t>
      </w:r>
      <w:r w:rsidR="00C46F88">
        <w:t xml:space="preserve"> of advancing truth</w:t>
      </w:r>
      <w:r w:rsidR="00F9691C">
        <w:t xml:space="preserve">, </w:t>
      </w:r>
      <w:r w:rsidR="00C46F88" w:rsidRPr="00C46F88">
        <w:t xml:space="preserve">and second, </w:t>
      </w:r>
      <w:r w:rsidR="00F9691C">
        <w:t>assuming the</w:t>
      </w:r>
      <w:r w:rsidR="00C46F88" w:rsidRPr="00C46F88">
        <w:t xml:space="preserve"> scientific competence and good intentions</w:t>
      </w:r>
      <w:r w:rsidR="00F9691C">
        <w:t xml:space="preserve"> of proponents of rival theories (</w:t>
      </w:r>
      <w:proofErr w:type="spellStart"/>
      <w:r w:rsidR="00F9691C">
        <w:t>Ellemers</w:t>
      </w:r>
      <w:proofErr w:type="spellEnd"/>
      <w:r w:rsidR="00F9691C">
        <w:t xml:space="preserve"> et al., 2020). </w:t>
      </w:r>
      <w:r w:rsidR="00FC1529">
        <w:t>While the result may not be total rejection of one set of views, it will likely</w:t>
      </w:r>
      <w:r w:rsidR="004A7675">
        <w:t xml:space="preserve"> </w:t>
      </w:r>
      <w:r w:rsidR="00783646">
        <w:t>spur fuller evidence that results in converging</w:t>
      </w:r>
      <w:r w:rsidR="00FC1529">
        <w:t xml:space="preserve"> perspectives (Cowan et al., 2020). </w:t>
      </w:r>
    </w:p>
    <w:p w14:paraId="7BDC5C63" w14:textId="56308A63" w:rsidR="008648F7" w:rsidRDefault="008648F7" w:rsidP="008648F7">
      <w:pPr>
        <w:spacing w:line="480" w:lineRule="auto"/>
        <w:rPr>
          <w:b/>
          <w:bCs/>
        </w:rPr>
      </w:pPr>
      <w:r>
        <w:rPr>
          <w:b/>
          <w:bCs/>
        </w:rPr>
        <w:t>Practical Contributions</w:t>
      </w:r>
    </w:p>
    <w:p w14:paraId="335DCDBF" w14:textId="38D502DF" w:rsidR="00B920F7" w:rsidRPr="00504BE4" w:rsidDel="002E6A01" w:rsidRDefault="003F6AB8" w:rsidP="00B920F7">
      <w:pPr>
        <w:spacing w:line="480" w:lineRule="auto"/>
        <w:ind w:firstLine="720"/>
      </w:pPr>
      <w:r w:rsidRPr="003F6AB8">
        <w:t>Our rese</w:t>
      </w:r>
      <w:r>
        <w:t xml:space="preserve">arch highlights the importance of rectifying </w:t>
      </w:r>
      <w:r w:rsidR="00B37E3B">
        <w:t>now-</w:t>
      </w:r>
      <w:r w:rsidR="000D07D7">
        <w:t>outdated</w:t>
      </w:r>
      <w:r>
        <w:t xml:space="preserve"> beliefs in the</w:t>
      </w:r>
      <w:r w:rsidR="0046697E">
        <w:t xml:space="preserve"> scientific literature</w:t>
      </w:r>
      <w:r w:rsidR="001D6958">
        <w:t>. T</w:t>
      </w:r>
      <w:r w:rsidR="00CF091B">
        <w:t>o this day, prestigious literature reviews on the field of negotiations (Boothby, Cooney, &amp; Schweitzer, 2023)</w:t>
      </w:r>
      <w:r w:rsidR="001D6958">
        <w:t xml:space="preserve"> continue to rely on the Kugler et al. (2018) meta-analysis as the gold standard for </w:t>
      </w:r>
      <w:r w:rsidR="0069077F">
        <w:t>interpreting</w:t>
      </w:r>
      <w:r w:rsidR="001D6958">
        <w:t xml:space="preserve"> gender differences in </w:t>
      </w:r>
      <w:r w:rsidR="004A791B">
        <w:t>negotiation propensity</w:t>
      </w:r>
      <w:r w:rsidR="001D6958">
        <w:t>.</w:t>
      </w:r>
      <w:r w:rsidR="0046697E">
        <w:t xml:space="preserve"> It is important to </w:t>
      </w:r>
      <w:r w:rsidR="00533881">
        <w:t>update</w:t>
      </w:r>
      <w:r w:rsidR="0046697E">
        <w:t xml:space="preserve"> </w:t>
      </w:r>
      <w:r w:rsidR="00506550">
        <w:t>outdated belief</w:t>
      </w:r>
      <w:r w:rsidR="0046697E">
        <w:t xml:space="preserve">s </w:t>
      </w:r>
      <w:r>
        <w:t>about gender differences in negotiation propensity</w:t>
      </w:r>
      <w:r w:rsidR="0069077F">
        <w:t xml:space="preserve"> both in the scientific literature and</w:t>
      </w:r>
      <w:r>
        <w:t xml:space="preserve"> </w:t>
      </w:r>
      <w:r w:rsidR="0046697E">
        <w:t xml:space="preserve">in the broader population </w:t>
      </w:r>
      <w:r>
        <w:t>because only then are equity-promoting policies</w:t>
      </w:r>
      <w:r w:rsidR="00112440">
        <w:t xml:space="preserve"> related to </w:t>
      </w:r>
      <w:r w:rsidR="00533881">
        <w:t>closing the</w:t>
      </w:r>
      <w:r w:rsidR="00112440">
        <w:t xml:space="preserve"> gender pay gap</w:t>
      </w:r>
      <w:r>
        <w:t xml:space="preserve"> likely to be supported. </w:t>
      </w:r>
      <w:r w:rsidR="00613289">
        <w:t xml:space="preserve">One way to achieve this is for business school professors and media outlets to </w:t>
      </w:r>
      <w:r w:rsidR="008C2109">
        <w:t xml:space="preserve">adopt a </w:t>
      </w:r>
      <w:r w:rsidR="0069077F">
        <w:t xml:space="preserve">more </w:t>
      </w:r>
      <w:r w:rsidR="00112440">
        <w:t>nuanced view</w:t>
      </w:r>
      <w:r w:rsidR="00533881">
        <w:t xml:space="preserve"> (i.e., “it depends”)</w:t>
      </w:r>
      <w:r w:rsidR="00112440">
        <w:t xml:space="preserve"> in communicating about </w:t>
      </w:r>
      <w:r w:rsidR="008C2109">
        <w:t>this body of</w:t>
      </w:r>
      <w:r w:rsidR="00D447DE">
        <w:t xml:space="preserve"> research and invite </w:t>
      </w:r>
      <w:r w:rsidR="00CF403C">
        <w:t xml:space="preserve">business </w:t>
      </w:r>
      <w:r w:rsidR="00533881">
        <w:t xml:space="preserve">students and </w:t>
      </w:r>
      <w:r w:rsidR="00D447DE">
        <w:t xml:space="preserve">the public to update their beliefs in line with the facts. </w:t>
      </w:r>
      <w:r w:rsidR="00864047">
        <w:t xml:space="preserve">Annual industry reports (e.g., </w:t>
      </w:r>
      <w:r w:rsidR="00947B11">
        <w:t xml:space="preserve">Lean In &amp; </w:t>
      </w:r>
      <w:r w:rsidR="00864047">
        <w:t>McKinsey</w:t>
      </w:r>
      <w:r w:rsidR="00947B11">
        <w:t>, 2017, 20</w:t>
      </w:r>
      <w:r w:rsidR="00687195">
        <w:t>18</w:t>
      </w:r>
      <w:r w:rsidR="00864047">
        <w:t xml:space="preserve">) </w:t>
      </w:r>
      <w:r w:rsidR="009F789A">
        <w:t>can help by continuing to m</w:t>
      </w:r>
      <w:r w:rsidR="00D447DE" w:rsidRPr="00864047">
        <w:t>easur</w:t>
      </w:r>
      <w:r w:rsidR="009F789A">
        <w:t>e and report</w:t>
      </w:r>
      <w:r w:rsidR="00D447DE">
        <w:t xml:space="preserve"> women’s and men’s negotiation propensities using very large and diverse samples</w:t>
      </w:r>
      <w:r w:rsidR="009F789A">
        <w:t xml:space="preserve">. Further, they could add measures </w:t>
      </w:r>
      <w:r w:rsidR="00B07C52">
        <w:t>to track fairness-related issues</w:t>
      </w:r>
      <w:r w:rsidR="002E79A4">
        <w:t xml:space="preserve">, </w:t>
      </w:r>
      <w:r w:rsidR="0091719B">
        <w:t>to inform</w:t>
      </w:r>
      <w:r w:rsidR="002E79A4">
        <w:t xml:space="preserve"> organizational and public policies designed to promote greater equity around </w:t>
      </w:r>
      <w:r w:rsidR="005643C3">
        <w:lastRenderedPageBreak/>
        <w:t>non-promotable tasks</w:t>
      </w:r>
      <w:r w:rsidR="00CF091B">
        <w:t xml:space="preserve"> (</w:t>
      </w:r>
      <w:r w:rsidR="003F7AA6">
        <w:t>Babcock, Recalde, Vesterlund, &amp; Weingart, 2017)</w:t>
      </w:r>
      <w:r w:rsidR="005643C3">
        <w:t xml:space="preserve">, </w:t>
      </w:r>
      <w:r w:rsidR="0069077F">
        <w:t xml:space="preserve">gender differences in span of control (Lee &amp; Kray, 2001), </w:t>
      </w:r>
      <w:r w:rsidR="005643C3">
        <w:t>networking and advancement opportunities, and equal support for mothers and father</w:t>
      </w:r>
      <w:r w:rsidR="000D07D7">
        <w:t>s</w:t>
      </w:r>
      <w:r w:rsidR="005643C3">
        <w:t>.</w:t>
      </w:r>
      <w:r w:rsidR="0024403D">
        <w:t xml:space="preserve"> </w:t>
      </w:r>
      <w:r w:rsidR="00D447DE">
        <w:t xml:space="preserve">However, if our theorizing is correct about the ideological function served by “women don’t ask” beliefs, education and documentation of the facts </w:t>
      </w:r>
      <w:r w:rsidR="0091719B">
        <w:t xml:space="preserve">are </w:t>
      </w:r>
      <w:r w:rsidR="00D447DE">
        <w:t>likely to be insufficient</w:t>
      </w:r>
      <w:r w:rsidR="009C0941">
        <w:t xml:space="preserve"> to </w:t>
      </w:r>
      <w:r w:rsidR="007E206F">
        <w:t xml:space="preserve">alter what may be an </w:t>
      </w:r>
      <w:r w:rsidR="00533881">
        <w:t>entrenched view</w:t>
      </w:r>
      <w:r w:rsidR="00D447DE">
        <w:t xml:space="preserve">. </w:t>
      </w:r>
      <w:r w:rsidR="00D640B5">
        <w:t>It may be necessary for organizations to create c</w:t>
      </w:r>
      <w:r w:rsidR="004D3870">
        <w:t xml:space="preserve">onditions </w:t>
      </w:r>
      <w:r w:rsidR="00F62C13">
        <w:t>that</w:t>
      </w:r>
      <w:r w:rsidR="004D3870">
        <w:t xml:space="preserve"> </w:t>
      </w:r>
      <w:r w:rsidR="00BD0047">
        <w:t>reward</w:t>
      </w:r>
      <w:r w:rsidR="007958C0">
        <w:t xml:space="preserve"> epistemic motivation</w:t>
      </w:r>
      <w:r w:rsidR="00D640B5">
        <w:t xml:space="preserve"> (i.e., desire to know the truth) and</w:t>
      </w:r>
      <w:r w:rsidR="002070F1">
        <w:t xml:space="preserve"> </w:t>
      </w:r>
      <w:r w:rsidR="00BD0047">
        <w:t>discourage</w:t>
      </w:r>
      <w:r w:rsidR="002070F1">
        <w:t xml:space="preserve"> other motives (cf. Mandel &amp; Tetlock, 2016)</w:t>
      </w:r>
      <w:r w:rsidR="00D640B5">
        <w:t xml:space="preserve">. </w:t>
      </w:r>
      <w:r w:rsidR="002070F1">
        <w:t xml:space="preserve">When </w:t>
      </w:r>
      <w:r w:rsidR="00E74DD6">
        <w:t>present</w:t>
      </w:r>
      <w:r w:rsidR="00BD0047">
        <w:t>ed with</w:t>
      </w:r>
      <w:r w:rsidR="007958C0">
        <w:t xml:space="preserve"> alternative routes to satisfying pragmatic goals (e.g., advancing women’s careers) and ideological needs (e.g., </w:t>
      </w:r>
      <w:r w:rsidR="00D640B5">
        <w:t xml:space="preserve">believing in a just world), </w:t>
      </w:r>
      <w:r w:rsidR="00BD0047">
        <w:t>people’s</w:t>
      </w:r>
      <w:r w:rsidR="00D640B5">
        <w:t xml:space="preserve"> need to cling to </w:t>
      </w:r>
      <w:r w:rsidR="007E206F">
        <w:t>outdated views</w:t>
      </w:r>
      <w:r w:rsidR="00D640B5">
        <w:t xml:space="preserve"> may subside.</w:t>
      </w:r>
      <w:r w:rsidR="004D3870">
        <w:t xml:space="preserve"> </w:t>
      </w:r>
      <w:r w:rsidR="0024403D">
        <w:t>Organizations could have the most impact on the</w:t>
      </w:r>
      <w:r w:rsidR="00D640B5">
        <w:t xml:space="preserve"> gender pay gap</w:t>
      </w:r>
      <w:r w:rsidR="0024403D">
        <w:t xml:space="preserve"> by setting fair and transparent pay policies and tracking and disclosing </w:t>
      </w:r>
      <w:r w:rsidR="00B920F7">
        <w:t>terms that are negotiated by men and women. This type of approach could help to ensure that managers are not unconsciously perpetuating the “women ask, but don’t get” pattern we</w:t>
      </w:r>
      <w:r w:rsidR="0069077F">
        <w:t xml:space="preserve"> observed, consistent with recent findings by Artz et al. (2018)</w:t>
      </w:r>
      <w:r w:rsidR="00B920F7">
        <w:t>.</w:t>
      </w:r>
    </w:p>
    <w:p w14:paraId="5FD1C6B5" w14:textId="77777777" w:rsidR="0086522A" w:rsidRDefault="0086522A" w:rsidP="00140558">
      <w:pPr>
        <w:pStyle w:val="Heading2"/>
        <w:rPr>
          <w:lang w:eastAsia="ko-KR"/>
        </w:rPr>
      </w:pPr>
      <w:r>
        <w:rPr>
          <w:lang w:eastAsia="ko-KR"/>
        </w:rPr>
        <w:t>Conclusion</w:t>
      </w:r>
    </w:p>
    <w:p w14:paraId="40BA5344" w14:textId="573E4691" w:rsidR="0086522A" w:rsidRPr="00E9260E" w:rsidRDefault="0086522A" w:rsidP="0084183F">
      <w:pPr>
        <w:spacing w:line="480" w:lineRule="auto"/>
        <w:rPr>
          <w:b/>
          <w:bCs/>
        </w:rPr>
      </w:pPr>
      <w:r>
        <w:rPr>
          <w:lang w:eastAsia="ko-KR"/>
        </w:rPr>
        <w:tab/>
        <w:t xml:space="preserve">The U.S. Bureau of Labor Statistics </w:t>
      </w:r>
      <w:r w:rsidR="00A36A09">
        <w:rPr>
          <w:lang w:eastAsia="ko-KR"/>
        </w:rPr>
        <w:t xml:space="preserve">(2021) </w:t>
      </w:r>
      <w:r>
        <w:rPr>
          <w:lang w:eastAsia="ko-KR"/>
        </w:rPr>
        <w:t>found that women’s median earnings</w:t>
      </w:r>
      <w:r w:rsidR="00A36A09">
        <w:rPr>
          <w:lang w:eastAsia="ko-KR"/>
        </w:rPr>
        <w:t xml:space="preserve"> for full-time work</w:t>
      </w:r>
      <w:r>
        <w:rPr>
          <w:lang w:eastAsia="ko-KR"/>
        </w:rPr>
        <w:t xml:space="preserve"> were 82% of men’s</w:t>
      </w:r>
      <w:r w:rsidR="00A05C71">
        <w:rPr>
          <w:lang w:eastAsia="ko-KR"/>
        </w:rPr>
        <w:t xml:space="preserve"> earnings</w:t>
      </w:r>
      <w:r>
        <w:rPr>
          <w:lang w:eastAsia="ko-KR"/>
        </w:rPr>
        <w:t xml:space="preserve">. If society does nothing differently to address this gap and the rate of change </w:t>
      </w:r>
      <w:r w:rsidR="00513D0E">
        <w:rPr>
          <w:lang w:eastAsia="ko-KR"/>
        </w:rPr>
        <w:t>mirrors</w:t>
      </w:r>
      <w:r>
        <w:rPr>
          <w:lang w:eastAsia="ko-KR"/>
        </w:rPr>
        <w:t xml:space="preserve"> the last 50 years, then gender parity in pay will not be achieved in the United States until 2059 </w:t>
      </w:r>
      <w:r>
        <w:rPr>
          <w:noProof/>
          <w:lang w:eastAsia="ko-KR"/>
        </w:rPr>
        <w:t>(Institute for Women’s Policy Research, 20</w:t>
      </w:r>
      <w:r w:rsidR="009D373D">
        <w:rPr>
          <w:noProof/>
          <w:lang w:eastAsia="ko-KR"/>
        </w:rPr>
        <w:t>20</w:t>
      </w:r>
      <w:r>
        <w:rPr>
          <w:noProof/>
          <w:lang w:eastAsia="ko-KR"/>
        </w:rPr>
        <w:t>)</w:t>
      </w:r>
      <w:r>
        <w:rPr>
          <w:lang w:eastAsia="ko-KR"/>
        </w:rPr>
        <w:t xml:space="preserve">. </w:t>
      </w:r>
      <w:r w:rsidR="00CF65BA">
        <w:rPr>
          <w:lang w:eastAsia="ko-KR"/>
        </w:rPr>
        <w:t xml:space="preserve">Women </w:t>
      </w:r>
      <w:r w:rsidR="00477AFE">
        <w:rPr>
          <w:lang w:eastAsia="ko-KR"/>
        </w:rPr>
        <w:t>appear</w:t>
      </w:r>
      <w:r w:rsidR="00CF65BA">
        <w:rPr>
          <w:lang w:eastAsia="ko-KR"/>
        </w:rPr>
        <w:t xml:space="preserve"> open to doing their part to close the gap</w:t>
      </w:r>
      <w:r w:rsidR="00513D0E">
        <w:rPr>
          <w:lang w:eastAsia="ko-KR"/>
        </w:rPr>
        <w:t>,</w:t>
      </w:r>
      <w:r w:rsidR="00974B0C">
        <w:rPr>
          <w:lang w:eastAsia="ko-KR"/>
        </w:rPr>
        <w:t xml:space="preserve"> given their increasing rates of initiating negotiation</w:t>
      </w:r>
      <w:r w:rsidR="00C56CCB">
        <w:rPr>
          <w:lang w:eastAsia="ko-KR"/>
        </w:rPr>
        <w:t>s</w:t>
      </w:r>
      <w:r w:rsidR="00CF65BA">
        <w:rPr>
          <w:lang w:eastAsia="ko-KR"/>
        </w:rPr>
        <w:t xml:space="preserve">, but this is not </w:t>
      </w:r>
      <w:r w:rsidR="0069077F">
        <w:rPr>
          <w:lang w:eastAsia="ko-KR"/>
        </w:rPr>
        <w:t>sufficient</w:t>
      </w:r>
      <w:r w:rsidR="00CF65BA">
        <w:rPr>
          <w:lang w:eastAsia="ko-KR"/>
        </w:rPr>
        <w:t xml:space="preserve"> since </w:t>
      </w:r>
      <w:r w:rsidR="00553E69">
        <w:rPr>
          <w:lang w:eastAsia="ko-KR"/>
        </w:rPr>
        <w:t xml:space="preserve">it is not clear that </w:t>
      </w:r>
      <w:r w:rsidR="00CF65BA">
        <w:rPr>
          <w:lang w:eastAsia="ko-KR"/>
        </w:rPr>
        <w:t xml:space="preserve">the </w:t>
      </w:r>
      <w:r w:rsidR="00C56CCB">
        <w:rPr>
          <w:lang w:eastAsia="ko-KR"/>
        </w:rPr>
        <w:t xml:space="preserve">pay </w:t>
      </w:r>
      <w:r w:rsidR="00CF65BA">
        <w:rPr>
          <w:lang w:eastAsia="ko-KR"/>
        </w:rPr>
        <w:t xml:space="preserve">gap is </w:t>
      </w:r>
      <w:r w:rsidR="00477AFE">
        <w:rPr>
          <w:lang w:eastAsia="ko-KR"/>
        </w:rPr>
        <w:t>due to the tendency to initiate negotiations</w:t>
      </w:r>
      <w:r w:rsidR="00CF65BA">
        <w:rPr>
          <w:lang w:eastAsia="ko-KR"/>
        </w:rPr>
        <w:t xml:space="preserve">. </w:t>
      </w:r>
      <w:r>
        <w:rPr>
          <w:lang w:eastAsia="ko-KR"/>
        </w:rPr>
        <w:t xml:space="preserve">The current research urges researchers and society more broadly to think </w:t>
      </w:r>
      <w:r w:rsidR="00477AFE">
        <w:rPr>
          <w:lang w:eastAsia="ko-KR"/>
        </w:rPr>
        <w:t xml:space="preserve">differently </w:t>
      </w:r>
      <w:r>
        <w:rPr>
          <w:lang w:eastAsia="ko-KR"/>
        </w:rPr>
        <w:t xml:space="preserve">about what levers </w:t>
      </w:r>
      <w:r w:rsidR="00C56CCB">
        <w:rPr>
          <w:lang w:eastAsia="ko-KR"/>
        </w:rPr>
        <w:t>could</w:t>
      </w:r>
      <w:r w:rsidR="0091719B">
        <w:rPr>
          <w:lang w:eastAsia="ko-KR"/>
        </w:rPr>
        <w:t xml:space="preserve"> </w:t>
      </w:r>
      <w:r>
        <w:rPr>
          <w:lang w:eastAsia="ko-KR"/>
        </w:rPr>
        <w:t>meaningful</w:t>
      </w:r>
      <w:r w:rsidR="00C56CCB">
        <w:rPr>
          <w:lang w:eastAsia="ko-KR"/>
        </w:rPr>
        <w:t>ly</w:t>
      </w:r>
      <w:r>
        <w:rPr>
          <w:lang w:eastAsia="ko-KR"/>
        </w:rPr>
        <w:t xml:space="preserve"> impact the gender pay gap. Perpetuating the narrative that women’s </w:t>
      </w:r>
      <w:r>
        <w:rPr>
          <w:lang w:eastAsia="ko-KR"/>
        </w:rPr>
        <w:lastRenderedPageBreak/>
        <w:t xml:space="preserve">lower </w:t>
      </w:r>
      <w:r w:rsidR="004A791B">
        <w:rPr>
          <w:lang w:eastAsia="ko-KR"/>
        </w:rPr>
        <w:t>negotiation propensity</w:t>
      </w:r>
      <w:r>
        <w:rPr>
          <w:lang w:eastAsia="ko-KR"/>
        </w:rPr>
        <w:t xml:space="preserve"> can account for a macro-level pay gap may help to maintain the belief that society is fair and just, but it </w:t>
      </w:r>
      <w:r w:rsidR="0069077F">
        <w:rPr>
          <w:lang w:eastAsia="ko-KR"/>
        </w:rPr>
        <w:t>may not</w:t>
      </w:r>
      <w:r>
        <w:rPr>
          <w:lang w:eastAsia="ko-KR"/>
        </w:rPr>
        <w:t xml:space="preserve"> improve women’s outcomes. </w:t>
      </w:r>
      <w:r>
        <w:rPr>
          <w:b/>
          <w:bCs/>
        </w:rPr>
        <w:br w:type="page"/>
      </w:r>
    </w:p>
    <w:p w14:paraId="5405D51B" w14:textId="4EA321A4" w:rsidR="005A1623" w:rsidRDefault="005A1623" w:rsidP="005A1623">
      <w:pPr>
        <w:pStyle w:val="EndNoteBibliographyTitle"/>
        <w:rPr>
          <w:b/>
          <w:noProof/>
        </w:rPr>
      </w:pPr>
      <w:r w:rsidRPr="005A034D">
        <w:rPr>
          <w:b/>
          <w:noProof/>
        </w:rPr>
        <w:lastRenderedPageBreak/>
        <w:t>REFERENCES</w:t>
      </w:r>
    </w:p>
    <w:p w14:paraId="634E7428" w14:textId="7C0D0B5F" w:rsidR="0074585D" w:rsidRDefault="0074585D" w:rsidP="005A1623">
      <w:pPr>
        <w:pStyle w:val="EndNoteBibliographyTitle"/>
        <w:rPr>
          <w:b/>
          <w:noProof/>
        </w:rPr>
      </w:pPr>
    </w:p>
    <w:p w14:paraId="384CDFB3" w14:textId="44835D92" w:rsidR="0074585D" w:rsidRPr="0074585D" w:rsidRDefault="0074585D" w:rsidP="0053263D">
      <w:pPr>
        <w:pStyle w:val="EndNoteBibliographyTitle"/>
        <w:jc w:val="left"/>
        <w:rPr>
          <w:bCs/>
          <w:noProof/>
        </w:rPr>
      </w:pPr>
      <w:r w:rsidRPr="0074585D">
        <w:rPr>
          <w:bCs/>
          <w:noProof/>
        </w:rPr>
        <w:t>References marked with an asterisk indicate studies included in the</w:t>
      </w:r>
      <w:r>
        <w:rPr>
          <w:bCs/>
          <w:noProof/>
        </w:rPr>
        <w:t xml:space="preserve"> re-analysis of the Kugler et al. (2018)</w:t>
      </w:r>
      <w:r w:rsidRPr="0074585D">
        <w:rPr>
          <w:bCs/>
          <w:noProof/>
        </w:rPr>
        <w:t xml:space="preserve"> meta-analysis</w:t>
      </w:r>
      <w:r>
        <w:rPr>
          <w:bCs/>
          <w:noProof/>
        </w:rPr>
        <w:t xml:space="preserve"> in Study 2c</w:t>
      </w:r>
      <w:r w:rsidRPr="0074585D">
        <w:rPr>
          <w:bCs/>
          <w:noProof/>
        </w:rPr>
        <w:t xml:space="preserve">. </w:t>
      </w:r>
    </w:p>
    <w:p w14:paraId="7ECD43F2" w14:textId="77777777" w:rsidR="005A1623" w:rsidRPr="005A034D" w:rsidRDefault="005A1623" w:rsidP="005A1623">
      <w:pPr>
        <w:pStyle w:val="EndNoteBibliographyTitle"/>
        <w:rPr>
          <w:b/>
          <w:noProof/>
        </w:rPr>
      </w:pPr>
    </w:p>
    <w:p w14:paraId="3F6F4E57" w14:textId="3C56F5E2" w:rsidR="00313606" w:rsidRDefault="00313606" w:rsidP="00313606">
      <w:pPr>
        <w:pStyle w:val="EndNoteBibliography"/>
        <w:ind w:left="720" w:hanging="720"/>
        <w:rPr>
          <w:noProof/>
        </w:rPr>
      </w:pPr>
      <w:r w:rsidRPr="00313606">
        <w:rPr>
          <w:noProof/>
        </w:rPr>
        <w:t xml:space="preserve">Altonji, J. G., &amp; Blank, R. M. (1999). Race and gender in the labor market. </w:t>
      </w:r>
      <w:r w:rsidRPr="00313606">
        <w:rPr>
          <w:b/>
          <w:i/>
          <w:noProof/>
        </w:rPr>
        <w:t xml:space="preserve">Handbook of Labor Economics, </w:t>
      </w:r>
      <w:r w:rsidRPr="00313606">
        <w:rPr>
          <w:i/>
          <w:noProof/>
        </w:rPr>
        <w:t>3</w:t>
      </w:r>
      <w:r w:rsidRPr="00313606">
        <w:rPr>
          <w:noProof/>
        </w:rPr>
        <w:t xml:space="preserve">, 3143–3259. doi:10. 1016/S1573-4463(99)30039-0 </w:t>
      </w:r>
    </w:p>
    <w:p w14:paraId="23B4A4A2" w14:textId="3AE6B30A" w:rsidR="005A1623" w:rsidRPr="005A034D" w:rsidRDefault="005A1623" w:rsidP="005A1623">
      <w:pPr>
        <w:pStyle w:val="EndNoteBibliography"/>
        <w:ind w:left="720" w:hanging="720"/>
        <w:rPr>
          <w:noProof/>
        </w:rPr>
      </w:pPr>
      <w:r w:rsidRPr="005A034D">
        <w:rPr>
          <w:noProof/>
        </w:rPr>
        <w:t xml:space="preserve">Artz, B., Goodall, A. H., &amp; Oswald, A. J. (2018). Do women ask? </w:t>
      </w:r>
      <w:r w:rsidRPr="005A034D">
        <w:rPr>
          <w:b/>
          <w:i/>
          <w:noProof/>
        </w:rPr>
        <w:t>Industrial Relations: A Journal of Economy and Society</w:t>
      </w:r>
      <w:r w:rsidRPr="005A034D">
        <w:rPr>
          <w:noProof/>
        </w:rPr>
        <w:t xml:space="preserve">, </w:t>
      </w:r>
      <w:r w:rsidRPr="00602360">
        <w:rPr>
          <w:i/>
          <w:iCs/>
          <w:noProof/>
        </w:rPr>
        <w:t>57</w:t>
      </w:r>
      <w:r w:rsidR="00602360">
        <w:rPr>
          <w:noProof/>
        </w:rPr>
        <w:t>,</w:t>
      </w:r>
      <w:r w:rsidRPr="005A034D">
        <w:rPr>
          <w:noProof/>
        </w:rPr>
        <w:t xml:space="preserve"> 611-636.</w:t>
      </w:r>
    </w:p>
    <w:p w14:paraId="641CAF4B" w14:textId="009917E2" w:rsidR="005A1623" w:rsidRPr="005A034D" w:rsidRDefault="005A1623" w:rsidP="005A1623">
      <w:pPr>
        <w:pStyle w:val="EndNoteBibliography"/>
        <w:ind w:left="720" w:hanging="720"/>
        <w:rPr>
          <w:noProof/>
        </w:rPr>
      </w:pPr>
      <w:r w:rsidRPr="005A034D">
        <w:rPr>
          <w:noProof/>
        </w:rPr>
        <w:t xml:space="preserve">Ayres, I., &amp; Siegelman, P. (1995). Race and gender discrimination in bargaining for a new car. </w:t>
      </w:r>
      <w:r w:rsidRPr="005A034D">
        <w:rPr>
          <w:b/>
          <w:i/>
          <w:noProof/>
        </w:rPr>
        <w:t>The American Economic Review</w:t>
      </w:r>
      <w:r w:rsidRPr="005A034D">
        <w:rPr>
          <w:noProof/>
        </w:rPr>
        <w:t xml:space="preserve">, </w:t>
      </w:r>
      <w:r w:rsidRPr="00602360">
        <w:rPr>
          <w:i/>
          <w:iCs/>
          <w:noProof/>
        </w:rPr>
        <w:t>85</w:t>
      </w:r>
      <w:r w:rsidR="00602360">
        <w:rPr>
          <w:noProof/>
        </w:rPr>
        <w:t>,</w:t>
      </w:r>
      <w:r w:rsidRPr="005A034D">
        <w:rPr>
          <w:noProof/>
        </w:rPr>
        <w:t xml:space="preserve"> 304–321.</w:t>
      </w:r>
    </w:p>
    <w:p w14:paraId="3B7DC549" w14:textId="2D5433C9" w:rsidR="005A1623" w:rsidRDefault="005A1623" w:rsidP="005A1623">
      <w:pPr>
        <w:pStyle w:val="EndNoteBibliography"/>
        <w:ind w:left="720" w:hanging="720"/>
        <w:rPr>
          <w:noProof/>
        </w:rPr>
      </w:pPr>
      <w:r w:rsidRPr="005A034D">
        <w:rPr>
          <w:noProof/>
        </w:rPr>
        <w:t xml:space="preserve">Babcock, L., &amp; Laschever, S. (2003). </w:t>
      </w:r>
      <w:r w:rsidRPr="005A034D">
        <w:rPr>
          <w:b/>
          <w:i/>
          <w:noProof/>
        </w:rPr>
        <w:t xml:space="preserve">Women </w:t>
      </w:r>
      <w:r w:rsidR="004B10E7">
        <w:rPr>
          <w:b/>
          <w:i/>
          <w:noProof/>
        </w:rPr>
        <w:t>d</w:t>
      </w:r>
      <w:r w:rsidRPr="005A034D">
        <w:rPr>
          <w:b/>
          <w:i/>
          <w:noProof/>
        </w:rPr>
        <w:t xml:space="preserve">on't </w:t>
      </w:r>
      <w:r w:rsidR="004B10E7">
        <w:rPr>
          <w:b/>
          <w:i/>
          <w:noProof/>
        </w:rPr>
        <w:t>a</w:t>
      </w:r>
      <w:r w:rsidRPr="005A034D">
        <w:rPr>
          <w:b/>
          <w:i/>
          <w:noProof/>
        </w:rPr>
        <w:t xml:space="preserve">sk: Negotiation and the </w:t>
      </w:r>
      <w:r w:rsidR="004B10E7">
        <w:rPr>
          <w:b/>
          <w:i/>
          <w:noProof/>
        </w:rPr>
        <w:t>g</w:t>
      </w:r>
      <w:r w:rsidRPr="005A034D">
        <w:rPr>
          <w:b/>
          <w:i/>
          <w:noProof/>
        </w:rPr>
        <w:t xml:space="preserve">ender </w:t>
      </w:r>
      <w:r w:rsidR="004B10E7">
        <w:rPr>
          <w:b/>
          <w:i/>
          <w:noProof/>
        </w:rPr>
        <w:t>d</w:t>
      </w:r>
      <w:r w:rsidRPr="005A034D">
        <w:rPr>
          <w:b/>
          <w:i/>
          <w:noProof/>
        </w:rPr>
        <w:t>ivide</w:t>
      </w:r>
      <w:r w:rsidRPr="005A034D">
        <w:rPr>
          <w:noProof/>
        </w:rPr>
        <w:t>: Princeton University Press.</w:t>
      </w:r>
    </w:p>
    <w:p w14:paraId="60396BBB" w14:textId="39DA28EC" w:rsidR="00553E69" w:rsidRPr="005A034D" w:rsidRDefault="00553E69" w:rsidP="005A1623">
      <w:pPr>
        <w:pStyle w:val="EndNoteBibliography"/>
        <w:ind w:left="720" w:hanging="720"/>
        <w:rPr>
          <w:noProof/>
        </w:rPr>
      </w:pPr>
      <w:r w:rsidRPr="00553E69">
        <w:rPr>
          <w:noProof/>
        </w:rPr>
        <w:t>Babcock, L., Recalde, M. P., Vesterlund, L., &amp; Weingart, L. (2017). Gender differences in accepting and receiving requests for tasks with low promotability. </w:t>
      </w:r>
      <w:r w:rsidRPr="0053263D">
        <w:rPr>
          <w:b/>
          <w:bCs/>
          <w:i/>
          <w:iCs/>
          <w:noProof/>
        </w:rPr>
        <w:t>American Economic Review</w:t>
      </w:r>
      <w:r w:rsidRPr="00553E69">
        <w:rPr>
          <w:noProof/>
        </w:rPr>
        <w:t>, </w:t>
      </w:r>
      <w:r w:rsidRPr="00553E69">
        <w:rPr>
          <w:i/>
          <w:iCs/>
          <w:noProof/>
        </w:rPr>
        <w:t>107</w:t>
      </w:r>
      <w:r w:rsidRPr="00553E69">
        <w:rPr>
          <w:noProof/>
        </w:rPr>
        <w:t>, 714-47.</w:t>
      </w:r>
    </w:p>
    <w:p w14:paraId="4A952C1D" w14:textId="3E64DDD1" w:rsidR="00CA2308" w:rsidRPr="00CA2308" w:rsidRDefault="00CA2308" w:rsidP="005A1623">
      <w:pPr>
        <w:pStyle w:val="EndNoteBibliography"/>
        <w:ind w:left="720" w:hanging="720"/>
        <w:rPr>
          <w:noProof/>
        </w:rPr>
      </w:pPr>
      <w:r>
        <w:rPr>
          <w:noProof/>
        </w:rPr>
        <w:t xml:space="preserve">Bateman, I., Kahneman, D., Munro, A., Starmer, C., &amp; Sugden, R. (2005). Testing competing models of loss aversion: An adversarial collaboration. </w:t>
      </w:r>
      <w:r>
        <w:rPr>
          <w:b/>
          <w:bCs/>
          <w:i/>
          <w:iCs/>
          <w:noProof/>
        </w:rPr>
        <w:t>Journal of Public Economics</w:t>
      </w:r>
      <w:r>
        <w:rPr>
          <w:noProof/>
        </w:rPr>
        <w:t xml:space="preserve">, </w:t>
      </w:r>
      <w:r w:rsidRPr="00DB48F2">
        <w:rPr>
          <w:i/>
          <w:noProof/>
        </w:rPr>
        <w:t>89</w:t>
      </w:r>
      <w:r>
        <w:rPr>
          <w:noProof/>
        </w:rPr>
        <w:t>, 1561-1580.</w:t>
      </w:r>
    </w:p>
    <w:p w14:paraId="630650B8" w14:textId="322B84DF" w:rsidR="005A1623" w:rsidRPr="005A034D" w:rsidRDefault="005A1623" w:rsidP="005A1623">
      <w:pPr>
        <w:pStyle w:val="EndNoteBibliography"/>
        <w:ind w:left="720" w:hanging="720"/>
        <w:rPr>
          <w:noProof/>
        </w:rPr>
      </w:pPr>
      <w:r w:rsidRPr="005A034D">
        <w:rPr>
          <w:noProof/>
        </w:rPr>
        <w:t xml:space="preserve">Bertrand, M., Goldin, C., &amp; Katz, L. F. (2010). Dynamics of the gender gap for young professionals in the financial and corporate sectors. </w:t>
      </w:r>
      <w:r w:rsidRPr="005A034D">
        <w:rPr>
          <w:b/>
          <w:i/>
          <w:noProof/>
        </w:rPr>
        <w:t>American Economic Journal: Applied Economics</w:t>
      </w:r>
      <w:r w:rsidRPr="005A034D">
        <w:rPr>
          <w:noProof/>
        </w:rPr>
        <w:t xml:space="preserve">, </w:t>
      </w:r>
      <w:r w:rsidRPr="00602360">
        <w:rPr>
          <w:i/>
          <w:iCs/>
          <w:noProof/>
        </w:rPr>
        <w:t>2</w:t>
      </w:r>
      <w:r w:rsidR="00602360">
        <w:rPr>
          <w:noProof/>
        </w:rPr>
        <w:t>,</w:t>
      </w:r>
      <w:r w:rsidRPr="005A034D">
        <w:rPr>
          <w:noProof/>
        </w:rPr>
        <w:t xml:space="preserve"> 228–255.</w:t>
      </w:r>
    </w:p>
    <w:p w14:paraId="04537C76" w14:textId="77777777" w:rsidR="005A1623" w:rsidRPr="005A034D" w:rsidRDefault="005A1623" w:rsidP="005A1623">
      <w:pPr>
        <w:pStyle w:val="EndNoteBibliography"/>
        <w:ind w:left="720" w:hanging="720"/>
        <w:rPr>
          <w:noProof/>
        </w:rPr>
      </w:pPr>
      <w:r w:rsidRPr="005A034D">
        <w:rPr>
          <w:noProof/>
        </w:rPr>
        <w:t xml:space="preserve">Bessen, J. E., Meng, C., &amp; Denk, E. (2020). </w:t>
      </w:r>
      <w:r w:rsidRPr="0053263D">
        <w:rPr>
          <w:b/>
          <w:bCs/>
          <w:i/>
          <w:iCs/>
          <w:noProof/>
        </w:rPr>
        <w:t>Perpetuating inequality: What salary history bans reveal about wages</w:t>
      </w:r>
      <w:r w:rsidRPr="005A034D">
        <w:rPr>
          <w:noProof/>
        </w:rPr>
        <w:t xml:space="preserve">. </w:t>
      </w:r>
      <w:r w:rsidRPr="005A034D">
        <w:rPr>
          <w:i/>
          <w:iCs/>
          <w:noProof/>
        </w:rPr>
        <w:t>Available at SSRN 3628729</w:t>
      </w:r>
      <w:r w:rsidRPr="005A034D">
        <w:rPr>
          <w:noProof/>
        </w:rPr>
        <w:t>.</w:t>
      </w:r>
    </w:p>
    <w:p w14:paraId="11DA77A3" w14:textId="7C7262B1" w:rsidR="005A1623" w:rsidRDefault="005A1623" w:rsidP="005A1623">
      <w:pPr>
        <w:pStyle w:val="EndNoteBibliography"/>
        <w:ind w:left="720" w:hanging="720"/>
        <w:rPr>
          <w:noProof/>
        </w:rPr>
      </w:pPr>
      <w:r w:rsidRPr="005A034D">
        <w:rPr>
          <w:noProof/>
        </w:rPr>
        <w:t xml:space="preserve">Blau, F. D., &amp; Kahn, L. M. (2007). The gender pay gap. </w:t>
      </w:r>
      <w:r w:rsidRPr="005A034D">
        <w:rPr>
          <w:b/>
          <w:i/>
          <w:noProof/>
        </w:rPr>
        <w:t>Academy of Management Perspectives</w:t>
      </w:r>
      <w:r w:rsidRPr="005A034D">
        <w:rPr>
          <w:noProof/>
        </w:rPr>
        <w:t xml:space="preserve">, </w:t>
      </w:r>
      <w:r w:rsidRPr="00602360">
        <w:rPr>
          <w:i/>
          <w:iCs/>
          <w:noProof/>
        </w:rPr>
        <w:t>21</w:t>
      </w:r>
      <w:r w:rsidR="00602360">
        <w:rPr>
          <w:noProof/>
        </w:rPr>
        <w:t>,</w:t>
      </w:r>
      <w:r w:rsidRPr="005A034D">
        <w:rPr>
          <w:noProof/>
        </w:rPr>
        <w:t xml:space="preserve"> 7–23.</w:t>
      </w:r>
    </w:p>
    <w:p w14:paraId="4B411A35" w14:textId="5386A114" w:rsidR="00CF091B" w:rsidRPr="005A034D" w:rsidRDefault="00CF091B" w:rsidP="005A1623">
      <w:pPr>
        <w:pStyle w:val="EndNoteBibliography"/>
        <w:ind w:left="720" w:hanging="720"/>
        <w:rPr>
          <w:noProof/>
        </w:rPr>
      </w:pPr>
      <w:r w:rsidRPr="00CF091B">
        <w:rPr>
          <w:noProof/>
        </w:rPr>
        <w:lastRenderedPageBreak/>
        <w:t xml:space="preserve">Boothby, E. J., Cooney, G., &amp; Schweitzer, M. E. (2023). Embracing </w:t>
      </w:r>
      <w:r>
        <w:rPr>
          <w:noProof/>
        </w:rPr>
        <w:t>c</w:t>
      </w:r>
      <w:r w:rsidRPr="00CF091B">
        <w:rPr>
          <w:noProof/>
        </w:rPr>
        <w:t xml:space="preserve">omplexity: A </w:t>
      </w:r>
      <w:r>
        <w:rPr>
          <w:noProof/>
        </w:rPr>
        <w:t>r</w:t>
      </w:r>
      <w:r w:rsidRPr="00CF091B">
        <w:rPr>
          <w:noProof/>
        </w:rPr>
        <w:t xml:space="preserve">eview of </w:t>
      </w:r>
      <w:r>
        <w:rPr>
          <w:noProof/>
        </w:rPr>
        <w:t>n</w:t>
      </w:r>
      <w:r w:rsidRPr="00CF091B">
        <w:rPr>
          <w:noProof/>
        </w:rPr>
        <w:t xml:space="preserve">egotiation </w:t>
      </w:r>
      <w:r>
        <w:rPr>
          <w:noProof/>
        </w:rPr>
        <w:t>r</w:t>
      </w:r>
      <w:r w:rsidRPr="00CF091B">
        <w:rPr>
          <w:noProof/>
        </w:rPr>
        <w:t>esearch. </w:t>
      </w:r>
      <w:r w:rsidRPr="0053263D">
        <w:rPr>
          <w:b/>
          <w:bCs/>
          <w:i/>
          <w:iCs/>
          <w:noProof/>
        </w:rPr>
        <w:t>Annual Review of Psychology</w:t>
      </w:r>
      <w:r w:rsidRPr="00CF091B">
        <w:rPr>
          <w:noProof/>
        </w:rPr>
        <w:t>, </w:t>
      </w:r>
      <w:r w:rsidRPr="00CF091B">
        <w:rPr>
          <w:i/>
          <w:iCs/>
          <w:noProof/>
        </w:rPr>
        <w:t>74</w:t>
      </w:r>
      <w:r>
        <w:rPr>
          <w:i/>
          <w:iCs/>
          <w:noProof/>
        </w:rPr>
        <w:t xml:space="preserve">, </w:t>
      </w:r>
      <w:r w:rsidRPr="00CF091B">
        <w:rPr>
          <w:noProof/>
        </w:rPr>
        <w:t>12.1-12.34.</w:t>
      </w:r>
    </w:p>
    <w:p w14:paraId="052C679C" w14:textId="30AF6493" w:rsidR="005A1623" w:rsidRPr="005A034D" w:rsidRDefault="005A1623" w:rsidP="005A1623">
      <w:pPr>
        <w:pStyle w:val="EndNoteBibliography"/>
        <w:ind w:left="720" w:hanging="720"/>
        <w:rPr>
          <w:noProof/>
        </w:rPr>
      </w:pPr>
      <w:r w:rsidRPr="005A034D">
        <w:rPr>
          <w:noProof/>
        </w:rPr>
        <w:t>Bowles, H. R., Babcock, L., &amp; Lai, L. (2007). Social incentives for gender differences in the propensity to initiate negotiations: Sometimes it does hurt to ask. </w:t>
      </w:r>
      <w:r w:rsidRPr="00602360">
        <w:rPr>
          <w:b/>
          <w:bCs/>
          <w:i/>
          <w:iCs/>
          <w:noProof/>
        </w:rPr>
        <w:t xml:space="preserve">Organizational Behavior and </w:t>
      </w:r>
      <w:r w:rsidR="004B10E7">
        <w:rPr>
          <w:b/>
          <w:bCs/>
          <w:i/>
          <w:iCs/>
          <w:noProof/>
        </w:rPr>
        <w:t>H</w:t>
      </w:r>
      <w:r w:rsidRPr="00602360">
        <w:rPr>
          <w:b/>
          <w:bCs/>
          <w:i/>
          <w:iCs/>
          <w:noProof/>
        </w:rPr>
        <w:t xml:space="preserve">uman </w:t>
      </w:r>
      <w:r w:rsidR="004B10E7">
        <w:rPr>
          <w:b/>
          <w:bCs/>
          <w:i/>
          <w:iCs/>
          <w:noProof/>
        </w:rPr>
        <w:t>D</w:t>
      </w:r>
      <w:r w:rsidRPr="00602360">
        <w:rPr>
          <w:b/>
          <w:bCs/>
          <w:i/>
          <w:iCs/>
          <w:noProof/>
        </w:rPr>
        <w:t>ecision Processes</w:t>
      </w:r>
      <w:r w:rsidRPr="005A034D">
        <w:rPr>
          <w:noProof/>
        </w:rPr>
        <w:t>, </w:t>
      </w:r>
      <w:r w:rsidRPr="005A034D">
        <w:rPr>
          <w:i/>
          <w:iCs/>
          <w:noProof/>
        </w:rPr>
        <w:t>103</w:t>
      </w:r>
      <w:r w:rsidRPr="005A034D">
        <w:rPr>
          <w:noProof/>
        </w:rPr>
        <w:t>, 84-103.</w:t>
      </w:r>
    </w:p>
    <w:p w14:paraId="138F726A" w14:textId="48D102C2" w:rsidR="005A1623" w:rsidRDefault="005A1623" w:rsidP="005A1623">
      <w:pPr>
        <w:pStyle w:val="EndNoteBibliography"/>
        <w:ind w:left="720" w:hanging="720"/>
        <w:rPr>
          <w:noProof/>
        </w:rPr>
      </w:pPr>
      <w:r w:rsidRPr="005A034D">
        <w:rPr>
          <w:noProof/>
        </w:rPr>
        <w:t xml:space="preserve">Bowles, H. R., Babcock, L., &amp; McGinn, K. L. (2005). Constraints and triggers: Situational mechanics of gender in negotiation. </w:t>
      </w:r>
      <w:r w:rsidRPr="005A034D">
        <w:rPr>
          <w:b/>
          <w:i/>
          <w:noProof/>
        </w:rPr>
        <w:t>Journal of Personality and Social Psychology</w:t>
      </w:r>
      <w:r w:rsidRPr="005A034D">
        <w:rPr>
          <w:noProof/>
        </w:rPr>
        <w:t xml:space="preserve">, </w:t>
      </w:r>
      <w:r w:rsidRPr="00602360">
        <w:rPr>
          <w:i/>
          <w:iCs/>
          <w:noProof/>
        </w:rPr>
        <w:t>89</w:t>
      </w:r>
      <w:r w:rsidR="00602360">
        <w:rPr>
          <w:noProof/>
        </w:rPr>
        <w:t>,</w:t>
      </w:r>
      <w:r w:rsidRPr="005A034D">
        <w:rPr>
          <w:noProof/>
        </w:rPr>
        <w:t xml:space="preserve"> 951–965.</w:t>
      </w:r>
    </w:p>
    <w:p w14:paraId="2E591AE9" w14:textId="77777777" w:rsidR="00CB085B" w:rsidRPr="00CB085B" w:rsidRDefault="00CB085B" w:rsidP="00CB085B">
      <w:pPr>
        <w:pStyle w:val="EndNoteBibliography"/>
        <w:ind w:left="720" w:hanging="720"/>
        <w:rPr>
          <w:noProof/>
        </w:rPr>
      </w:pPr>
      <w:r w:rsidRPr="00CB085B">
        <w:rPr>
          <w:noProof/>
        </w:rPr>
        <w:t xml:space="preserve">Bowles, H. R., &amp; Kray, L. J. (2013). Negotiation is a man’s game: Ultimate truth or enduring myth? </w:t>
      </w:r>
      <w:r w:rsidRPr="0053263D">
        <w:rPr>
          <w:b/>
          <w:bCs/>
          <w:i/>
          <w:noProof/>
        </w:rPr>
        <w:t>Gender &amp; Work: Challenging Conventional Wisdom. Research Symposium in honor of 50 years of women MBA</w:t>
      </w:r>
      <w:r w:rsidRPr="00CB085B">
        <w:rPr>
          <w:noProof/>
        </w:rPr>
        <w:t>. Harvard Business School Press.</w:t>
      </w:r>
    </w:p>
    <w:p w14:paraId="0124FC77" w14:textId="4B8C7F55" w:rsidR="005A1623" w:rsidRPr="005A034D" w:rsidRDefault="005A1623" w:rsidP="005A1623">
      <w:pPr>
        <w:pStyle w:val="EndNoteBibliography"/>
        <w:ind w:left="720" w:hanging="720"/>
        <w:rPr>
          <w:noProof/>
        </w:rPr>
      </w:pPr>
      <w:r w:rsidRPr="005A034D">
        <w:t xml:space="preserve">Bowles, H. R., Thomason, B., &amp; Macias-Alonso, I (2022). Gender in negotiation: A diagnostic tool for interpreting and predicting organizational effects.” </w:t>
      </w:r>
      <w:r w:rsidRPr="005A034D">
        <w:rPr>
          <w:b/>
          <w:bCs/>
          <w:i/>
          <w:iCs/>
        </w:rPr>
        <w:t>Annual Review of Organizational Psychology and Organizational Behavior</w:t>
      </w:r>
      <w:r w:rsidRPr="005A034D">
        <w:t xml:space="preserve">, </w:t>
      </w:r>
      <w:r w:rsidRPr="00602360">
        <w:rPr>
          <w:i/>
          <w:iCs/>
        </w:rPr>
        <w:t>9</w:t>
      </w:r>
      <w:r w:rsidR="00602360">
        <w:t>,</w:t>
      </w:r>
      <w:r w:rsidRPr="005A034D">
        <w:t xml:space="preserve"> 199-223.</w:t>
      </w:r>
    </w:p>
    <w:p w14:paraId="02F61E4D" w14:textId="4FF97188" w:rsidR="005A1623" w:rsidRPr="005A034D" w:rsidRDefault="005A1623" w:rsidP="005A1623">
      <w:pPr>
        <w:pStyle w:val="EndNoteBibliography"/>
        <w:ind w:left="720" w:hanging="720"/>
        <w:rPr>
          <w:noProof/>
        </w:rPr>
      </w:pPr>
      <w:r w:rsidRPr="005A034D">
        <w:rPr>
          <w:noProof/>
        </w:rPr>
        <w:t>Brescoll, V., &amp; LaFrance, M. (2004). The correlates and consequences of newspaper reports of research on sex differences. </w:t>
      </w:r>
      <w:r w:rsidRPr="00C74CB8">
        <w:rPr>
          <w:b/>
          <w:bCs/>
          <w:i/>
          <w:iCs/>
          <w:noProof/>
        </w:rPr>
        <w:t>Psychological Science</w:t>
      </w:r>
      <w:r w:rsidRPr="005A034D">
        <w:rPr>
          <w:noProof/>
        </w:rPr>
        <w:t>, </w:t>
      </w:r>
      <w:r w:rsidRPr="00602360">
        <w:rPr>
          <w:i/>
          <w:iCs/>
          <w:noProof/>
        </w:rPr>
        <w:t>15</w:t>
      </w:r>
      <w:r w:rsidRPr="005A034D">
        <w:rPr>
          <w:noProof/>
        </w:rPr>
        <w:t>, 515-520.</w:t>
      </w:r>
    </w:p>
    <w:p w14:paraId="13CDE96D" w14:textId="2B962293" w:rsidR="00E40C8B" w:rsidRPr="0064278A" w:rsidRDefault="00E40C8B" w:rsidP="005A1623">
      <w:pPr>
        <w:pStyle w:val="EndNoteBibliography"/>
        <w:ind w:left="720" w:hanging="720"/>
        <w:rPr>
          <w:noProof/>
        </w:rPr>
      </w:pPr>
      <w:r w:rsidRPr="00E40C8B">
        <w:rPr>
          <w:noProof/>
        </w:rPr>
        <w:t xml:space="preserve">Buhrmester, </w:t>
      </w:r>
      <w:r>
        <w:rPr>
          <w:noProof/>
        </w:rPr>
        <w:t xml:space="preserve">M., </w:t>
      </w:r>
      <w:r w:rsidRPr="00E40C8B">
        <w:rPr>
          <w:noProof/>
        </w:rPr>
        <w:t>Kwang,</w:t>
      </w:r>
      <w:r>
        <w:rPr>
          <w:noProof/>
        </w:rPr>
        <w:t xml:space="preserve"> T., &amp;</w:t>
      </w:r>
      <w:r w:rsidRPr="00E40C8B">
        <w:rPr>
          <w:noProof/>
        </w:rPr>
        <w:t xml:space="preserve"> Gosling</w:t>
      </w:r>
      <w:r>
        <w:rPr>
          <w:noProof/>
        </w:rPr>
        <w:t>, S. D.</w:t>
      </w:r>
      <w:r w:rsidRPr="00E40C8B">
        <w:rPr>
          <w:noProof/>
        </w:rPr>
        <w:t xml:space="preserve"> (2016)</w:t>
      </w:r>
      <w:r>
        <w:rPr>
          <w:noProof/>
        </w:rPr>
        <w:t>. Amazon’s Mechanical Turk: A n</w:t>
      </w:r>
      <w:r w:rsidR="0064278A">
        <w:rPr>
          <w:noProof/>
        </w:rPr>
        <w:t xml:space="preserve">ew source of inexpensive, yet high quality, data? </w:t>
      </w:r>
      <w:r w:rsidR="0064278A" w:rsidRPr="00CB585F">
        <w:rPr>
          <w:b/>
          <w:bCs/>
          <w:i/>
          <w:iCs/>
          <w:noProof/>
        </w:rPr>
        <w:t>Perspectives on Psychological Science</w:t>
      </w:r>
      <w:r w:rsidR="0064278A">
        <w:rPr>
          <w:i/>
          <w:iCs/>
          <w:noProof/>
        </w:rPr>
        <w:t xml:space="preserve">, 6, </w:t>
      </w:r>
      <w:r w:rsidR="0064278A">
        <w:rPr>
          <w:noProof/>
        </w:rPr>
        <w:t>3-5.</w:t>
      </w:r>
    </w:p>
    <w:p w14:paraId="36F524E0" w14:textId="53F25C5B" w:rsidR="005A1623" w:rsidRPr="005A034D" w:rsidRDefault="005A1623" w:rsidP="005A1623">
      <w:pPr>
        <w:pStyle w:val="EndNoteBibliography"/>
        <w:ind w:left="720" w:hanging="720"/>
        <w:rPr>
          <w:noProof/>
        </w:rPr>
      </w:pPr>
      <w:r w:rsidRPr="005A034D">
        <w:rPr>
          <w:noProof/>
        </w:rPr>
        <w:t xml:space="preserve">Bylsma, W. H., &amp; Major, B. </w:t>
      </w:r>
      <w:r w:rsidR="00C74CB8">
        <w:rPr>
          <w:noProof/>
        </w:rPr>
        <w:t>(1</w:t>
      </w:r>
      <w:r w:rsidRPr="005A034D">
        <w:rPr>
          <w:noProof/>
        </w:rPr>
        <w:t>992</w:t>
      </w:r>
      <w:r w:rsidR="00C74CB8">
        <w:rPr>
          <w:noProof/>
        </w:rPr>
        <w:t>)</w:t>
      </w:r>
      <w:r w:rsidRPr="005A034D">
        <w:rPr>
          <w:noProof/>
        </w:rPr>
        <w:t xml:space="preserve">. Two routes to eliminating gender differences in personal entitlement: Social comparisons and performance evaluations. </w:t>
      </w:r>
      <w:r w:rsidRPr="005A034D">
        <w:rPr>
          <w:b/>
          <w:i/>
          <w:noProof/>
        </w:rPr>
        <w:t>Psychology of Women Quarterly</w:t>
      </w:r>
      <w:r w:rsidRPr="005A034D">
        <w:rPr>
          <w:noProof/>
        </w:rPr>
        <w:t xml:space="preserve">, </w:t>
      </w:r>
      <w:r w:rsidRPr="00602360">
        <w:rPr>
          <w:i/>
          <w:iCs/>
          <w:noProof/>
        </w:rPr>
        <w:t>16</w:t>
      </w:r>
      <w:r w:rsidR="00602360">
        <w:rPr>
          <w:noProof/>
        </w:rPr>
        <w:t>,</w:t>
      </w:r>
      <w:r w:rsidRPr="005A034D">
        <w:rPr>
          <w:noProof/>
        </w:rPr>
        <w:t xml:space="preserve"> 193–200.</w:t>
      </w:r>
    </w:p>
    <w:p w14:paraId="3B2FB051" w14:textId="4C8EAFE0" w:rsidR="00C74CB8" w:rsidRDefault="00C74CB8" w:rsidP="005A1623">
      <w:pPr>
        <w:pStyle w:val="EndNoteBibliography"/>
        <w:ind w:left="720" w:hanging="720"/>
        <w:rPr>
          <w:noProof/>
        </w:rPr>
      </w:pPr>
      <w:r>
        <w:rPr>
          <w:noProof/>
        </w:rPr>
        <w:t>Catalyst. (2022). Women in management (quick take).</w:t>
      </w:r>
      <w:r w:rsidR="00DB48F2">
        <w:rPr>
          <w:noProof/>
        </w:rPr>
        <w:t xml:space="preserve"> </w:t>
      </w:r>
      <w:r w:rsidRPr="0084183F">
        <w:rPr>
          <w:noProof/>
        </w:rPr>
        <w:t>https://www.catalyst.org/research/women-in-management/</w:t>
      </w:r>
    </w:p>
    <w:p w14:paraId="75946D7D" w14:textId="7A0C0BDA" w:rsidR="005A1623" w:rsidRPr="005A034D" w:rsidRDefault="005A1623" w:rsidP="005A1623">
      <w:pPr>
        <w:pStyle w:val="EndNoteBibliography"/>
        <w:ind w:left="720" w:hanging="720"/>
        <w:rPr>
          <w:noProof/>
        </w:rPr>
      </w:pPr>
      <w:r w:rsidRPr="005A034D">
        <w:rPr>
          <w:noProof/>
        </w:rPr>
        <w:lastRenderedPageBreak/>
        <w:t xml:space="preserve">Chesler, P., &amp; Goodman, E. J. (1977). </w:t>
      </w:r>
      <w:r w:rsidRPr="005A034D">
        <w:rPr>
          <w:b/>
          <w:i/>
          <w:noProof/>
        </w:rPr>
        <w:t>Women, money &amp; power</w:t>
      </w:r>
      <w:r w:rsidRPr="005A034D">
        <w:rPr>
          <w:noProof/>
        </w:rPr>
        <w:t>: Bantam Books.</w:t>
      </w:r>
    </w:p>
    <w:p w14:paraId="6C03E9AD" w14:textId="5A1C2DA2" w:rsidR="002B1D23" w:rsidRDefault="008E2FC7" w:rsidP="005A1623">
      <w:pPr>
        <w:pStyle w:val="EndNoteBibliography"/>
        <w:ind w:left="720" w:hanging="720"/>
        <w:rPr>
          <w:noProof/>
        </w:rPr>
      </w:pPr>
      <w:r w:rsidRPr="008E2FC7">
        <w:rPr>
          <w:noProof/>
        </w:rPr>
        <w:t xml:space="preserve">Clark, C. J., Costello, T., Mitchell, G., &amp; Tetlock, P. E. (2022). Keep your enemies close: Adversarial collaborations will improve behavioral science. </w:t>
      </w:r>
      <w:r w:rsidRPr="00DB48F2">
        <w:rPr>
          <w:b/>
          <w:bCs/>
          <w:i/>
          <w:iCs/>
          <w:noProof/>
        </w:rPr>
        <w:t>Journal of Applied Research in Memory and Cognition</w:t>
      </w:r>
      <w:r w:rsidRPr="00DB48F2">
        <w:rPr>
          <w:i/>
          <w:iCs/>
          <w:noProof/>
        </w:rPr>
        <w:t>, 11</w:t>
      </w:r>
      <w:r w:rsidRPr="008E2FC7">
        <w:rPr>
          <w:noProof/>
        </w:rPr>
        <w:t>, 1–18.</w:t>
      </w:r>
    </w:p>
    <w:p w14:paraId="5A394A45" w14:textId="7B25964C" w:rsidR="005A1623" w:rsidRPr="005A034D" w:rsidRDefault="005A1623" w:rsidP="005A1623">
      <w:pPr>
        <w:pStyle w:val="EndNoteBibliography"/>
        <w:ind w:left="720" w:hanging="720"/>
        <w:rPr>
          <w:noProof/>
        </w:rPr>
      </w:pPr>
      <w:r w:rsidRPr="005A034D">
        <w:rPr>
          <w:noProof/>
        </w:rPr>
        <w:t xml:space="preserve">Connor, R. A., &amp; Fiske, S. T. (2019). Not minding the gap: How hostile sexism encourages choice explanations for the gender income gap. </w:t>
      </w:r>
      <w:r w:rsidRPr="005A034D">
        <w:rPr>
          <w:b/>
          <w:i/>
          <w:noProof/>
        </w:rPr>
        <w:t>Psychology of Women Quarterly</w:t>
      </w:r>
      <w:r w:rsidRPr="005A034D">
        <w:rPr>
          <w:noProof/>
        </w:rPr>
        <w:t xml:space="preserve">, </w:t>
      </w:r>
      <w:r w:rsidRPr="00602360">
        <w:rPr>
          <w:i/>
          <w:iCs/>
          <w:noProof/>
        </w:rPr>
        <w:t>43</w:t>
      </w:r>
      <w:r w:rsidR="00602360">
        <w:rPr>
          <w:noProof/>
        </w:rPr>
        <w:t xml:space="preserve">, </w:t>
      </w:r>
      <w:r w:rsidRPr="005A034D">
        <w:rPr>
          <w:noProof/>
        </w:rPr>
        <w:t>22-36.</w:t>
      </w:r>
    </w:p>
    <w:p w14:paraId="52DA4205" w14:textId="7CDD15BD" w:rsidR="00FC1529" w:rsidRDefault="00FC1529" w:rsidP="005A1623">
      <w:pPr>
        <w:pStyle w:val="EndNoteBibliography"/>
        <w:ind w:left="720" w:hanging="720"/>
        <w:rPr>
          <w:noProof/>
        </w:rPr>
      </w:pPr>
      <w:r w:rsidRPr="00FC1529">
        <w:rPr>
          <w:noProof/>
        </w:rPr>
        <w:t xml:space="preserve">Cowan, N., Belletier, C., Doherty, J. M., Jaroslawska, A. J., Rhodes, S., Forsberg, A., Naveh-Benjamin, M., Barrouillet, P., Camos, V., &amp; Logie, R. H. (2020). How </w:t>
      </w:r>
      <w:r>
        <w:rPr>
          <w:noProof/>
        </w:rPr>
        <w:t>d</w:t>
      </w:r>
      <w:r w:rsidRPr="00FC1529">
        <w:rPr>
          <w:noProof/>
        </w:rPr>
        <w:t xml:space="preserve">o </w:t>
      </w:r>
      <w:r>
        <w:rPr>
          <w:noProof/>
        </w:rPr>
        <w:t>s</w:t>
      </w:r>
      <w:r w:rsidRPr="00FC1529">
        <w:rPr>
          <w:noProof/>
        </w:rPr>
        <w:t xml:space="preserve">cientific </w:t>
      </w:r>
      <w:r>
        <w:rPr>
          <w:noProof/>
        </w:rPr>
        <w:t>v</w:t>
      </w:r>
      <w:r w:rsidRPr="00FC1529">
        <w:rPr>
          <w:noProof/>
        </w:rPr>
        <w:t xml:space="preserve">iews </w:t>
      </w:r>
      <w:r>
        <w:rPr>
          <w:noProof/>
        </w:rPr>
        <w:t>c</w:t>
      </w:r>
      <w:r w:rsidRPr="00FC1529">
        <w:rPr>
          <w:noProof/>
        </w:rPr>
        <w:t xml:space="preserve">hange? Notes </w:t>
      </w:r>
      <w:r>
        <w:rPr>
          <w:noProof/>
        </w:rPr>
        <w:t>f</w:t>
      </w:r>
      <w:r w:rsidRPr="00FC1529">
        <w:rPr>
          <w:noProof/>
        </w:rPr>
        <w:t xml:space="preserve">rom an </w:t>
      </w:r>
      <w:r>
        <w:rPr>
          <w:noProof/>
        </w:rPr>
        <w:t>e</w:t>
      </w:r>
      <w:r w:rsidRPr="00FC1529">
        <w:rPr>
          <w:noProof/>
        </w:rPr>
        <w:t xml:space="preserve">xtended </w:t>
      </w:r>
      <w:r>
        <w:rPr>
          <w:noProof/>
        </w:rPr>
        <w:t>a</w:t>
      </w:r>
      <w:r w:rsidRPr="00FC1529">
        <w:rPr>
          <w:noProof/>
        </w:rPr>
        <w:t xml:space="preserve">dversarial </w:t>
      </w:r>
      <w:r>
        <w:rPr>
          <w:noProof/>
        </w:rPr>
        <w:t>c</w:t>
      </w:r>
      <w:r w:rsidRPr="00FC1529">
        <w:rPr>
          <w:noProof/>
        </w:rPr>
        <w:t xml:space="preserve">ollaboration. </w:t>
      </w:r>
      <w:r w:rsidRPr="00DB48F2">
        <w:rPr>
          <w:b/>
          <w:bCs/>
          <w:i/>
          <w:iCs/>
          <w:noProof/>
        </w:rPr>
        <w:t>Perspectives on Psychological Science</w:t>
      </w:r>
      <w:r w:rsidRPr="00FC1529">
        <w:rPr>
          <w:noProof/>
        </w:rPr>
        <w:t xml:space="preserve">, </w:t>
      </w:r>
      <w:r w:rsidRPr="00DB48F2">
        <w:rPr>
          <w:i/>
          <w:iCs/>
          <w:noProof/>
        </w:rPr>
        <w:t>15</w:t>
      </w:r>
      <w:r w:rsidRPr="00FC1529">
        <w:rPr>
          <w:noProof/>
        </w:rPr>
        <w:t xml:space="preserve">, 1011–1025. </w:t>
      </w:r>
    </w:p>
    <w:p w14:paraId="476CFCD6" w14:textId="38B1A77F" w:rsidR="00012482" w:rsidRPr="005A034D" w:rsidRDefault="00012482" w:rsidP="00012482">
      <w:pPr>
        <w:pStyle w:val="EndNoteBibliography"/>
        <w:ind w:left="720" w:hanging="720"/>
        <w:rPr>
          <w:noProof/>
        </w:rPr>
      </w:pPr>
      <w:r w:rsidRPr="00012482">
        <w:rPr>
          <w:noProof/>
        </w:rPr>
        <w:t>Crocker, J., &amp; Major, B. (1989). Social stigma and self-esteem: The self-protective properties of stigma. </w:t>
      </w:r>
      <w:r w:rsidRPr="00012482">
        <w:rPr>
          <w:b/>
          <w:i/>
          <w:iCs/>
          <w:noProof/>
        </w:rPr>
        <w:t>Psychological Review</w:t>
      </w:r>
      <w:r w:rsidRPr="00012482">
        <w:rPr>
          <w:noProof/>
        </w:rPr>
        <w:t>, </w:t>
      </w:r>
      <w:r w:rsidRPr="00012482">
        <w:rPr>
          <w:i/>
          <w:iCs/>
          <w:noProof/>
        </w:rPr>
        <w:t>96</w:t>
      </w:r>
      <w:r w:rsidRPr="00012482">
        <w:rPr>
          <w:noProof/>
        </w:rPr>
        <w:t>, 608</w:t>
      </w:r>
      <w:r w:rsidR="00BB7CE0">
        <w:rPr>
          <w:noProof/>
        </w:rPr>
        <w:t>-630</w:t>
      </w:r>
      <w:r w:rsidRPr="00012482">
        <w:rPr>
          <w:noProof/>
        </w:rPr>
        <w:t>.</w:t>
      </w:r>
    </w:p>
    <w:p w14:paraId="4080B01A" w14:textId="77777777" w:rsidR="005A1623" w:rsidRPr="005A034D" w:rsidRDefault="005A1623" w:rsidP="005A1623">
      <w:pPr>
        <w:pStyle w:val="EndNoteBibliography"/>
        <w:ind w:left="720" w:hanging="720"/>
        <w:rPr>
          <w:noProof/>
        </w:rPr>
      </w:pPr>
      <w:r w:rsidRPr="005A034D">
        <w:rPr>
          <w:noProof/>
        </w:rPr>
        <w:t xml:space="preserve">Crosby, F. J. (1982). </w:t>
      </w:r>
      <w:r w:rsidRPr="005A034D">
        <w:rPr>
          <w:b/>
          <w:i/>
          <w:noProof/>
        </w:rPr>
        <w:t>Relative deprivation and working women</w:t>
      </w:r>
      <w:r w:rsidRPr="005A034D">
        <w:rPr>
          <w:noProof/>
        </w:rPr>
        <w:t>. New York: Oxford University Press.</w:t>
      </w:r>
    </w:p>
    <w:p w14:paraId="23F0B894" w14:textId="5D2F43B7" w:rsidR="005A1623" w:rsidRDefault="005A1623" w:rsidP="005A1623">
      <w:pPr>
        <w:pStyle w:val="EndNoteBibliography"/>
        <w:ind w:left="720" w:hanging="720"/>
        <w:rPr>
          <w:noProof/>
        </w:rPr>
      </w:pPr>
      <w:r w:rsidRPr="005A034D">
        <w:rPr>
          <w:noProof/>
        </w:rPr>
        <w:t xml:space="preserve">Croson, R., &amp; Gneezy, U. (2009). Gender differences in preferences. </w:t>
      </w:r>
      <w:r w:rsidRPr="005A034D">
        <w:rPr>
          <w:b/>
          <w:i/>
          <w:noProof/>
        </w:rPr>
        <w:t>Journal of Economic Literature</w:t>
      </w:r>
      <w:r w:rsidRPr="005A034D">
        <w:rPr>
          <w:noProof/>
        </w:rPr>
        <w:t xml:space="preserve">, </w:t>
      </w:r>
      <w:r w:rsidRPr="00602360">
        <w:rPr>
          <w:i/>
          <w:iCs/>
          <w:noProof/>
        </w:rPr>
        <w:t>47</w:t>
      </w:r>
      <w:r w:rsidR="00602360">
        <w:rPr>
          <w:noProof/>
        </w:rPr>
        <w:t>,</w:t>
      </w:r>
      <w:r w:rsidRPr="005A034D">
        <w:rPr>
          <w:noProof/>
        </w:rPr>
        <w:t xml:space="preserve"> 448–474.</w:t>
      </w:r>
    </w:p>
    <w:p w14:paraId="7945BCF0" w14:textId="083EB7F9" w:rsidR="00427B09" w:rsidRPr="005A034D" w:rsidRDefault="00427B09" w:rsidP="00427B09">
      <w:pPr>
        <w:pStyle w:val="EndNoteBibliography"/>
        <w:ind w:left="720" w:hanging="720"/>
        <w:rPr>
          <w:noProof/>
        </w:rPr>
      </w:pPr>
      <w:r>
        <w:rPr>
          <w:noProof/>
        </w:rPr>
        <w:t>*</w:t>
      </w:r>
      <w:r w:rsidRPr="00427B09">
        <w:rPr>
          <w:noProof/>
        </w:rPr>
        <w:t xml:space="preserve">Crothers, L. M., Hughes, T. L., Schmitt, A. J., Theodore, L. A., Lipinski, J., Bloomquist, A. J., &amp; Altman, C. L. (2010). Has equity been achieved? Salary and promotion negotiation practices of a national sample of school psychology university faculty. </w:t>
      </w:r>
      <w:r w:rsidRPr="0053263D">
        <w:rPr>
          <w:b/>
          <w:bCs/>
          <w:i/>
          <w:iCs/>
          <w:noProof/>
        </w:rPr>
        <w:t>The Psychologist-Manager Journal</w:t>
      </w:r>
      <w:r w:rsidRPr="00427B09">
        <w:rPr>
          <w:i/>
          <w:iCs/>
          <w:noProof/>
        </w:rPr>
        <w:t xml:space="preserve">, 13, </w:t>
      </w:r>
      <w:r w:rsidRPr="00427B09">
        <w:rPr>
          <w:noProof/>
        </w:rPr>
        <w:t>40–59</w:t>
      </w:r>
    </w:p>
    <w:p w14:paraId="64E5C527" w14:textId="3703D9BE" w:rsidR="005A1623" w:rsidRPr="005A034D" w:rsidRDefault="005A1623" w:rsidP="005A1623">
      <w:pPr>
        <w:pStyle w:val="EndNoteBibliography"/>
        <w:ind w:left="720" w:hanging="720"/>
        <w:rPr>
          <w:noProof/>
        </w:rPr>
      </w:pPr>
      <w:r w:rsidRPr="005A034D">
        <w:rPr>
          <w:noProof/>
        </w:rPr>
        <w:t xml:space="preserve">Dannals, J. E., Zlatev, J. J., Halevy, N., &amp; Neale, M. A. (2021). The dynamics of gender and alternatives in negotiation. </w:t>
      </w:r>
      <w:r w:rsidRPr="005A034D">
        <w:rPr>
          <w:b/>
          <w:i/>
          <w:noProof/>
        </w:rPr>
        <w:t>Journal of Applied Psychology</w:t>
      </w:r>
      <w:r w:rsidR="00AD62C3">
        <w:rPr>
          <w:bCs/>
          <w:i/>
          <w:noProof/>
        </w:rPr>
        <w:t xml:space="preserve">, 106, </w:t>
      </w:r>
      <w:r w:rsidR="00AD62C3">
        <w:rPr>
          <w:bCs/>
          <w:iCs/>
          <w:noProof/>
        </w:rPr>
        <w:t>1655-1672</w:t>
      </w:r>
      <w:r w:rsidRPr="005A034D">
        <w:rPr>
          <w:noProof/>
        </w:rPr>
        <w:t>.</w:t>
      </w:r>
    </w:p>
    <w:p w14:paraId="5DC95CA2" w14:textId="0FFC1268" w:rsidR="005A1623" w:rsidRPr="005A034D" w:rsidRDefault="005A1623" w:rsidP="005A1623">
      <w:pPr>
        <w:pStyle w:val="EndNoteBibliography"/>
        <w:ind w:left="720" w:hanging="720"/>
        <w:rPr>
          <w:noProof/>
        </w:rPr>
      </w:pPr>
      <w:r w:rsidRPr="005A034D">
        <w:rPr>
          <w:noProof/>
        </w:rPr>
        <w:lastRenderedPageBreak/>
        <w:t xml:space="preserve">Deaux, K. (1984). From individual differences to social categories: Analysis of a decade's research on gender. </w:t>
      </w:r>
      <w:r w:rsidRPr="005A034D">
        <w:rPr>
          <w:b/>
          <w:i/>
          <w:noProof/>
        </w:rPr>
        <w:t>American Psychologist</w:t>
      </w:r>
      <w:r w:rsidRPr="005A034D">
        <w:rPr>
          <w:noProof/>
        </w:rPr>
        <w:t xml:space="preserve">, </w:t>
      </w:r>
      <w:r w:rsidRPr="00602360">
        <w:rPr>
          <w:i/>
          <w:iCs/>
          <w:noProof/>
        </w:rPr>
        <w:t>39</w:t>
      </w:r>
      <w:r w:rsidR="00602360">
        <w:rPr>
          <w:noProof/>
        </w:rPr>
        <w:t>,</w:t>
      </w:r>
      <w:r w:rsidRPr="005A034D">
        <w:rPr>
          <w:noProof/>
        </w:rPr>
        <w:t xml:space="preserve"> 105-116.</w:t>
      </w:r>
    </w:p>
    <w:p w14:paraId="5A4D95AA" w14:textId="4657639A" w:rsidR="00427B09" w:rsidRDefault="00427B09" w:rsidP="00427B09">
      <w:pPr>
        <w:pStyle w:val="EndNoteBibliography"/>
        <w:ind w:left="720" w:hanging="720"/>
        <w:rPr>
          <w:noProof/>
        </w:rPr>
      </w:pPr>
      <w:r>
        <w:rPr>
          <w:noProof/>
        </w:rPr>
        <w:t>*</w:t>
      </w:r>
      <w:r w:rsidRPr="00427B09">
        <w:rPr>
          <w:noProof/>
        </w:rPr>
        <w:t xml:space="preserve">De Riemer, C., Quarles, D. R., &amp; Temple, C. M. (1982). The success rate of personal salary negotiations: A further investigation of academic pay differentials by sex. </w:t>
      </w:r>
      <w:r w:rsidRPr="00427B09">
        <w:rPr>
          <w:i/>
          <w:iCs/>
          <w:noProof/>
        </w:rPr>
        <w:t xml:space="preserve">Research in Higher Education, 16, </w:t>
      </w:r>
      <w:r w:rsidRPr="00427B09">
        <w:rPr>
          <w:noProof/>
        </w:rPr>
        <w:t xml:space="preserve">139–154. http:// dx.doi.org/10.1007/BF00973506 </w:t>
      </w:r>
    </w:p>
    <w:p w14:paraId="10F3892C" w14:textId="61677DAF" w:rsidR="005A1623" w:rsidRPr="005A034D" w:rsidRDefault="005A1623" w:rsidP="005A1623">
      <w:pPr>
        <w:pStyle w:val="EndNoteBibliography"/>
        <w:ind w:left="720" w:hanging="720"/>
        <w:rPr>
          <w:noProof/>
        </w:rPr>
      </w:pPr>
      <w:r w:rsidRPr="005A034D">
        <w:rPr>
          <w:noProof/>
        </w:rPr>
        <w:t xml:space="preserve">Eagly, A. H., &amp; Steffen, V. J. (1984). Gender stereotypes stem from the distribution of women and men into social roles. </w:t>
      </w:r>
      <w:r w:rsidRPr="005A034D">
        <w:rPr>
          <w:b/>
          <w:i/>
          <w:noProof/>
        </w:rPr>
        <w:t>Journal of Personality and Social Psychology</w:t>
      </w:r>
      <w:r w:rsidRPr="005A034D">
        <w:rPr>
          <w:noProof/>
        </w:rPr>
        <w:t xml:space="preserve">, </w:t>
      </w:r>
      <w:r w:rsidRPr="00602360">
        <w:rPr>
          <w:i/>
          <w:iCs/>
          <w:noProof/>
        </w:rPr>
        <w:t>46</w:t>
      </w:r>
      <w:r w:rsidR="00602360">
        <w:rPr>
          <w:noProof/>
        </w:rPr>
        <w:t>,</w:t>
      </w:r>
      <w:r w:rsidRPr="005A034D">
        <w:rPr>
          <w:noProof/>
        </w:rPr>
        <w:t xml:space="preserve"> 735–754.</w:t>
      </w:r>
    </w:p>
    <w:p w14:paraId="40C163CB" w14:textId="43DE2B4D" w:rsidR="00CA3E44" w:rsidRPr="00B70881" w:rsidRDefault="00CA3E44" w:rsidP="005A1623">
      <w:pPr>
        <w:pStyle w:val="EndNoteBibliography"/>
        <w:ind w:left="720" w:hanging="720"/>
        <w:rPr>
          <w:noProof/>
        </w:rPr>
      </w:pPr>
      <w:r>
        <w:rPr>
          <w:noProof/>
        </w:rPr>
        <w:t xml:space="preserve">Ellemers, N., Fiske, S. T., Abele, A. E., Koch, A., &amp; Yzerbyt, V. (2020). Adversarial alignment enables competing models to engage in cooperative theory building toward cumulative science. </w:t>
      </w:r>
      <w:r>
        <w:rPr>
          <w:b/>
          <w:bCs/>
          <w:i/>
          <w:iCs/>
          <w:noProof/>
        </w:rPr>
        <w:t>P</w:t>
      </w:r>
      <w:r w:rsidR="00BB7CE0">
        <w:rPr>
          <w:b/>
          <w:bCs/>
          <w:i/>
          <w:iCs/>
          <w:noProof/>
        </w:rPr>
        <w:t>roceedings of the National Academy of Sciences</w:t>
      </w:r>
      <w:r>
        <w:rPr>
          <w:b/>
          <w:bCs/>
          <w:i/>
          <w:iCs/>
          <w:noProof/>
        </w:rPr>
        <w:t xml:space="preserve">, </w:t>
      </w:r>
      <w:r w:rsidR="00B70881">
        <w:rPr>
          <w:i/>
          <w:iCs/>
          <w:noProof/>
        </w:rPr>
        <w:t xml:space="preserve">117, </w:t>
      </w:r>
      <w:r w:rsidR="00B70881">
        <w:rPr>
          <w:noProof/>
        </w:rPr>
        <w:t>7561-7567.</w:t>
      </w:r>
    </w:p>
    <w:p w14:paraId="69E21A0C" w14:textId="721C3F9D" w:rsidR="005A1623" w:rsidRPr="005A034D" w:rsidRDefault="005A1623" w:rsidP="005A1623">
      <w:pPr>
        <w:pStyle w:val="EndNoteBibliography"/>
        <w:ind w:left="720" w:hanging="720"/>
        <w:rPr>
          <w:noProof/>
        </w:rPr>
      </w:pPr>
      <w:r w:rsidRPr="005A034D">
        <w:rPr>
          <w:noProof/>
        </w:rPr>
        <w:t xml:space="preserve">Exley, C. L., &amp; Kessler, J. B. (2019). The gender gap in self-promotion. </w:t>
      </w:r>
      <w:r w:rsidRPr="005A034D">
        <w:rPr>
          <w:b/>
          <w:i/>
          <w:noProof/>
        </w:rPr>
        <w:t>National Bureau of Economic Research Working Paper Series</w:t>
      </w:r>
      <w:r w:rsidRPr="005A034D">
        <w:rPr>
          <w:noProof/>
        </w:rPr>
        <w:t>, No. 26345.</w:t>
      </w:r>
    </w:p>
    <w:p w14:paraId="220E3FFD" w14:textId="3CB3C70F" w:rsidR="005A1623" w:rsidRPr="005A034D" w:rsidRDefault="005A1623" w:rsidP="005A1623">
      <w:pPr>
        <w:pStyle w:val="EndNoteBibliography"/>
        <w:ind w:left="720" w:hanging="720"/>
        <w:rPr>
          <w:noProof/>
        </w:rPr>
      </w:pPr>
      <w:r w:rsidRPr="005A034D">
        <w:rPr>
          <w:noProof/>
        </w:rPr>
        <w:t xml:space="preserve">Exley, C. L., Niederle, M., &amp; Vesterlund, L. (2020). Knowing when to ask: The cost of leaning in. </w:t>
      </w:r>
      <w:r w:rsidRPr="005A034D">
        <w:rPr>
          <w:b/>
          <w:i/>
          <w:noProof/>
        </w:rPr>
        <w:t>Journal of Political Economy</w:t>
      </w:r>
      <w:r w:rsidRPr="005A034D">
        <w:rPr>
          <w:noProof/>
        </w:rPr>
        <w:t xml:space="preserve">, </w:t>
      </w:r>
      <w:r w:rsidRPr="00602360">
        <w:rPr>
          <w:i/>
          <w:iCs/>
          <w:noProof/>
        </w:rPr>
        <w:t>128</w:t>
      </w:r>
      <w:r w:rsidR="00602360">
        <w:rPr>
          <w:noProof/>
        </w:rPr>
        <w:t>,</w:t>
      </w:r>
      <w:r w:rsidRPr="005A034D">
        <w:rPr>
          <w:noProof/>
        </w:rPr>
        <w:t xml:space="preserve"> 816-854.</w:t>
      </w:r>
    </w:p>
    <w:p w14:paraId="076136F8" w14:textId="080F8A15" w:rsidR="00BB7CE0" w:rsidRDefault="00427B09" w:rsidP="00BB7CE0">
      <w:pPr>
        <w:pStyle w:val="EndNoteBibliography"/>
        <w:ind w:left="720" w:hanging="720"/>
        <w:rPr>
          <w:noProof/>
        </w:rPr>
      </w:pPr>
      <w:r>
        <w:rPr>
          <w:noProof/>
        </w:rPr>
        <w:t>*</w:t>
      </w:r>
      <w:r w:rsidR="005A1623" w:rsidRPr="005A034D">
        <w:rPr>
          <w:noProof/>
        </w:rPr>
        <w:t xml:space="preserve">Gerhart, B., &amp; Rynes, S. (1991). Determinants and consequences of salary negotiations by male </w:t>
      </w:r>
      <w:r w:rsidR="005A1623" w:rsidRPr="00BB7CE0">
        <w:rPr>
          <w:noProof/>
        </w:rPr>
        <w:t xml:space="preserve">and female MBA graduates. </w:t>
      </w:r>
      <w:r w:rsidR="005A1623" w:rsidRPr="00BB7CE0">
        <w:rPr>
          <w:b/>
          <w:i/>
          <w:noProof/>
        </w:rPr>
        <w:t>Journal of Applied Psychology</w:t>
      </w:r>
      <w:r w:rsidR="005A1623" w:rsidRPr="00BB7CE0">
        <w:rPr>
          <w:noProof/>
        </w:rPr>
        <w:t xml:space="preserve">, </w:t>
      </w:r>
      <w:r w:rsidR="005A1623" w:rsidRPr="00BB7CE0">
        <w:rPr>
          <w:i/>
          <w:iCs/>
          <w:noProof/>
        </w:rPr>
        <w:t>76</w:t>
      </w:r>
      <w:r w:rsidR="00602360" w:rsidRPr="00BB7CE0">
        <w:rPr>
          <w:noProof/>
        </w:rPr>
        <w:t>,</w:t>
      </w:r>
      <w:r w:rsidR="005A1623" w:rsidRPr="00BB7CE0">
        <w:rPr>
          <w:noProof/>
        </w:rPr>
        <w:t xml:space="preserve"> 256</w:t>
      </w:r>
      <w:r w:rsidR="00E12E15">
        <w:rPr>
          <w:noProof/>
        </w:rPr>
        <w:t>-262</w:t>
      </w:r>
      <w:r w:rsidR="005A1623" w:rsidRPr="00BB7CE0">
        <w:rPr>
          <w:noProof/>
        </w:rPr>
        <w:t>.</w:t>
      </w:r>
    </w:p>
    <w:p w14:paraId="5EBB9C43" w14:textId="749480B8" w:rsidR="00BB7CE0" w:rsidRPr="00BB7CE0" w:rsidRDefault="00BB7CE0" w:rsidP="00BB7CE0">
      <w:pPr>
        <w:pStyle w:val="EndNoteBibliography"/>
        <w:ind w:left="720" w:hanging="720"/>
        <w:rPr>
          <w:noProof/>
        </w:rPr>
      </w:pPr>
      <w:r w:rsidRPr="00BB7CE0">
        <w:rPr>
          <w:color w:val="333333"/>
          <w:shd w:val="clear" w:color="auto" w:fill="FFFFFF"/>
        </w:rPr>
        <w:t>Glick, P., &amp; Fiske, S. T. (2001). An ambivalent alliance: Hostile and benevolent sexism as complementary justifications for gender inequality.</w:t>
      </w:r>
      <w:r w:rsidRPr="00BB7CE0">
        <w:rPr>
          <w:rStyle w:val="apple-converted-space"/>
          <w:color w:val="333333"/>
          <w:shd w:val="clear" w:color="auto" w:fill="FFFFFF"/>
        </w:rPr>
        <w:t> </w:t>
      </w:r>
      <w:r w:rsidRPr="00BB7CE0">
        <w:rPr>
          <w:rStyle w:val="Emphasis"/>
          <w:b/>
          <w:color w:val="333333"/>
        </w:rPr>
        <w:t>American Psychologist,</w:t>
      </w:r>
      <w:r w:rsidRPr="00BB7CE0">
        <w:rPr>
          <w:rStyle w:val="Emphasis"/>
          <w:color w:val="333333"/>
        </w:rPr>
        <w:t xml:space="preserve"> 56</w:t>
      </w:r>
      <w:r w:rsidRPr="00BB7CE0">
        <w:rPr>
          <w:color w:val="333333"/>
          <w:shd w:val="clear" w:color="auto" w:fill="FFFFFF"/>
        </w:rPr>
        <w:t>, 109–118.</w:t>
      </w:r>
    </w:p>
    <w:p w14:paraId="43DDD7DC" w14:textId="7ABA78DC" w:rsidR="005A1623" w:rsidRPr="00BB7CE0" w:rsidRDefault="005A1623" w:rsidP="00BB7CE0">
      <w:pPr>
        <w:pStyle w:val="EndNoteBibliography"/>
        <w:ind w:left="720" w:hanging="720"/>
        <w:rPr>
          <w:noProof/>
        </w:rPr>
      </w:pPr>
      <w:r w:rsidRPr="00BB7CE0">
        <w:rPr>
          <w:noProof/>
        </w:rPr>
        <w:t xml:space="preserve">Gould, E. (2020). </w:t>
      </w:r>
      <w:r w:rsidRPr="00BB7CE0">
        <w:rPr>
          <w:b/>
          <w:i/>
          <w:noProof/>
        </w:rPr>
        <w:t>State of working America: Wages 2019</w:t>
      </w:r>
      <w:r w:rsidRPr="00BB7CE0">
        <w:rPr>
          <w:noProof/>
        </w:rPr>
        <w:t>. Economic Policy Institute.</w:t>
      </w:r>
    </w:p>
    <w:p w14:paraId="30AEE844" w14:textId="14349D72" w:rsidR="005A1623" w:rsidRPr="005A034D" w:rsidRDefault="005A1623" w:rsidP="005A1623">
      <w:pPr>
        <w:pStyle w:val="EndNoteBibliography"/>
        <w:ind w:left="720" w:hanging="720"/>
        <w:rPr>
          <w:noProof/>
        </w:rPr>
      </w:pPr>
    </w:p>
    <w:p w14:paraId="1ABD8F53" w14:textId="77F62951" w:rsidR="00CB6E3B" w:rsidRDefault="00CB6E3B" w:rsidP="00CB6E3B">
      <w:pPr>
        <w:pStyle w:val="EndNoteBibliography"/>
        <w:ind w:left="720" w:hanging="720"/>
        <w:rPr>
          <w:noProof/>
        </w:rPr>
      </w:pPr>
      <w:r w:rsidRPr="00CB6E3B">
        <w:rPr>
          <w:noProof/>
        </w:rPr>
        <w:t>Haidt, J. (2001). The emotional dog and its rational tail: a social intuitionist approach to moral judgment. </w:t>
      </w:r>
      <w:r w:rsidRPr="00CB6E3B">
        <w:rPr>
          <w:b/>
          <w:i/>
          <w:iCs/>
          <w:noProof/>
        </w:rPr>
        <w:t>Psychological Review</w:t>
      </w:r>
      <w:r w:rsidRPr="00CB6E3B">
        <w:rPr>
          <w:noProof/>
        </w:rPr>
        <w:t>, </w:t>
      </w:r>
      <w:r w:rsidRPr="00CB6E3B">
        <w:rPr>
          <w:i/>
          <w:iCs/>
          <w:noProof/>
        </w:rPr>
        <w:t>108</w:t>
      </w:r>
      <w:r w:rsidRPr="00CB6E3B">
        <w:rPr>
          <w:noProof/>
        </w:rPr>
        <w:t>, 814</w:t>
      </w:r>
      <w:r w:rsidR="0002557E">
        <w:rPr>
          <w:noProof/>
        </w:rPr>
        <w:t>-834</w:t>
      </w:r>
      <w:r w:rsidRPr="00CB6E3B">
        <w:rPr>
          <w:noProof/>
        </w:rPr>
        <w:t>.</w:t>
      </w:r>
    </w:p>
    <w:p w14:paraId="41114E46" w14:textId="2838811A" w:rsidR="005A1623" w:rsidRPr="005A034D" w:rsidRDefault="005A1623" w:rsidP="005A1623">
      <w:pPr>
        <w:pStyle w:val="EndNoteBibliography"/>
        <w:ind w:left="720" w:hanging="720"/>
        <w:rPr>
          <w:noProof/>
        </w:rPr>
      </w:pPr>
      <w:r w:rsidRPr="005A034D">
        <w:rPr>
          <w:noProof/>
        </w:rPr>
        <w:lastRenderedPageBreak/>
        <w:t xml:space="preserve">Hall, B. J., Malhotra, D., &amp; Bennett, N. (2008). </w:t>
      </w:r>
      <w:r w:rsidRPr="0053263D">
        <w:rPr>
          <w:b/>
          <w:bCs/>
          <w:i/>
          <w:iCs/>
          <w:noProof/>
        </w:rPr>
        <w:t xml:space="preserve">Name </w:t>
      </w:r>
      <w:r w:rsidR="00C86C0E" w:rsidRPr="0053263D">
        <w:rPr>
          <w:b/>
          <w:bCs/>
          <w:i/>
          <w:iCs/>
          <w:noProof/>
        </w:rPr>
        <w:t>y</w:t>
      </w:r>
      <w:r w:rsidRPr="0053263D">
        <w:rPr>
          <w:b/>
          <w:bCs/>
          <w:i/>
          <w:iCs/>
          <w:noProof/>
        </w:rPr>
        <w:t xml:space="preserve">our </w:t>
      </w:r>
      <w:r w:rsidR="00C86C0E" w:rsidRPr="0053263D">
        <w:rPr>
          <w:b/>
          <w:bCs/>
          <w:i/>
          <w:iCs/>
          <w:noProof/>
        </w:rPr>
        <w:t>p</w:t>
      </w:r>
      <w:r w:rsidRPr="0053263D">
        <w:rPr>
          <w:b/>
          <w:bCs/>
          <w:i/>
          <w:iCs/>
          <w:noProof/>
        </w:rPr>
        <w:t xml:space="preserve">rice: Compensation </w:t>
      </w:r>
      <w:r w:rsidR="00C86C0E" w:rsidRPr="0053263D">
        <w:rPr>
          <w:b/>
          <w:bCs/>
          <w:i/>
          <w:iCs/>
          <w:noProof/>
        </w:rPr>
        <w:t>n</w:t>
      </w:r>
      <w:r w:rsidRPr="0053263D">
        <w:rPr>
          <w:b/>
          <w:bCs/>
          <w:i/>
          <w:iCs/>
          <w:noProof/>
        </w:rPr>
        <w:t xml:space="preserve">egotiation at Whole Health Management (A). </w:t>
      </w:r>
      <w:r w:rsidRPr="005A034D">
        <w:rPr>
          <w:noProof/>
        </w:rPr>
        <w:t>Harvard Business School Case 908-064.</w:t>
      </w:r>
    </w:p>
    <w:p w14:paraId="4FF4978A" w14:textId="77777777" w:rsidR="005A1623" w:rsidRPr="005A034D" w:rsidRDefault="005A1623" w:rsidP="005A1623">
      <w:pPr>
        <w:pStyle w:val="EndNoteBibliography"/>
        <w:ind w:left="720" w:hanging="720"/>
        <w:rPr>
          <w:noProof/>
        </w:rPr>
      </w:pPr>
      <w:r w:rsidRPr="005A034D">
        <w:rPr>
          <w:noProof/>
        </w:rPr>
        <w:t xml:space="preserve">Hansen, B., &amp; McNichols, D. (2020). </w:t>
      </w:r>
      <w:r w:rsidRPr="0053263D">
        <w:rPr>
          <w:b/>
          <w:bCs/>
          <w:i/>
          <w:iCs/>
          <w:noProof/>
        </w:rPr>
        <w:t>Information and the persistence of the gender wage gap: Early evidence from California's salary history ban.</w:t>
      </w:r>
      <w:r w:rsidRPr="005A034D">
        <w:rPr>
          <w:noProof/>
        </w:rPr>
        <w:t xml:space="preserve"> National Bureau of Economic Research.</w:t>
      </w:r>
    </w:p>
    <w:p w14:paraId="7566673D" w14:textId="77777777" w:rsidR="005A1623" w:rsidRPr="005A034D" w:rsidRDefault="005A1623" w:rsidP="005A1623">
      <w:pPr>
        <w:pStyle w:val="EndNoteBibliography"/>
        <w:ind w:left="720" w:hanging="720"/>
        <w:rPr>
          <w:noProof/>
        </w:rPr>
      </w:pPr>
      <w:r w:rsidRPr="005A034D">
        <w:rPr>
          <w:noProof/>
        </w:rPr>
        <w:t xml:space="preserve">Hartmann, H. I., &amp; Treiman, D. J. (1981). </w:t>
      </w:r>
      <w:r w:rsidRPr="005A034D">
        <w:rPr>
          <w:b/>
          <w:i/>
          <w:noProof/>
        </w:rPr>
        <w:t>Women, work, and wages: Equal pay for jobs of equal value</w:t>
      </w:r>
      <w:r w:rsidRPr="005A034D">
        <w:rPr>
          <w:noProof/>
        </w:rPr>
        <w:t>: National Academies Press.</w:t>
      </w:r>
    </w:p>
    <w:p w14:paraId="749394C1" w14:textId="49718776" w:rsidR="005A1623" w:rsidRDefault="005A1623" w:rsidP="005A1623">
      <w:pPr>
        <w:pStyle w:val="EndNoteBibliography"/>
        <w:ind w:left="720" w:hanging="720"/>
        <w:rPr>
          <w:noProof/>
        </w:rPr>
      </w:pPr>
      <w:r w:rsidRPr="005A034D">
        <w:rPr>
          <w:noProof/>
        </w:rPr>
        <w:t xml:space="preserve">Hayes, A. F. (2013). </w:t>
      </w:r>
      <w:r w:rsidRPr="005A034D">
        <w:rPr>
          <w:b/>
          <w:bCs/>
          <w:i/>
          <w:iCs/>
          <w:noProof/>
        </w:rPr>
        <w:t>Introduction to mediation, moderation, and conditional process analysis: A regression-based approach</w:t>
      </w:r>
      <w:r w:rsidRPr="005A034D">
        <w:rPr>
          <w:b/>
          <w:bCs/>
          <w:noProof/>
        </w:rPr>
        <w:t>.</w:t>
      </w:r>
      <w:r w:rsidRPr="005A034D">
        <w:rPr>
          <w:noProof/>
        </w:rPr>
        <w:t xml:space="preserve"> New York: Guilford Press.</w:t>
      </w:r>
    </w:p>
    <w:p w14:paraId="23668C97" w14:textId="46F23331" w:rsidR="00427B09" w:rsidRPr="005A034D" w:rsidRDefault="00427B09" w:rsidP="00427B09">
      <w:pPr>
        <w:pStyle w:val="EndNoteBibliography"/>
        <w:ind w:left="720" w:hanging="720"/>
        <w:rPr>
          <w:noProof/>
        </w:rPr>
      </w:pPr>
      <w:r>
        <w:rPr>
          <w:noProof/>
        </w:rPr>
        <w:t>*</w:t>
      </w:r>
      <w:r w:rsidRPr="00427B09">
        <w:rPr>
          <w:noProof/>
        </w:rPr>
        <w:t xml:space="preserve">Holliday, E., Griffith, K. A., De Castro, R., Stewart, A., Ubel, P., &amp; Jagsi, R. (2015). Gender differences in resources and negotiation among highly motivated physician-scientists. </w:t>
      </w:r>
      <w:r w:rsidRPr="0053263D">
        <w:rPr>
          <w:b/>
          <w:bCs/>
          <w:i/>
          <w:iCs/>
          <w:noProof/>
        </w:rPr>
        <w:t>Journal of General Internal Medicine</w:t>
      </w:r>
      <w:r w:rsidRPr="00427B09">
        <w:rPr>
          <w:i/>
          <w:iCs/>
          <w:noProof/>
        </w:rPr>
        <w:t xml:space="preserve">, 30, </w:t>
      </w:r>
      <w:r w:rsidRPr="00427B09">
        <w:rPr>
          <w:noProof/>
        </w:rPr>
        <w:t xml:space="preserve">401–407. http://dx.doi.org/10.1007/s11606-014-2988-5 </w:t>
      </w:r>
    </w:p>
    <w:p w14:paraId="5CBEAB38" w14:textId="77777777" w:rsidR="005A1623" w:rsidRPr="005A034D" w:rsidRDefault="005A1623" w:rsidP="005A1623">
      <w:pPr>
        <w:pStyle w:val="EndNoteBibliography"/>
        <w:ind w:left="720" w:hanging="720"/>
        <w:rPr>
          <w:noProof/>
        </w:rPr>
      </w:pPr>
      <w:r w:rsidRPr="005A034D">
        <w:rPr>
          <w:noProof/>
        </w:rPr>
        <w:t>HR Dive. (2022). Salary history bans. Retrieved from https://www.hrdive.com/news/salary-history-ban-states-list/516662/</w:t>
      </w:r>
    </w:p>
    <w:p w14:paraId="19BB6DF8" w14:textId="77777777" w:rsidR="005A1623" w:rsidRPr="005A034D" w:rsidRDefault="005A1623" w:rsidP="005A1623">
      <w:pPr>
        <w:pStyle w:val="EndNoteBibliography"/>
        <w:ind w:left="720" w:hanging="720"/>
        <w:rPr>
          <w:noProof/>
        </w:rPr>
      </w:pPr>
      <w:r w:rsidRPr="005A034D">
        <w:rPr>
          <w:noProof/>
        </w:rPr>
        <w:t xml:space="preserve">Hyde, J. S. (2014). Gender similarities and differences. </w:t>
      </w:r>
      <w:r w:rsidRPr="005A034D">
        <w:rPr>
          <w:b/>
          <w:bCs/>
          <w:i/>
          <w:iCs/>
          <w:noProof/>
        </w:rPr>
        <w:t>Annual Review of Psychology</w:t>
      </w:r>
      <w:r w:rsidRPr="005A034D">
        <w:rPr>
          <w:noProof/>
        </w:rPr>
        <w:t xml:space="preserve">, 65, 373-398. </w:t>
      </w:r>
    </w:p>
    <w:p w14:paraId="467688C7" w14:textId="55395053" w:rsidR="005A1623" w:rsidRPr="005A034D" w:rsidRDefault="005A1623" w:rsidP="005A1623">
      <w:pPr>
        <w:pStyle w:val="EndNoteBibliography"/>
        <w:ind w:left="720" w:hanging="720"/>
        <w:rPr>
          <w:noProof/>
        </w:rPr>
      </w:pPr>
      <w:r w:rsidRPr="005A034D">
        <w:rPr>
          <w:noProof/>
        </w:rPr>
        <w:t>Institute for Women’s Policy Research. (20</w:t>
      </w:r>
      <w:r w:rsidR="00B31098">
        <w:rPr>
          <w:noProof/>
        </w:rPr>
        <w:t>20</w:t>
      </w:r>
      <w:r w:rsidRPr="005A034D">
        <w:rPr>
          <w:noProof/>
        </w:rPr>
        <w:t xml:space="preserve">). </w:t>
      </w:r>
      <w:r w:rsidR="00B31098" w:rsidRPr="00B8296B">
        <w:rPr>
          <w:b/>
          <w:bCs/>
          <w:i/>
          <w:iCs/>
          <w:noProof/>
        </w:rPr>
        <w:t>Same gap, different year</w:t>
      </w:r>
      <w:r w:rsidR="00511040" w:rsidRPr="00B8296B">
        <w:rPr>
          <w:b/>
          <w:bCs/>
          <w:i/>
          <w:iCs/>
          <w:noProof/>
        </w:rPr>
        <w:t>: The gender wage gap 2019</w:t>
      </w:r>
      <w:r w:rsidRPr="005A034D">
        <w:rPr>
          <w:noProof/>
        </w:rPr>
        <w:t>.</w:t>
      </w:r>
      <w:r w:rsidR="00B31098">
        <w:rPr>
          <w:noProof/>
        </w:rPr>
        <w:t xml:space="preserve"> </w:t>
      </w:r>
      <w:r w:rsidR="00B31098" w:rsidRPr="00B31098">
        <w:rPr>
          <w:noProof/>
        </w:rPr>
        <w:t>https://iwpr.org/wp-content/uploads/2020/09/Gender-Wage-Gap-Fact-Sheet-2.pdf</w:t>
      </w:r>
    </w:p>
    <w:p w14:paraId="4C6A1149" w14:textId="5C129ECC" w:rsidR="005A1623" w:rsidRPr="005A034D" w:rsidRDefault="005A1623" w:rsidP="005A1623">
      <w:pPr>
        <w:pStyle w:val="EndNoteBibliography"/>
        <w:ind w:left="720" w:hanging="720"/>
        <w:rPr>
          <w:noProof/>
        </w:rPr>
      </w:pPr>
      <w:r w:rsidRPr="005A034D">
        <w:rPr>
          <w:noProof/>
        </w:rPr>
        <w:t xml:space="preserve">Joshi, A., Son, J., &amp; Roh, H. (2015). When can women close the gap? A meta-analytic test of sex differences in performance and rewards. </w:t>
      </w:r>
      <w:r w:rsidRPr="005A034D">
        <w:rPr>
          <w:b/>
          <w:i/>
          <w:noProof/>
        </w:rPr>
        <w:t>Academy of Management Journal</w:t>
      </w:r>
      <w:r w:rsidRPr="005A034D">
        <w:rPr>
          <w:noProof/>
        </w:rPr>
        <w:t xml:space="preserve">, </w:t>
      </w:r>
      <w:r w:rsidRPr="00602360">
        <w:rPr>
          <w:i/>
          <w:iCs/>
          <w:noProof/>
        </w:rPr>
        <w:t>58</w:t>
      </w:r>
      <w:r w:rsidR="00602360">
        <w:rPr>
          <w:noProof/>
        </w:rPr>
        <w:t xml:space="preserve">, </w:t>
      </w:r>
      <w:r w:rsidRPr="005A034D">
        <w:rPr>
          <w:noProof/>
        </w:rPr>
        <w:t>1516–1545.</w:t>
      </w:r>
    </w:p>
    <w:p w14:paraId="1C25F2F1" w14:textId="71431D29" w:rsidR="005A1623" w:rsidRPr="005A034D" w:rsidRDefault="005A1623" w:rsidP="005A1623">
      <w:pPr>
        <w:pStyle w:val="EndNoteBibliography"/>
        <w:ind w:left="720" w:hanging="720"/>
        <w:rPr>
          <w:noProof/>
        </w:rPr>
      </w:pPr>
      <w:r w:rsidRPr="005A034D">
        <w:rPr>
          <w:noProof/>
        </w:rPr>
        <w:lastRenderedPageBreak/>
        <w:t xml:space="preserve">Jost, J. T. (1995). Negative illusions: Conceptual clarification and psychological evidence concerning false consciousness. </w:t>
      </w:r>
      <w:r w:rsidRPr="005A034D">
        <w:rPr>
          <w:b/>
          <w:i/>
          <w:noProof/>
        </w:rPr>
        <w:t>Political Psychology</w:t>
      </w:r>
      <w:r w:rsidRPr="005A034D">
        <w:rPr>
          <w:noProof/>
        </w:rPr>
        <w:t xml:space="preserve">, </w:t>
      </w:r>
      <w:r w:rsidRPr="00602360">
        <w:rPr>
          <w:i/>
          <w:iCs/>
          <w:noProof/>
        </w:rPr>
        <w:t>16</w:t>
      </w:r>
      <w:r w:rsidR="00602360">
        <w:rPr>
          <w:noProof/>
        </w:rPr>
        <w:t>,</w:t>
      </w:r>
      <w:r w:rsidRPr="005A034D">
        <w:rPr>
          <w:noProof/>
        </w:rPr>
        <w:t xml:space="preserve"> 397-424.</w:t>
      </w:r>
    </w:p>
    <w:p w14:paraId="76E5BDB9" w14:textId="781917A7" w:rsidR="005A1623" w:rsidRPr="005A034D" w:rsidRDefault="005A1623" w:rsidP="005A1623">
      <w:pPr>
        <w:pStyle w:val="EndNoteBibliography"/>
        <w:ind w:left="720" w:hanging="720"/>
        <w:rPr>
          <w:noProof/>
        </w:rPr>
      </w:pPr>
      <w:r w:rsidRPr="005A034D">
        <w:rPr>
          <w:noProof/>
        </w:rPr>
        <w:t xml:space="preserve">Jost, J. T., &amp; Banaji, M. R. (1994). The role of stereotyping in system-justification and the production of false consciousness. </w:t>
      </w:r>
      <w:r w:rsidRPr="005A034D">
        <w:rPr>
          <w:b/>
          <w:i/>
          <w:noProof/>
        </w:rPr>
        <w:t>British Journal of Social Psychology</w:t>
      </w:r>
      <w:r w:rsidRPr="005A034D">
        <w:rPr>
          <w:noProof/>
        </w:rPr>
        <w:t xml:space="preserve">, </w:t>
      </w:r>
      <w:r w:rsidRPr="00602360">
        <w:rPr>
          <w:i/>
          <w:iCs/>
          <w:noProof/>
        </w:rPr>
        <w:t>33</w:t>
      </w:r>
      <w:r w:rsidR="00602360">
        <w:rPr>
          <w:noProof/>
        </w:rPr>
        <w:t>,</w:t>
      </w:r>
      <w:r w:rsidRPr="005A034D">
        <w:rPr>
          <w:noProof/>
        </w:rPr>
        <w:t xml:space="preserve"> 1-27.</w:t>
      </w:r>
    </w:p>
    <w:p w14:paraId="66AC488F" w14:textId="45E69223" w:rsidR="005A1623" w:rsidRPr="005A034D" w:rsidRDefault="005A1623" w:rsidP="005A1623">
      <w:pPr>
        <w:pStyle w:val="EndNoteBibliography"/>
        <w:ind w:left="720" w:hanging="720"/>
        <w:rPr>
          <w:noProof/>
        </w:rPr>
      </w:pPr>
      <w:r w:rsidRPr="005A034D">
        <w:rPr>
          <w:noProof/>
        </w:rPr>
        <w:t xml:space="preserve">Jost, J. T., &amp; Kay, A. C. (2005). Exposure to benevolent sexism and complementary gender stereotypes: Consequences for specific and diffuse forms of system justification. </w:t>
      </w:r>
      <w:r w:rsidRPr="005A034D">
        <w:rPr>
          <w:b/>
          <w:i/>
          <w:noProof/>
        </w:rPr>
        <w:t>Journal of Personality and Social Psychology</w:t>
      </w:r>
      <w:r w:rsidRPr="005A034D">
        <w:rPr>
          <w:noProof/>
        </w:rPr>
        <w:t xml:space="preserve">, </w:t>
      </w:r>
      <w:r w:rsidRPr="00602360">
        <w:rPr>
          <w:i/>
          <w:iCs/>
          <w:noProof/>
        </w:rPr>
        <w:t>88</w:t>
      </w:r>
      <w:r w:rsidR="00602360">
        <w:rPr>
          <w:noProof/>
        </w:rPr>
        <w:t>,</w:t>
      </w:r>
      <w:r w:rsidRPr="005A034D">
        <w:rPr>
          <w:noProof/>
        </w:rPr>
        <w:t xml:space="preserve"> 498-509.</w:t>
      </w:r>
    </w:p>
    <w:p w14:paraId="7A687495" w14:textId="1605DFA5" w:rsidR="005A1623" w:rsidRPr="005A034D" w:rsidRDefault="005A1623" w:rsidP="005A1623">
      <w:pPr>
        <w:pStyle w:val="EndNoteBibliography"/>
        <w:ind w:left="720" w:hanging="720"/>
        <w:rPr>
          <w:noProof/>
        </w:rPr>
      </w:pPr>
      <w:r w:rsidRPr="005A034D">
        <w:rPr>
          <w:noProof/>
        </w:rPr>
        <w:t xml:space="preserve">Judge, T. A., &amp; Livingston, B. A. </w:t>
      </w:r>
      <w:r w:rsidR="0002557E">
        <w:rPr>
          <w:noProof/>
        </w:rPr>
        <w:t>(</w:t>
      </w:r>
      <w:r w:rsidRPr="005A034D">
        <w:rPr>
          <w:noProof/>
        </w:rPr>
        <w:t>2008</w:t>
      </w:r>
      <w:r w:rsidR="00110BDC">
        <w:rPr>
          <w:noProof/>
        </w:rPr>
        <w:t>)</w:t>
      </w:r>
      <w:r w:rsidRPr="005A034D">
        <w:rPr>
          <w:noProof/>
        </w:rPr>
        <w:t xml:space="preserve">. Is the gap more than gender? A longitudinal analysis of gender, gender role orientation, and earnings. </w:t>
      </w:r>
      <w:r w:rsidRPr="005A034D">
        <w:rPr>
          <w:b/>
          <w:i/>
          <w:noProof/>
        </w:rPr>
        <w:t>Journal of Applied Psychology</w:t>
      </w:r>
      <w:r w:rsidRPr="005A034D">
        <w:rPr>
          <w:noProof/>
        </w:rPr>
        <w:t xml:space="preserve">, </w:t>
      </w:r>
      <w:r w:rsidRPr="00602360">
        <w:rPr>
          <w:i/>
          <w:iCs/>
          <w:noProof/>
        </w:rPr>
        <w:t>93</w:t>
      </w:r>
      <w:r w:rsidR="00602360">
        <w:rPr>
          <w:noProof/>
        </w:rPr>
        <w:t>,</w:t>
      </w:r>
      <w:r w:rsidRPr="005A034D">
        <w:rPr>
          <w:noProof/>
        </w:rPr>
        <w:t xml:space="preserve"> 994–1012.</w:t>
      </w:r>
    </w:p>
    <w:p w14:paraId="2D5658D2" w14:textId="439CFBD4" w:rsidR="00524A50" w:rsidRDefault="00524A50" w:rsidP="005A1623">
      <w:pPr>
        <w:pStyle w:val="EndNoteBibliography"/>
        <w:ind w:left="720" w:hanging="720"/>
        <w:rPr>
          <w:noProof/>
        </w:rPr>
      </w:pPr>
      <w:r w:rsidRPr="00524A50">
        <w:rPr>
          <w:noProof/>
        </w:rPr>
        <w:t xml:space="preserve">Kay, A. C., Jost, J. T., &amp; Young, S. (2005). Victim </w:t>
      </w:r>
      <w:r>
        <w:rPr>
          <w:noProof/>
        </w:rPr>
        <w:t>d</w:t>
      </w:r>
      <w:r w:rsidRPr="00524A50">
        <w:rPr>
          <w:noProof/>
        </w:rPr>
        <w:t xml:space="preserve">erogation and </w:t>
      </w:r>
      <w:r>
        <w:rPr>
          <w:noProof/>
        </w:rPr>
        <w:t>v</w:t>
      </w:r>
      <w:r w:rsidRPr="00524A50">
        <w:rPr>
          <w:noProof/>
        </w:rPr>
        <w:t xml:space="preserve">ictim </w:t>
      </w:r>
      <w:r>
        <w:rPr>
          <w:noProof/>
        </w:rPr>
        <w:t>e</w:t>
      </w:r>
      <w:r w:rsidRPr="00524A50">
        <w:rPr>
          <w:noProof/>
        </w:rPr>
        <w:t xml:space="preserve">nhancement as </w:t>
      </w:r>
      <w:r>
        <w:rPr>
          <w:noProof/>
        </w:rPr>
        <w:t>a</w:t>
      </w:r>
      <w:r w:rsidRPr="00524A50">
        <w:rPr>
          <w:noProof/>
        </w:rPr>
        <w:t xml:space="preserve">lternate </w:t>
      </w:r>
      <w:r>
        <w:rPr>
          <w:noProof/>
        </w:rPr>
        <w:t>r</w:t>
      </w:r>
      <w:r w:rsidRPr="00524A50">
        <w:rPr>
          <w:noProof/>
        </w:rPr>
        <w:t xml:space="preserve">outes to </w:t>
      </w:r>
      <w:r>
        <w:rPr>
          <w:noProof/>
        </w:rPr>
        <w:t>s</w:t>
      </w:r>
      <w:r w:rsidRPr="00524A50">
        <w:rPr>
          <w:noProof/>
        </w:rPr>
        <w:t xml:space="preserve">ystem </w:t>
      </w:r>
      <w:r>
        <w:rPr>
          <w:noProof/>
        </w:rPr>
        <w:t>j</w:t>
      </w:r>
      <w:r w:rsidRPr="00524A50">
        <w:rPr>
          <w:noProof/>
        </w:rPr>
        <w:t xml:space="preserve">ustification. </w:t>
      </w:r>
      <w:r w:rsidRPr="00CB585F">
        <w:rPr>
          <w:b/>
          <w:bCs/>
          <w:i/>
          <w:iCs/>
          <w:noProof/>
        </w:rPr>
        <w:t>Psychological Science</w:t>
      </w:r>
      <w:r w:rsidRPr="00CB585F">
        <w:rPr>
          <w:i/>
          <w:iCs/>
          <w:noProof/>
        </w:rPr>
        <w:t>, 16</w:t>
      </w:r>
      <w:r w:rsidRPr="00524A50">
        <w:rPr>
          <w:noProof/>
        </w:rPr>
        <w:t>, 240–246.</w:t>
      </w:r>
    </w:p>
    <w:p w14:paraId="144D61C8" w14:textId="0A95BBE8" w:rsidR="005A1623" w:rsidRPr="005A034D" w:rsidRDefault="005A1623" w:rsidP="005A1623">
      <w:pPr>
        <w:pStyle w:val="EndNoteBibliography"/>
        <w:ind w:left="720" w:hanging="720"/>
        <w:rPr>
          <w:noProof/>
        </w:rPr>
      </w:pPr>
      <w:r w:rsidRPr="005A034D">
        <w:rPr>
          <w:noProof/>
        </w:rPr>
        <w:t xml:space="preserve">Kay, K., &amp; Shipman, C. (2014). </w:t>
      </w:r>
      <w:r w:rsidRPr="005A034D">
        <w:rPr>
          <w:b/>
          <w:i/>
          <w:noProof/>
        </w:rPr>
        <w:t>The confidence code: The science and art of self-assurance---what women should know</w:t>
      </w:r>
      <w:r w:rsidRPr="005A034D">
        <w:rPr>
          <w:noProof/>
        </w:rPr>
        <w:t>: Harper Business.</w:t>
      </w:r>
    </w:p>
    <w:p w14:paraId="77ACEDA0" w14:textId="77777777" w:rsidR="005A1623" w:rsidRPr="0069288F" w:rsidRDefault="005A1623" w:rsidP="005A1623">
      <w:pPr>
        <w:pStyle w:val="EndNoteBibliography"/>
        <w:ind w:left="720" w:hanging="720"/>
        <w:rPr>
          <w:noProof/>
        </w:rPr>
      </w:pPr>
      <w:r w:rsidRPr="0069288F">
        <w:rPr>
          <w:noProof/>
        </w:rPr>
        <w:t xml:space="preserve">Kennedy, J. &amp; Kray, L. J. (2015). A pawn in someone else’s game?: The cognitive, motivated, and paradigmatic barriers to women’s excelling in negotiation. </w:t>
      </w:r>
      <w:r w:rsidRPr="0053263D">
        <w:rPr>
          <w:b/>
          <w:bCs/>
          <w:i/>
          <w:noProof/>
        </w:rPr>
        <w:t>Research in Organizational Behavior</w:t>
      </w:r>
      <w:r w:rsidRPr="0069288F">
        <w:rPr>
          <w:i/>
          <w:noProof/>
        </w:rPr>
        <w:t xml:space="preserve">, 35, </w:t>
      </w:r>
      <w:r w:rsidRPr="0069288F">
        <w:rPr>
          <w:noProof/>
        </w:rPr>
        <w:t>3-28</w:t>
      </w:r>
      <w:r w:rsidRPr="0069288F">
        <w:rPr>
          <w:i/>
          <w:noProof/>
        </w:rPr>
        <w:t xml:space="preserve">. </w:t>
      </w:r>
    </w:p>
    <w:p w14:paraId="40250744" w14:textId="0867F42B" w:rsidR="005A1623" w:rsidRPr="005A034D" w:rsidRDefault="005A1623" w:rsidP="005A1623">
      <w:pPr>
        <w:pStyle w:val="EndNoteBibliography"/>
        <w:ind w:left="720" w:hanging="720"/>
        <w:rPr>
          <w:noProof/>
        </w:rPr>
      </w:pPr>
      <w:r w:rsidRPr="005A034D">
        <w:rPr>
          <w:noProof/>
        </w:rPr>
        <w:t xml:space="preserve">Kim, J. Y., Fitzsimons, G. M., &amp; Kay, A. C. (2018). </w:t>
      </w:r>
      <w:r w:rsidRPr="005A034D">
        <w:rPr>
          <w:i/>
          <w:iCs/>
          <w:noProof/>
        </w:rPr>
        <w:t>Lean In</w:t>
      </w:r>
      <w:r w:rsidRPr="005A034D">
        <w:rPr>
          <w:noProof/>
        </w:rPr>
        <w:t xml:space="preserve"> messages increase attributions of women's responsibility for gender equality. </w:t>
      </w:r>
      <w:r w:rsidRPr="005A034D">
        <w:rPr>
          <w:b/>
          <w:bCs/>
          <w:i/>
          <w:iCs/>
          <w:noProof/>
        </w:rPr>
        <w:t>Journal of Personality and Social Psychology</w:t>
      </w:r>
      <w:r w:rsidRPr="005A034D">
        <w:rPr>
          <w:i/>
          <w:iCs/>
          <w:noProof/>
        </w:rPr>
        <w:t xml:space="preserve">, </w:t>
      </w:r>
      <w:r w:rsidRPr="00602360">
        <w:rPr>
          <w:i/>
          <w:iCs/>
          <w:noProof/>
        </w:rPr>
        <w:t>115</w:t>
      </w:r>
      <w:r w:rsidR="00602360">
        <w:rPr>
          <w:noProof/>
        </w:rPr>
        <w:t>,</w:t>
      </w:r>
      <w:r w:rsidRPr="005A034D">
        <w:rPr>
          <w:i/>
          <w:iCs/>
          <w:noProof/>
        </w:rPr>
        <w:t xml:space="preserve"> </w:t>
      </w:r>
      <w:r w:rsidRPr="005A034D">
        <w:rPr>
          <w:noProof/>
        </w:rPr>
        <w:t>974-1001.</w:t>
      </w:r>
    </w:p>
    <w:p w14:paraId="67948428" w14:textId="77777777" w:rsidR="005A1623" w:rsidRPr="00622221" w:rsidRDefault="005A1623" w:rsidP="005A1623">
      <w:pPr>
        <w:pStyle w:val="EndNoteBibliography"/>
        <w:ind w:left="720" w:hanging="720"/>
        <w:rPr>
          <w:noProof/>
        </w:rPr>
      </w:pPr>
      <w:r w:rsidRPr="00622221">
        <w:rPr>
          <w:noProof/>
        </w:rPr>
        <w:t xml:space="preserve">Kluegel, J. R., &amp; Smith, E. R. (1986). </w:t>
      </w:r>
      <w:r w:rsidRPr="00622221">
        <w:rPr>
          <w:b/>
          <w:i/>
          <w:noProof/>
        </w:rPr>
        <w:t>Beliefs about inequality: Americans' views of what is and what ought to be</w:t>
      </w:r>
      <w:r w:rsidRPr="00622221">
        <w:rPr>
          <w:noProof/>
        </w:rPr>
        <w:t>: Aldine de Gruyter, Hawthorne, NY.</w:t>
      </w:r>
    </w:p>
    <w:p w14:paraId="393D2CBA" w14:textId="6A9098E1" w:rsidR="00622221" w:rsidRPr="00622221" w:rsidRDefault="00622221" w:rsidP="00622221">
      <w:pPr>
        <w:pStyle w:val="EndNoteBibliography"/>
        <w:ind w:left="720" w:hanging="720"/>
        <w:rPr>
          <w:noProof/>
        </w:rPr>
      </w:pPr>
      <w:r w:rsidRPr="00622221">
        <w:rPr>
          <w:noProof/>
        </w:rPr>
        <w:lastRenderedPageBreak/>
        <w:t>Kray, L. J., Galinsky, A. D., &amp; Thompson, L. (2002). Reversing the gender gap in negotiations: An exploration of stereotype regeneration. </w:t>
      </w:r>
      <w:r w:rsidRPr="00622221">
        <w:rPr>
          <w:b/>
          <w:i/>
          <w:iCs/>
          <w:noProof/>
        </w:rPr>
        <w:t>Organizational Behavior and Human Decision Processes</w:t>
      </w:r>
      <w:r w:rsidRPr="00622221">
        <w:rPr>
          <w:noProof/>
        </w:rPr>
        <w:t>, </w:t>
      </w:r>
      <w:r w:rsidRPr="00622221">
        <w:rPr>
          <w:i/>
          <w:iCs/>
          <w:noProof/>
        </w:rPr>
        <w:t>87</w:t>
      </w:r>
      <w:r w:rsidRPr="00622221">
        <w:rPr>
          <w:noProof/>
        </w:rPr>
        <w:t>, 386-409.</w:t>
      </w:r>
    </w:p>
    <w:p w14:paraId="479EE52C" w14:textId="7AE9B1A9" w:rsidR="005A1623" w:rsidRPr="005A034D" w:rsidRDefault="00622221" w:rsidP="00622221">
      <w:pPr>
        <w:pStyle w:val="EndNoteBibliography"/>
        <w:ind w:left="720" w:hanging="720"/>
        <w:rPr>
          <w:noProof/>
        </w:rPr>
      </w:pPr>
      <w:r w:rsidRPr="00622221">
        <w:rPr>
          <w:noProof/>
        </w:rPr>
        <w:t xml:space="preserve"> </w:t>
      </w:r>
      <w:r w:rsidR="005A1623" w:rsidRPr="00622221">
        <w:rPr>
          <w:noProof/>
        </w:rPr>
        <w:t xml:space="preserve">Kray, L. J., &amp; Gelfand, M. J. (2009). Relief versus regret: The effect of gender and negotiating norm ambiguity on reactions to having one's first offer accepted. </w:t>
      </w:r>
      <w:r w:rsidR="005A1623" w:rsidRPr="00622221">
        <w:rPr>
          <w:b/>
          <w:i/>
          <w:noProof/>
        </w:rPr>
        <w:t>Social Cognition</w:t>
      </w:r>
      <w:r w:rsidR="005A1623" w:rsidRPr="00622221">
        <w:rPr>
          <w:noProof/>
        </w:rPr>
        <w:t xml:space="preserve">, </w:t>
      </w:r>
      <w:r w:rsidR="005A1623" w:rsidRPr="00622221">
        <w:rPr>
          <w:i/>
          <w:iCs/>
          <w:noProof/>
        </w:rPr>
        <w:t>27</w:t>
      </w:r>
      <w:r w:rsidR="00240938" w:rsidRPr="00622221">
        <w:rPr>
          <w:noProof/>
        </w:rPr>
        <w:t>,</w:t>
      </w:r>
      <w:r w:rsidR="005A1623" w:rsidRPr="00622221">
        <w:rPr>
          <w:noProof/>
        </w:rPr>
        <w:t xml:space="preserve"> 418-436.</w:t>
      </w:r>
    </w:p>
    <w:p w14:paraId="35CA9F61" w14:textId="77777777" w:rsidR="005A1623" w:rsidRPr="005A034D" w:rsidRDefault="005A1623" w:rsidP="005A1623">
      <w:pPr>
        <w:pStyle w:val="EndNoteBibliography"/>
        <w:ind w:left="720" w:hanging="720"/>
        <w:rPr>
          <w:noProof/>
        </w:rPr>
      </w:pPr>
      <w:r w:rsidRPr="005A034D">
        <w:rPr>
          <w:noProof/>
        </w:rPr>
        <w:t>Kray, L. J., Kennedy, J. A., &amp; Van Zant, A. B. (2014). Not competent enough to know the difference? Gender stereotypes about women’s ease of being misled predict negotiator deception. O</w:t>
      </w:r>
      <w:r w:rsidRPr="005A034D">
        <w:rPr>
          <w:b/>
          <w:bCs/>
          <w:i/>
          <w:iCs/>
          <w:noProof/>
        </w:rPr>
        <w:t>rganizational Behavior and Human Decision Processes</w:t>
      </w:r>
      <w:r w:rsidRPr="005A034D">
        <w:rPr>
          <w:noProof/>
        </w:rPr>
        <w:t xml:space="preserve">, </w:t>
      </w:r>
      <w:r w:rsidRPr="0053263D">
        <w:rPr>
          <w:i/>
          <w:iCs/>
          <w:noProof/>
        </w:rPr>
        <w:t>125</w:t>
      </w:r>
      <w:r w:rsidRPr="005A034D">
        <w:rPr>
          <w:noProof/>
        </w:rPr>
        <w:t>, 61-72.</w:t>
      </w:r>
    </w:p>
    <w:p w14:paraId="39511046" w14:textId="0DCD2798" w:rsidR="005A1623" w:rsidRPr="005A034D" w:rsidRDefault="005A1623" w:rsidP="005A1623">
      <w:pPr>
        <w:pStyle w:val="EndNoteBibliography"/>
        <w:ind w:left="720" w:hanging="720"/>
        <w:rPr>
          <w:noProof/>
        </w:rPr>
      </w:pPr>
      <w:r w:rsidRPr="005A034D">
        <w:rPr>
          <w:noProof/>
        </w:rPr>
        <w:t xml:space="preserve">Kray, L. J., &amp; Thompson, L. (2004). Gender stereotypes and negotiation performance: An examination of theory and research. </w:t>
      </w:r>
      <w:r w:rsidRPr="005A034D">
        <w:rPr>
          <w:b/>
          <w:i/>
          <w:noProof/>
        </w:rPr>
        <w:t>Research in Organizational Behavior</w:t>
      </w:r>
      <w:r w:rsidRPr="005A034D">
        <w:rPr>
          <w:noProof/>
        </w:rPr>
        <w:t xml:space="preserve">, </w:t>
      </w:r>
      <w:r w:rsidRPr="0053263D">
        <w:rPr>
          <w:i/>
          <w:iCs/>
          <w:noProof/>
        </w:rPr>
        <w:t>26</w:t>
      </w:r>
      <w:r w:rsidR="00240938">
        <w:rPr>
          <w:noProof/>
        </w:rPr>
        <w:t xml:space="preserve">, </w:t>
      </w:r>
      <w:r w:rsidRPr="005A034D">
        <w:rPr>
          <w:noProof/>
        </w:rPr>
        <w:t>103–182.</w:t>
      </w:r>
    </w:p>
    <w:p w14:paraId="75EA2491" w14:textId="2BD28D8B" w:rsidR="005A1623" w:rsidRPr="005A034D" w:rsidRDefault="005A1623" w:rsidP="005A1623">
      <w:pPr>
        <w:pStyle w:val="EndNoteBibliography"/>
        <w:ind w:left="720" w:hanging="720"/>
        <w:rPr>
          <w:noProof/>
        </w:rPr>
      </w:pPr>
      <w:r w:rsidRPr="005A034D">
        <w:rPr>
          <w:noProof/>
        </w:rPr>
        <w:t xml:space="preserve">Kray, L. J., Thompson, L., &amp; Galinsky, A. (2001). Battle of the sexes: Gender stereotype confirmation and reactance in negotiations. </w:t>
      </w:r>
      <w:r w:rsidRPr="005A034D">
        <w:rPr>
          <w:b/>
          <w:i/>
          <w:noProof/>
        </w:rPr>
        <w:t>Journal of Personality and Social Psychology</w:t>
      </w:r>
      <w:r w:rsidRPr="005A034D">
        <w:rPr>
          <w:noProof/>
        </w:rPr>
        <w:t xml:space="preserve">, </w:t>
      </w:r>
      <w:r w:rsidRPr="00240938">
        <w:rPr>
          <w:i/>
          <w:iCs/>
          <w:noProof/>
        </w:rPr>
        <w:t>80</w:t>
      </w:r>
      <w:r w:rsidR="00240938">
        <w:rPr>
          <w:noProof/>
        </w:rPr>
        <w:t>,</w:t>
      </w:r>
      <w:r w:rsidRPr="005A034D">
        <w:rPr>
          <w:noProof/>
        </w:rPr>
        <w:t xml:space="preserve"> 942–958.</w:t>
      </w:r>
    </w:p>
    <w:p w14:paraId="3289D865" w14:textId="1372732B" w:rsidR="005A1623" w:rsidRPr="005A034D" w:rsidRDefault="005A1623" w:rsidP="005A1623">
      <w:pPr>
        <w:pStyle w:val="EndNoteBibliography"/>
        <w:ind w:left="720" w:hanging="720"/>
        <w:rPr>
          <w:noProof/>
        </w:rPr>
      </w:pPr>
      <w:r w:rsidRPr="005A034D">
        <w:rPr>
          <w:noProof/>
        </w:rPr>
        <w:t xml:space="preserve">Kricheli-Katz, T., &amp; Regev, T. </w:t>
      </w:r>
      <w:r w:rsidR="00DC5D96">
        <w:rPr>
          <w:noProof/>
        </w:rPr>
        <w:t>(</w:t>
      </w:r>
      <w:r w:rsidRPr="005A034D">
        <w:rPr>
          <w:noProof/>
        </w:rPr>
        <w:t>2016</w:t>
      </w:r>
      <w:r w:rsidR="00DC5D96">
        <w:rPr>
          <w:noProof/>
        </w:rPr>
        <w:t>)</w:t>
      </w:r>
      <w:r w:rsidRPr="005A034D">
        <w:rPr>
          <w:noProof/>
        </w:rPr>
        <w:t xml:space="preserve">. How many cents on the dollar? Women and men in product markets. </w:t>
      </w:r>
      <w:r w:rsidRPr="005A034D">
        <w:rPr>
          <w:b/>
          <w:i/>
          <w:noProof/>
        </w:rPr>
        <w:t>Science Advances</w:t>
      </w:r>
      <w:r w:rsidRPr="005A034D">
        <w:rPr>
          <w:noProof/>
        </w:rPr>
        <w:t xml:space="preserve">, </w:t>
      </w:r>
      <w:r w:rsidRPr="00240938">
        <w:rPr>
          <w:i/>
          <w:iCs/>
          <w:noProof/>
        </w:rPr>
        <w:t>2</w:t>
      </w:r>
      <w:r w:rsidR="00240938">
        <w:rPr>
          <w:noProof/>
        </w:rPr>
        <w:t>,</w:t>
      </w:r>
      <w:r w:rsidRPr="005A034D">
        <w:rPr>
          <w:noProof/>
        </w:rPr>
        <w:t xml:space="preserve"> e1500599.</w:t>
      </w:r>
    </w:p>
    <w:p w14:paraId="6D3F6F22" w14:textId="4DFAF2A6" w:rsidR="005A1623" w:rsidRPr="005A034D" w:rsidRDefault="005A1623" w:rsidP="005A1623">
      <w:pPr>
        <w:pStyle w:val="EndNoteBibliography"/>
        <w:ind w:left="720" w:hanging="720"/>
        <w:rPr>
          <w:noProof/>
        </w:rPr>
      </w:pPr>
      <w:r w:rsidRPr="005A034D">
        <w:rPr>
          <w:noProof/>
        </w:rPr>
        <w:t xml:space="preserve">Kugler, K. G., Reif, J. A. M., Kaschner, T., &amp; Brodbeck, F. C. </w:t>
      </w:r>
      <w:r w:rsidR="008F06A1">
        <w:rPr>
          <w:noProof/>
        </w:rPr>
        <w:t>(</w:t>
      </w:r>
      <w:r w:rsidRPr="005A034D">
        <w:rPr>
          <w:noProof/>
        </w:rPr>
        <w:t>2018</w:t>
      </w:r>
      <w:r w:rsidR="008F06A1">
        <w:rPr>
          <w:noProof/>
        </w:rPr>
        <w:t>)</w:t>
      </w:r>
      <w:r w:rsidRPr="005A034D">
        <w:rPr>
          <w:noProof/>
        </w:rPr>
        <w:t xml:space="preserve">. Gender differences in the initiation of negotiations: A meta-analysis. </w:t>
      </w:r>
      <w:r w:rsidRPr="005A034D">
        <w:rPr>
          <w:b/>
          <w:i/>
          <w:noProof/>
        </w:rPr>
        <w:t>Psychological Bulletin</w:t>
      </w:r>
      <w:r w:rsidRPr="005A034D">
        <w:rPr>
          <w:noProof/>
        </w:rPr>
        <w:t xml:space="preserve">, </w:t>
      </w:r>
      <w:r w:rsidRPr="00240938">
        <w:rPr>
          <w:i/>
          <w:iCs/>
          <w:noProof/>
        </w:rPr>
        <w:t>144</w:t>
      </w:r>
      <w:r w:rsidR="00240938">
        <w:rPr>
          <w:noProof/>
        </w:rPr>
        <w:t>,</w:t>
      </w:r>
      <w:r w:rsidRPr="005A034D">
        <w:rPr>
          <w:noProof/>
        </w:rPr>
        <w:t xml:space="preserve"> 198-222.</w:t>
      </w:r>
    </w:p>
    <w:p w14:paraId="467C3DCC" w14:textId="2DC0557A" w:rsidR="00D31AFF" w:rsidRPr="00D31AFF" w:rsidRDefault="00D31AFF" w:rsidP="005A1623">
      <w:pPr>
        <w:pStyle w:val="EndNoteBibliography"/>
        <w:ind w:left="720" w:hanging="720"/>
        <w:rPr>
          <w:noProof/>
          <w:lang w:val="en-GB"/>
        </w:rPr>
      </w:pPr>
      <w:r>
        <w:rPr>
          <w:noProof/>
          <w:lang w:val="en-GB"/>
        </w:rPr>
        <w:t>LeanIn</w:t>
      </w:r>
      <w:r w:rsidR="0056511E">
        <w:rPr>
          <w:noProof/>
          <w:lang w:val="en-GB"/>
        </w:rPr>
        <w:t>.org, &amp;</w:t>
      </w:r>
      <w:r>
        <w:rPr>
          <w:noProof/>
          <w:lang w:val="en-GB"/>
        </w:rPr>
        <w:t xml:space="preserve"> McKinsey &amp; Co. (20</w:t>
      </w:r>
      <w:r w:rsidR="00687195">
        <w:rPr>
          <w:noProof/>
          <w:lang w:val="en-GB"/>
        </w:rPr>
        <w:t>18</w:t>
      </w:r>
      <w:r>
        <w:rPr>
          <w:noProof/>
          <w:lang w:val="en-GB"/>
        </w:rPr>
        <w:t xml:space="preserve">). </w:t>
      </w:r>
      <w:r>
        <w:rPr>
          <w:b/>
          <w:bCs/>
          <w:i/>
          <w:iCs/>
          <w:noProof/>
          <w:lang w:val="en-GB"/>
        </w:rPr>
        <w:t xml:space="preserve">Women in the Workplace. </w:t>
      </w:r>
      <w:r w:rsidRPr="00D31AFF">
        <w:rPr>
          <w:noProof/>
          <w:lang w:val="en-GB"/>
        </w:rPr>
        <w:t>https://womenintheworkplace.com/</w:t>
      </w:r>
      <w:r w:rsidR="00B77302">
        <w:rPr>
          <w:noProof/>
          <w:lang w:val="en-GB"/>
        </w:rPr>
        <w:t>2022</w:t>
      </w:r>
    </w:p>
    <w:p w14:paraId="3BD351E3" w14:textId="637229F4" w:rsidR="00D31AFF" w:rsidRPr="00D31AFF" w:rsidRDefault="00D31AFF" w:rsidP="00D31AFF">
      <w:pPr>
        <w:pStyle w:val="EndNoteBibliography"/>
        <w:ind w:left="720" w:hanging="720"/>
        <w:rPr>
          <w:noProof/>
          <w:lang w:val="en-GB"/>
        </w:rPr>
      </w:pPr>
      <w:r>
        <w:rPr>
          <w:noProof/>
          <w:lang w:val="en-GB"/>
        </w:rPr>
        <w:t>Lean</w:t>
      </w:r>
      <w:r w:rsidR="00C91990">
        <w:rPr>
          <w:noProof/>
          <w:lang w:val="en-GB"/>
        </w:rPr>
        <w:t>In.org, &amp;</w:t>
      </w:r>
      <w:r>
        <w:rPr>
          <w:noProof/>
          <w:lang w:val="en-GB"/>
        </w:rPr>
        <w:t xml:space="preserve"> McKinsey &amp; Co. (2017). </w:t>
      </w:r>
      <w:r>
        <w:rPr>
          <w:b/>
          <w:bCs/>
          <w:i/>
          <w:iCs/>
          <w:noProof/>
          <w:lang w:val="en-GB"/>
        </w:rPr>
        <w:t xml:space="preserve">Women in the Workplace. </w:t>
      </w:r>
      <w:r w:rsidRPr="00D31AFF">
        <w:rPr>
          <w:noProof/>
          <w:lang w:val="en-GB"/>
        </w:rPr>
        <w:t>https://womenintheworkplace.com/2017</w:t>
      </w:r>
    </w:p>
    <w:p w14:paraId="35976064" w14:textId="354F83B3" w:rsidR="005A1623" w:rsidRPr="005A034D" w:rsidRDefault="005A1623" w:rsidP="005A1623">
      <w:pPr>
        <w:pStyle w:val="EndNoteBibliography"/>
        <w:ind w:left="720" w:hanging="720"/>
        <w:rPr>
          <w:i/>
          <w:noProof/>
        </w:rPr>
      </w:pPr>
      <w:r w:rsidRPr="005A034D">
        <w:rPr>
          <w:noProof/>
          <w:lang w:val="en-GB"/>
        </w:rPr>
        <w:lastRenderedPageBreak/>
        <w:t>Lee, M., &amp; Kray, L. J. (2021). A gender gap in managerial span of control: Implications for the gender pay gap.</w:t>
      </w:r>
      <w:r w:rsidRPr="005A034D">
        <w:rPr>
          <w:noProof/>
        </w:rPr>
        <w:t xml:space="preserve"> </w:t>
      </w:r>
      <w:r w:rsidRPr="005A034D">
        <w:rPr>
          <w:b/>
          <w:bCs/>
          <w:i/>
          <w:noProof/>
        </w:rPr>
        <w:t xml:space="preserve">Organizational Behavior and Human Decision Processes, </w:t>
      </w:r>
      <w:r w:rsidRPr="00240938">
        <w:rPr>
          <w:i/>
          <w:iCs/>
          <w:noProof/>
        </w:rPr>
        <w:t>167</w:t>
      </w:r>
      <w:r w:rsidRPr="005A034D">
        <w:rPr>
          <w:i/>
          <w:noProof/>
        </w:rPr>
        <w:t>, 1-17</w:t>
      </w:r>
      <w:r w:rsidRPr="005A034D">
        <w:rPr>
          <w:noProof/>
        </w:rPr>
        <w:t>.</w:t>
      </w:r>
    </w:p>
    <w:p w14:paraId="0B59ABAE" w14:textId="77777777" w:rsidR="005A1623" w:rsidRPr="005A034D" w:rsidRDefault="005A1623" w:rsidP="005A1623">
      <w:pPr>
        <w:pStyle w:val="EndNoteBibliography"/>
        <w:ind w:left="720" w:hanging="720"/>
        <w:rPr>
          <w:noProof/>
        </w:rPr>
      </w:pPr>
      <w:r w:rsidRPr="005A034D">
        <w:rPr>
          <w:noProof/>
        </w:rPr>
        <w:t xml:space="preserve">Lerner, M. J. (1980). </w:t>
      </w:r>
      <w:r w:rsidRPr="005A034D">
        <w:rPr>
          <w:b/>
          <w:i/>
          <w:noProof/>
        </w:rPr>
        <w:t>The belief in a just world</w:t>
      </w:r>
      <w:r w:rsidRPr="005A034D">
        <w:rPr>
          <w:noProof/>
        </w:rPr>
        <w:t>: Springer.</w:t>
      </w:r>
    </w:p>
    <w:p w14:paraId="6D556AF1" w14:textId="5034B271" w:rsidR="005A1623" w:rsidRDefault="005A1623" w:rsidP="005A1623">
      <w:pPr>
        <w:pStyle w:val="EndNoteBibliography"/>
        <w:ind w:left="720" w:hanging="720"/>
        <w:rPr>
          <w:noProof/>
        </w:rPr>
      </w:pPr>
      <w:r w:rsidRPr="005A034D">
        <w:rPr>
          <w:noProof/>
        </w:rPr>
        <w:t xml:space="preserve">Lerner, M. J., &amp; Miller, D. T. (1978). Just world research and the attribution process: Looking back and ahead. </w:t>
      </w:r>
      <w:r w:rsidRPr="005A034D">
        <w:rPr>
          <w:b/>
          <w:i/>
          <w:noProof/>
        </w:rPr>
        <w:t>Psychological Bulletin</w:t>
      </w:r>
      <w:r w:rsidRPr="005A034D">
        <w:rPr>
          <w:noProof/>
        </w:rPr>
        <w:t xml:space="preserve">, </w:t>
      </w:r>
      <w:r w:rsidRPr="00240938">
        <w:rPr>
          <w:i/>
          <w:iCs/>
          <w:noProof/>
        </w:rPr>
        <w:t>85</w:t>
      </w:r>
      <w:r w:rsidR="00240938">
        <w:rPr>
          <w:noProof/>
        </w:rPr>
        <w:t>,</w:t>
      </w:r>
      <w:r w:rsidRPr="005A034D">
        <w:rPr>
          <w:noProof/>
        </w:rPr>
        <w:t xml:space="preserve"> 1030-1051.</w:t>
      </w:r>
    </w:p>
    <w:p w14:paraId="10AE6734" w14:textId="32D28EF2" w:rsidR="00516969" w:rsidRPr="005A034D" w:rsidRDefault="00516969" w:rsidP="00516969">
      <w:pPr>
        <w:pStyle w:val="EndNoteBibliography"/>
        <w:ind w:left="720" w:hanging="720"/>
        <w:rPr>
          <w:noProof/>
        </w:rPr>
      </w:pPr>
      <w:r w:rsidRPr="005A034D">
        <w:rPr>
          <w:noProof/>
        </w:rPr>
        <w:t xml:space="preserve">Leslie, L. M., Manchester, C. F., &amp; Dahm, P. C. (2017). Why and when does the gender pay gap reverse? Diversity goals and the pay premium for high potential women. </w:t>
      </w:r>
      <w:r w:rsidRPr="005A034D">
        <w:rPr>
          <w:b/>
          <w:bCs/>
          <w:i/>
          <w:iCs/>
          <w:noProof/>
        </w:rPr>
        <w:t xml:space="preserve">Academy of Management Journal, </w:t>
      </w:r>
      <w:r w:rsidRPr="00240938">
        <w:rPr>
          <w:i/>
          <w:iCs/>
          <w:noProof/>
        </w:rPr>
        <w:t>60</w:t>
      </w:r>
      <w:r>
        <w:rPr>
          <w:noProof/>
        </w:rPr>
        <w:t>,</w:t>
      </w:r>
      <w:r w:rsidRPr="005A034D">
        <w:rPr>
          <w:i/>
          <w:iCs/>
          <w:noProof/>
        </w:rPr>
        <w:t xml:space="preserve"> </w:t>
      </w:r>
      <w:r w:rsidRPr="005A034D">
        <w:rPr>
          <w:noProof/>
        </w:rPr>
        <w:t>402-432.</w:t>
      </w:r>
    </w:p>
    <w:p w14:paraId="00F4860F" w14:textId="66133494" w:rsidR="005A1623" w:rsidRPr="005A034D" w:rsidRDefault="005A1623" w:rsidP="005A1623">
      <w:pPr>
        <w:pStyle w:val="EndNoteBibliography"/>
        <w:ind w:left="720" w:hanging="720"/>
        <w:rPr>
          <w:noProof/>
        </w:rPr>
      </w:pPr>
      <w:r w:rsidRPr="005A034D">
        <w:rPr>
          <w:noProof/>
        </w:rPr>
        <w:t xml:space="preserve">Lips, H. M. (2003). The gender pay gap: Concrete indicator of women's progress toward equality. </w:t>
      </w:r>
      <w:r w:rsidRPr="005A034D">
        <w:rPr>
          <w:b/>
          <w:i/>
          <w:noProof/>
        </w:rPr>
        <w:t>Analyses of Social Issues and Public Policy</w:t>
      </w:r>
      <w:r w:rsidRPr="005A034D">
        <w:rPr>
          <w:noProof/>
        </w:rPr>
        <w:t xml:space="preserve">, </w:t>
      </w:r>
      <w:r w:rsidRPr="00240938">
        <w:rPr>
          <w:i/>
          <w:iCs/>
          <w:noProof/>
        </w:rPr>
        <w:t>3</w:t>
      </w:r>
      <w:r w:rsidR="00240938">
        <w:rPr>
          <w:noProof/>
        </w:rPr>
        <w:t>,</w:t>
      </w:r>
      <w:r w:rsidRPr="005A034D">
        <w:rPr>
          <w:noProof/>
        </w:rPr>
        <w:t xml:space="preserve"> 87–109.</w:t>
      </w:r>
    </w:p>
    <w:p w14:paraId="3FC78D25" w14:textId="5EABE3FC" w:rsidR="005A1623" w:rsidRPr="005A034D" w:rsidRDefault="005A1623" w:rsidP="005A1623">
      <w:pPr>
        <w:pStyle w:val="EndNoteBibliography"/>
        <w:ind w:left="720" w:hanging="720"/>
        <w:rPr>
          <w:noProof/>
        </w:rPr>
      </w:pPr>
      <w:r w:rsidRPr="005A034D">
        <w:rPr>
          <w:noProof/>
        </w:rPr>
        <w:t xml:space="preserve">Lips, H. M. (2013). The gender pay gap: Challenging the rationalizations. </w:t>
      </w:r>
      <w:r w:rsidR="00635262">
        <w:rPr>
          <w:noProof/>
        </w:rPr>
        <w:t>P</w:t>
      </w:r>
      <w:r w:rsidRPr="005A034D">
        <w:rPr>
          <w:noProof/>
        </w:rPr>
        <w:t xml:space="preserve">erceived equity, discrimination, and the limits of human capital models. </w:t>
      </w:r>
      <w:r w:rsidRPr="005A034D">
        <w:rPr>
          <w:b/>
          <w:i/>
          <w:noProof/>
        </w:rPr>
        <w:t>Sex Roles</w:t>
      </w:r>
      <w:r w:rsidRPr="005A034D">
        <w:rPr>
          <w:noProof/>
        </w:rPr>
        <w:t xml:space="preserve">, </w:t>
      </w:r>
      <w:r w:rsidRPr="00240938">
        <w:rPr>
          <w:i/>
          <w:iCs/>
          <w:noProof/>
        </w:rPr>
        <w:t>68</w:t>
      </w:r>
      <w:r w:rsidR="00240938">
        <w:rPr>
          <w:noProof/>
        </w:rPr>
        <w:t>,</w:t>
      </w:r>
      <w:r w:rsidRPr="005A034D">
        <w:rPr>
          <w:noProof/>
        </w:rPr>
        <w:t xml:space="preserve"> 169–185.</w:t>
      </w:r>
    </w:p>
    <w:p w14:paraId="657E97E9" w14:textId="36728015" w:rsidR="005A1623" w:rsidRPr="005A034D" w:rsidRDefault="005A1623" w:rsidP="005A1623">
      <w:pPr>
        <w:pStyle w:val="EndNoteBibliography"/>
        <w:ind w:left="720" w:hanging="720"/>
        <w:rPr>
          <w:noProof/>
        </w:rPr>
      </w:pPr>
      <w:r w:rsidRPr="005A034D">
        <w:rPr>
          <w:noProof/>
        </w:rPr>
        <w:t xml:space="preserve">Lyness, K. S., &amp; Heilman, M. E. (2006). When fit is fundamental: Performance evaluations and promotions of upper-level female and male managers. </w:t>
      </w:r>
      <w:r w:rsidRPr="005A034D">
        <w:rPr>
          <w:b/>
          <w:i/>
          <w:noProof/>
        </w:rPr>
        <w:t>Journal of Applied Psychology</w:t>
      </w:r>
      <w:r w:rsidRPr="005A034D">
        <w:rPr>
          <w:noProof/>
        </w:rPr>
        <w:t xml:space="preserve">, </w:t>
      </w:r>
      <w:r w:rsidRPr="00240938">
        <w:rPr>
          <w:i/>
          <w:iCs/>
          <w:noProof/>
        </w:rPr>
        <w:t>91</w:t>
      </w:r>
      <w:r w:rsidR="00240938">
        <w:rPr>
          <w:noProof/>
        </w:rPr>
        <w:t>,</w:t>
      </w:r>
      <w:r w:rsidRPr="005A034D">
        <w:rPr>
          <w:noProof/>
        </w:rPr>
        <w:t xml:space="preserve"> 777–785.</w:t>
      </w:r>
    </w:p>
    <w:p w14:paraId="4496B849" w14:textId="43C2D2A7" w:rsidR="005A1623" w:rsidRPr="005A034D" w:rsidRDefault="005A1623" w:rsidP="005A1623">
      <w:pPr>
        <w:pStyle w:val="EndNoteBibliography"/>
        <w:ind w:left="720" w:hanging="720"/>
        <w:rPr>
          <w:noProof/>
        </w:rPr>
      </w:pPr>
      <w:r w:rsidRPr="005A034D">
        <w:rPr>
          <w:noProof/>
        </w:rPr>
        <w:t xml:space="preserve">Major, B. (1989). Gender differences in comparisons and entitlement: Implications for comparable worth. </w:t>
      </w:r>
      <w:r w:rsidRPr="005A034D">
        <w:rPr>
          <w:b/>
          <w:i/>
          <w:noProof/>
        </w:rPr>
        <w:t>Journal of Social Issues</w:t>
      </w:r>
      <w:r w:rsidRPr="005A034D">
        <w:rPr>
          <w:noProof/>
        </w:rPr>
        <w:t xml:space="preserve">, </w:t>
      </w:r>
      <w:r w:rsidRPr="00240938">
        <w:rPr>
          <w:i/>
          <w:iCs/>
          <w:noProof/>
        </w:rPr>
        <w:t>45</w:t>
      </w:r>
      <w:r w:rsidR="00240938">
        <w:rPr>
          <w:noProof/>
        </w:rPr>
        <w:t>,</w:t>
      </w:r>
      <w:r w:rsidRPr="005A034D">
        <w:rPr>
          <w:noProof/>
        </w:rPr>
        <w:t xml:space="preserve"> 99–115.</w:t>
      </w:r>
    </w:p>
    <w:p w14:paraId="65289EE9" w14:textId="165C4585" w:rsidR="005A1623" w:rsidRDefault="005A1623" w:rsidP="005A1623">
      <w:pPr>
        <w:pStyle w:val="EndNoteBibliography"/>
        <w:ind w:left="720" w:hanging="720"/>
        <w:rPr>
          <w:noProof/>
        </w:rPr>
      </w:pPr>
      <w:r w:rsidRPr="005A034D">
        <w:rPr>
          <w:noProof/>
        </w:rPr>
        <w:t xml:space="preserve">Major, B., Gramzow, R. H., McCoy, S. K., Levin, S., Schmader, T., &amp; Sidanius, J. (2002). Perceiving personal discrimination: The role of group status and legitimizing ideology. </w:t>
      </w:r>
      <w:r w:rsidRPr="005A034D">
        <w:rPr>
          <w:b/>
          <w:i/>
          <w:noProof/>
        </w:rPr>
        <w:t>Journal of Personality and Social Psychology</w:t>
      </w:r>
      <w:r w:rsidRPr="005A034D">
        <w:rPr>
          <w:noProof/>
        </w:rPr>
        <w:t xml:space="preserve">, </w:t>
      </w:r>
      <w:r w:rsidRPr="00240938">
        <w:rPr>
          <w:i/>
          <w:iCs/>
          <w:noProof/>
        </w:rPr>
        <w:t>82</w:t>
      </w:r>
      <w:r w:rsidR="00240938">
        <w:rPr>
          <w:noProof/>
        </w:rPr>
        <w:t>,</w:t>
      </w:r>
      <w:r w:rsidRPr="005A034D">
        <w:rPr>
          <w:noProof/>
        </w:rPr>
        <w:t xml:space="preserve"> 269-282.</w:t>
      </w:r>
    </w:p>
    <w:p w14:paraId="6CE3CA04" w14:textId="45742AB9" w:rsidR="00D95AA8" w:rsidRPr="005A034D" w:rsidRDefault="00D95AA8" w:rsidP="00D95AA8">
      <w:pPr>
        <w:pStyle w:val="EndNoteBibliography"/>
        <w:ind w:left="720" w:hanging="720"/>
        <w:rPr>
          <w:noProof/>
        </w:rPr>
      </w:pPr>
      <w:r w:rsidRPr="00D95AA8">
        <w:rPr>
          <w:noProof/>
        </w:rPr>
        <w:t>Major, B</w:t>
      </w:r>
      <w:r>
        <w:rPr>
          <w:noProof/>
        </w:rPr>
        <w:t>.</w:t>
      </w:r>
      <w:r w:rsidRPr="00D95AA8">
        <w:rPr>
          <w:noProof/>
        </w:rPr>
        <w:t xml:space="preserve">, Kaiser, </w:t>
      </w:r>
      <w:r>
        <w:rPr>
          <w:noProof/>
        </w:rPr>
        <w:t>C. R., &amp; McCoy, S. K. (</w:t>
      </w:r>
      <w:r w:rsidRPr="00D95AA8">
        <w:rPr>
          <w:noProof/>
        </w:rPr>
        <w:t>2003</w:t>
      </w:r>
      <w:r>
        <w:rPr>
          <w:noProof/>
        </w:rPr>
        <w:t>)</w:t>
      </w:r>
      <w:r w:rsidRPr="00D95AA8">
        <w:rPr>
          <w:noProof/>
        </w:rPr>
        <w:t xml:space="preserve">. It’s </w:t>
      </w:r>
      <w:r>
        <w:rPr>
          <w:noProof/>
        </w:rPr>
        <w:t>n</w:t>
      </w:r>
      <w:r w:rsidRPr="00D95AA8">
        <w:rPr>
          <w:noProof/>
        </w:rPr>
        <w:t xml:space="preserve">ot </w:t>
      </w:r>
      <w:r>
        <w:rPr>
          <w:noProof/>
        </w:rPr>
        <w:t>m</w:t>
      </w:r>
      <w:r w:rsidRPr="00D95AA8">
        <w:rPr>
          <w:noProof/>
        </w:rPr>
        <w:t xml:space="preserve">y </w:t>
      </w:r>
      <w:r>
        <w:rPr>
          <w:noProof/>
        </w:rPr>
        <w:t>f</w:t>
      </w:r>
      <w:r w:rsidRPr="00D95AA8">
        <w:rPr>
          <w:noProof/>
        </w:rPr>
        <w:t xml:space="preserve">ault: When and </w:t>
      </w:r>
      <w:r>
        <w:rPr>
          <w:noProof/>
        </w:rPr>
        <w:t>w</w:t>
      </w:r>
      <w:r w:rsidRPr="00D95AA8">
        <w:rPr>
          <w:noProof/>
        </w:rPr>
        <w:t xml:space="preserve">hy </w:t>
      </w:r>
      <w:r>
        <w:rPr>
          <w:noProof/>
        </w:rPr>
        <w:t>a</w:t>
      </w:r>
      <w:r w:rsidRPr="00D95AA8">
        <w:rPr>
          <w:noProof/>
        </w:rPr>
        <w:t xml:space="preserve">ttributions to </w:t>
      </w:r>
      <w:r>
        <w:rPr>
          <w:noProof/>
        </w:rPr>
        <w:t>p</w:t>
      </w:r>
      <w:r w:rsidRPr="00D95AA8">
        <w:rPr>
          <w:noProof/>
        </w:rPr>
        <w:t xml:space="preserve">rejudice </w:t>
      </w:r>
      <w:r>
        <w:rPr>
          <w:noProof/>
        </w:rPr>
        <w:t>p</w:t>
      </w:r>
      <w:r w:rsidRPr="00D95AA8">
        <w:rPr>
          <w:noProof/>
        </w:rPr>
        <w:t xml:space="preserve">rotect </w:t>
      </w:r>
      <w:r>
        <w:rPr>
          <w:noProof/>
        </w:rPr>
        <w:t>w</w:t>
      </w:r>
      <w:r w:rsidRPr="00D95AA8">
        <w:rPr>
          <w:noProof/>
        </w:rPr>
        <w:t>ell-</w:t>
      </w:r>
      <w:r>
        <w:rPr>
          <w:noProof/>
        </w:rPr>
        <w:t>b</w:t>
      </w:r>
      <w:r w:rsidRPr="00D95AA8">
        <w:rPr>
          <w:noProof/>
        </w:rPr>
        <w:t xml:space="preserve">eing. </w:t>
      </w:r>
      <w:r w:rsidRPr="00D95AA8">
        <w:rPr>
          <w:b/>
          <w:i/>
          <w:iCs/>
          <w:noProof/>
        </w:rPr>
        <w:t>Personality and Social Psychology Bulletin</w:t>
      </w:r>
      <w:r>
        <w:rPr>
          <w:i/>
          <w:iCs/>
          <w:noProof/>
        </w:rPr>
        <w:t>,</w:t>
      </w:r>
      <w:r w:rsidRPr="00D95AA8">
        <w:rPr>
          <w:i/>
          <w:iCs/>
          <w:noProof/>
        </w:rPr>
        <w:t xml:space="preserve"> </w:t>
      </w:r>
      <w:r w:rsidRPr="00D95AA8">
        <w:rPr>
          <w:i/>
          <w:noProof/>
        </w:rPr>
        <w:t>29</w:t>
      </w:r>
      <w:r>
        <w:rPr>
          <w:noProof/>
        </w:rPr>
        <w:t xml:space="preserve">, </w:t>
      </w:r>
      <w:r w:rsidRPr="00D95AA8">
        <w:rPr>
          <w:noProof/>
        </w:rPr>
        <w:t xml:space="preserve">772–81. </w:t>
      </w:r>
    </w:p>
    <w:p w14:paraId="62653B0A" w14:textId="73206CBF" w:rsidR="005A1623" w:rsidRDefault="005A1623" w:rsidP="005A1623">
      <w:pPr>
        <w:pStyle w:val="EndNoteBibliography"/>
        <w:ind w:left="720" w:hanging="720"/>
        <w:rPr>
          <w:noProof/>
        </w:rPr>
      </w:pPr>
      <w:r w:rsidRPr="005A034D">
        <w:rPr>
          <w:noProof/>
        </w:rPr>
        <w:lastRenderedPageBreak/>
        <w:t xml:space="preserve">Major, B., McFarlin, D. B., &amp; Gagnon, D. (1984). Overworked and underpaid: On the nature of gender differences in personal entitlement. </w:t>
      </w:r>
      <w:r w:rsidRPr="005A034D">
        <w:rPr>
          <w:b/>
          <w:i/>
          <w:noProof/>
        </w:rPr>
        <w:t>Journal of Personality and Social Psychology</w:t>
      </w:r>
      <w:r w:rsidRPr="005A034D">
        <w:rPr>
          <w:noProof/>
        </w:rPr>
        <w:t xml:space="preserve">, </w:t>
      </w:r>
      <w:r w:rsidRPr="00240938">
        <w:rPr>
          <w:i/>
          <w:iCs/>
          <w:noProof/>
        </w:rPr>
        <w:t>47</w:t>
      </w:r>
      <w:r w:rsidR="00240938">
        <w:rPr>
          <w:noProof/>
        </w:rPr>
        <w:t>,</w:t>
      </w:r>
      <w:r w:rsidRPr="005A034D">
        <w:rPr>
          <w:noProof/>
        </w:rPr>
        <w:t xml:space="preserve"> 1399–1412.</w:t>
      </w:r>
    </w:p>
    <w:p w14:paraId="714C2148" w14:textId="77777777" w:rsidR="002D58B3" w:rsidRPr="005A034D" w:rsidRDefault="002D58B3" w:rsidP="002D58B3">
      <w:pPr>
        <w:pStyle w:val="EndNoteBibliography"/>
        <w:ind w:left="720" w:hanging="720"/>
        <w:rPr>
          <w:noProof/>
        </w:rPr>
      </w:pPr>
      <w:r w:rsidRPr="00A16E0E">
        <w:rPr>
          <w:noProof/>
        </w:rPr>
        <w:t>Major, B., &amp; O'</w:t>
      </w:r>
      <w:r>
        <w:rPr>
          <w:noProof/>
        </w:rPr>
        <w:t>B</w:t>
      </w:r>
      <w:r w:rsidRPr="00A16E0E">
        <w:rPr>
          <w:noProof/>
        </w:rPr>
        <w:t>rien, L. T. (2005). The social psychology of stigma. </w:t>
      </w:r>
      <w:r w:rsidRPr="00A16E0E">
        <w:rPr>
          <w:b/>
          <w:i/>
          <w:iCs/>
          <w:noProof/>
        </w:rPr>
        <w:t>Annual Review of Psychology</w:t>
      </w:r>
      <w:r w:rsidRPr="00A16E0E">
        <w:rPr>
          <w:b/>
          <w:noProof/>
        </w:rPr>
        <w:t>, </w:t>
      </w:r>
      <w:r w:rsidRPr="00A16E0E">
        <w:rPr>
          <w:i/>
          <w:iCs/>
          <w:noProof/>
        </w:rPr>
        <w:t>56</w:t>
      </w:r>
      <w:r w:rsidRPr="00A16E0E">
        <w:rPr>
          <w:noProof/>
        </w:rPr>
        <w:t>, 393-421.</w:t>
      </w:r>
    </w:p>
    <w:p w14:paraId="3313C3B0" w14:textId="0EE52E54" w:rsidR="00BA3D4C" w:rsidRPr="00CB585F" w:rsidRDefault="00BA3D4C" w:rsidP="005A1623">
      <w:pPr>
        <w:pStyle w:val="EndNoteBibliography"/>
        <w:ind w:left="720" w:hanging="720"/>
        <w:rPr>
          <w:i/>
          <w:iCs/>
          <w:noProof/>
        </w:rPr>
      </w:pPr>
      <w:r>
        <w:rPr>
          <w:noProof/>
        </w:rPr>
        <w:t xml:space="preserve">Mandel, D. R., &amp; Tetlock, P. E. (2016). Debunking the myth of value-neutral virginity: Toward truth in scientific advertising. </w:t>
      </w:r>
      <w:r>
        <w:rPr>
          <w:b/>
          <w:bCs/>
          <w:i/>
          <w:iCs/>
          <w:noProof/>
        </w:rPr>
        <w:t>Frontiers in Psychology</w:t>
      </w:r>
      <w:r w:rsidRPr="00CB585F">
        <w:rPr>
          <w:noProof/>
        </w:rPr>
        <w:t>,</w:t>
      </w:r>
      <w:r w:rsidRPr="00CB585F">
        <w:rPr>
          <w:i/>
          <w:iCs/>
          <w:noProof/>
        </w:rPr>
        <w:t xml:space="preserve"> 7</w:t>
      </w:r>
      <w:r>
        <w:rPr>
          <w:noProof/>
        </w:rPr>
        <w:t>, 1-5.</w:t>
      </w:r>
      <w:r>
        <w:rPr>
          <w:b/>
          <w:bCs/>
          <w:i/>
          <w:iCs/>
          <w:noProof/>
        </w:rPr>
        <w:t xml:space="preserve"> </w:t>
      </w:r>
    </w:p>
    <w:p w14:paraId="6096EC23" w14:textId="15C7F522" w:rsidR="005A1623" w:rsidRPr="005A034D" w:rsidRDefault="005A1623" w:rsidP="005A1623">
      <w:pPr>
        <w:pStyle w:val="EndNoteBibliography"/>
        <w:ind w:left="720" w:hanging="720"/>
        <w:rPr>
          <w:noProof/>
        </w:rPr>
      </w:pPr>
      <w:r w:rsidRPr="005A034D">
        <w:rPr>
          <w:noProof/>
        </w:rPr>
        <w:t xml:space="preserve">Martell, R. F., Lane, D. M., &amp; Emrich, C. (1996). Male-female differences: A computer simulation. </w:t>
      </w:r>
      <w:r w:rsidRPr="005A034D">
        <w:rPr>
          <w:b/>
          <w:i/>
          <w:noProof/>
        </w:rPr>
        <w:t>American Psychologist</w:t>
      </w:r>
      <w:r w:rsidRPr="005A034D">
        <w:rPr>
          <w:noProof/>
        </w:rPr>
        <w:t xml:space="preserve">, </w:t>
      </w:r>
      <w:r w:rsidRPr="00240938">
        <w:rPr>
          <w:i/>
          <w:iCs/>
          <w:noProof/>
        </w:rPr>
        <w:t>51</w:t>
      </w:r>
      <w:r w:rsidR="00240938">
        <w:rPr>
          <w:noProof/>
        </w:rPr>
        <w:t>,</w:t>
      </w:r>
      <w:r w:rsidRPr="005A034D">
        <w:rPr>
          <w:noProof/>
        </w:rPr>
        <w:t xml:space="preserve"> 157-158.</w:t>
      </w:r>
    </w:p>
    <w:p w14:paraId="18EDDE13" w14:textId="77777777" w:rsidR="005A1623" w:rsidRPr="005A034D" w:rsidRDefault="005A1623" w:rsidP="005A1623">
      <w:pPr>
        <w:pStyle w:val="EndNoteBibliography"/>
        <w:ind w:left="720" w:hanging="720"/>
        <w:rPr>
          <w:noProof/>
        </w:rPr>
      </w:pPr>
      <w:r w:rsidRPr="005A034D">
        <w:rPr>
          <w:noProof/>
        </w:rPr>
        <w:t>Martin, A. E., &amp; Phillips, K. W. (2017). What “blindness” to gender differences helps women see and do: Implications for confidence, agency, and action in male-dominated environments. </w:t>
      </w:r>
      <w:r w:rsidRPr="0053263D">
        <w:rPr>
          <w:b/>
          <w:bCs/>
          <w:i/>
          <w:iCs/>
          <w:noProof/>
        </w:rPr>
        <w:t>Organizational Behavior and Human Decision Processes</w:t>
      </w:r>
      <w:r w:rsidRPr="005A034D">
        <w:rPr>
          <w:noProof/>
        </w:rPr>
        <w:t>, </w:t>
      </w:r>
      <w:r w:rsidRPr="005A034D">
        <w:rPr>
          <w:i/>
          <w:iCs/>
          <w:noProof/>
        </w:rPr>
        <w:t>142</w:t>
      </w:r>
      <w:r w:rsidRPr="005A034D">
        <w:rPr>
          <w:noProof/>
        </w:rPr>
        <w:t>, 28-44.</w:t>
      </w:r>
    </w:p>
    <w:p w14:paraId="786D2CD5" w14:textId="57026CC9" w:rsidR="005A1623" w:rsidRDefault="005A1623" w:rsidP="005A1623">
      <w:pPr>
        <w:pStyle w:val="EndNoteBibliography"/>
        <w:ind w:left="720" w:hanging="720"/>
        <w:rPr>
          <w:noProof/>
        </w:rPr>
      </w:pPr>
      <w:r w:rsidRPr="005A034D">
        <w:rPr>
          <w:noProof/>
        </w:rPr>
        <w:t xml:space="preserve">Mazei, J., Hüffmeier, J., Freund, P. A., Stuhlmacher, A. F., Bilke, L., &amp; Hertel, G. </w:t>
      </w:r>
      <w:r w:rsidR="00DC5D96">
        <w:rPr>
          <w:noProof/>
        </w:rPr>
        <w:t>(</w:t>
      </w:r>
      <w:r w:rsidRPr="005A034D">
        <w:rPr>
          <w:noProof/>
        </w:rPr>
        <w:t>2015</w:t>
      </w:r>
      <w:r w:rsidR="00DC5D96">
        <w:rPr>
          <w:noProof/>
        </w:rPr>
        <w:t>)</w:t>
      </w:r>
      <w:r w:rsidRPr="005A034D">
        <w:rPr>
          <w:noProof/>
        </w:rPr>
        <w:t xml:space="preserve">. A meta-analysis on gender differences in negotiation outcomes and their moderators. </w:t>
      </w:r>
      <w:r w:rsidRPr="005A034D">
        <w:rPr>
          <w:b/>
          <w:i/>
          <w:noProof/>
        </w:rPr>
        <w:t>Psychological Bulletin</w:t>
      </w:r>
      <w:r w:rsidRPr="005A034D">
        <w:rPr>
          <w:noProof/>
        </w:rPr>
        <w:t xml:space="preserve">, </w:t>
      </w:r>
      <w:r w:rsidRPr="00DC5D96">
        <w:rPr>
          <w:i/>
          <w:iCs/>
          <w:noProof/>
        </w:rPr>
        <w:t>141</w:t>
      </w:r>
      <w:r w:rsidR="00240938">
        <w:rPr>
          <w:noProof/>
        </w:rPr>
        <w:t>,</w:t>
      </w:r>
      <w:r w:rsidRPr="005A034D">
        <w:rPr>
          <w:noProof/>
        </w:rPr>
        <w:t xml:space="preserve"> 85–104.</w:t>
      </w:r>
    </w:p>
    <w:p w14:paraId="13143191" w14:textId="0B342B8E" w:rsidR="00ED6C37" w:rsidRPr="005A034D" w:rsidRDefault="00ED6C37" w:rsidP="00ED6C37">
      <w:pPr>
        <w:pStyle w:val="EndNoteBibliography"/>
        <w:ind w:left="720" w:hanging="720"/>
        <w:rPr>
          <w:noProof/>
        </w:rPr>
      </w:pPr>
      <w:r>
        <w:rPr>
          <w:noProof/>
        </w:rPr>
        <w:t>*</w:t>
      </w:r>
      <w:r w:rsidRPr="00ED6C37">
        <w:rPr>
          <w:noProof/>
        </w:rPr>
        <w:t xml:space="preserve">McLaughlin, S., &amp; Hesli, V. L. (2013). Women don’t ask? Women don’t say no? Bargaining and service in the political science profession. </w:t>
      </w:r>
      <w:r w:rsidRPr="0053263D">
        <w:rPr>
          <w:b/>
          <w:bCs/>
          <w:i/>
          <w:iCs/>
          <w:noProof/>
        </w:rPr>
        <w:t>Political Science &amp; Politics</w:t>
      </w:r>
      <w:r w:rsidRPr="00ED6C37">
        <w:rPr>
          <w:i/>
          <w:iCs/>
          <w:noProof/>
        </w:rPr>
        <w:t xml:space="preserve">, 46, </w:t>
      </w:r>
      <w:r w:rsidRPr="00ED6C37">
        <w:rPr>
          <w:noProof/>
        </w:rPr>
        <w:t>355–369. http://dx.doi.org/10.1017/S1049096513000073</w:t>
      </w:r>
    </w:p>
    <w:p w14:paraId="0F5DCE7C" w14:textId="77777777" w:rsidR="005A1623" w:rsidRPr="005A034D" w:rsidRDefault="005A1623" w:rsidP="005A1623">
      <w:pPr>
        <w:pStyle w:val="EndNoteBibliography"/>
        <w:ind w:left="720" w:hanging="720"/>
        <w:rPr>
          <w:noProof/>
        </w:rPr>
      </w:pPr>
      <w:r w:rsidRPr="005A034D">
        <w:rPr>
          <w:noProof/>
        </w:rPr>
        <w:t xml:space="preserve">Montag-Smit, T., Sanborn-Overby, U., &amp; Batz, C. (2019). </w:t>
      </w:r>
      <w:r w:rsidRPr="005A034D">
        <w:rPr>
          <w:b/>
          <w:i/>
          <w:noProof/>
        </w:rPr>
        <w:t>Transparency increases negotiation rates for men and women alike</w:t>
      </w:r>
      <w:r w:rsidRPr="005A034D">
        <w:rPr>
          <w:noProof/>
        </w:rPr>
        <w:t>. Paper presented at the Academy of Management Proceedings.</w:t>
      </w:r>
    </w:p>
    <w:p w14:paraId="1CC71C21" w14:textId="357C5E5C" w:rsidR="005A1623" w:rsidRPr="005A034D" w:rsidRDefault="005A1623" w:rsidP="005A1623">
      <w:pPr>
        <w:pStyle w:val="EndNoteBibliography"/>
        <w:ind w:left="720" w:hanging="720"/>
        <w:rPr>
          <w:noProof/>
        </w:rPr>
      </w:pPr>
      <w:r w:rsidRPr="005A034D">
        <w:rPr>
          <w:noProof/>
        </w:rPr>
        <w:t xml:space="preserve">Niederle, M., &amp; Vesterlund, L. (2011). Gender and competition. </w:t>
      </w:r>
      <w:r w:rsidRPr="005A034D">
        <w:rPr>
          <w:b/>
          <w:i/>
          <w:noProof/>
        </w:rPr>
        <w:t>Annual Review of Economics</w:t>
      </w:r>
      <w:r w:rsidRPr="005A034D">
        <w:rPr>
          <w:noProof/>
        </w:rPr>
        <w:t xml:space="preserve">, </w:t>
      </w:r>
      <w:r w:rsidRPr="00DC5BB6">
        <w:rPr>
          <w:i/>
          <w:iCs/>
          <w:noProof/>
        </w:rPr>
        <w:t>3</w:t>
      </w:r>
      <w:r w:rsidR="00DC5BB6">
        <w:rPr>
          <w:noProof/>
        </w:rPr>
        <w:t>,</w:t>
      </w:r>
      <w:r w:rsidRPr="005A034D">
        <w:rPr>
          <w:noProof/>
        </w:rPr>
        <w:t xml:space="preserve"> 601–630.</w:t>
      </w:r>
    </w:p>
    <w:p w14:paraId="58704235" w14:textId="6B2866A9" w:rsidR="00220049" w:rsidRPr="00220049" w:rsidRDefault="00220049" w:rsidP="005A1623">
      <w:pPr>
        <w:pStyle w:val="EndNoteBibliography"/>
        <w:ind w:left="720" w:hanging="720"/>
        <w:rPr>
          <w:noProof/>
        </w:rPr>
      </w:pPr>
      <w:r>
        <w:rPr>
          <w:noProof/>
        </w:rPr>
        <w:lastRenderedPageBreak/>
        <w:t xml:space="preserve">Olson, J. E. (2013). Human capital models and the gender pay gap. </w:t>
      </w:r>
      <w:r w:rsidRPr="00DC5BB6">
        <w:rPr>
          <w:b/>
          <w:bCs/>
          <w:i/>
          <w:iCs/>
          <w:noProof/>
        </w:rPr>
        <w:t>Sex Roles</w:t>
      </w:r>
      <w:r>
        <w:rPr>
          <w:i/>
          <w:iCs/>
          <w:noProof/>
        </w:rPr>
        <w:t xml:space="preserve">, 68, </w:t>
      </w:r>
      <w:r>
        <w:rPr>
          <w:noProof/>
        </w:rPr>
        <w:t>186-197.</w:t>
      </w:r>
    </w:p>
    <w:p w14:paraId="1D8ED07E" w14:textId="74D7F6CD" w:rsidR="005A1623" w:rsidRPr="005A034D" w:rsidRDefault="00ED6C37" w:rsidP="005A1623">
      <w:pPr>
        <w:pStyle w:val="EndNoteBibliography"/>
        <w:ind w:left="720" w:hanging="720"/>
        <w:rPr>
          <w:noProof/>
        </w:rPr>
      </w:pPr>
      <w:r>
        <w:rPr>
          <w:noProof/>
        </w:rPr>
        <w:t>*</w:t>
      </w:r>
      <w:r w:rsidR="005A1623" w:rsidRPr="005A034D">
        <w:rPr>
          <w:noProof/>
        </w:rPr>
        <w:t xml:space="preserve">O'Shea, P. G., &amp; Bush, D. F. (2002). Negotiation for starting salary: Antecedents and outcomes among recent college graduates. </w:t>
      </w:r>
      <w:r w:rsidR="005A1623" w:rsidRPr="005A034D">
        <w:rPr>
          <w:b/>
          <w:i/>
          <w:noProof/>
        </w:rPr>
        <w:t>Journal of Business and Psychology</w:t>
      </w:r>
      <w:r w:rsidR="005A1623" w:rsidRPr="005A034D">
        <w:rPr>
          <w:noProof/>
        </w:rPr>
        <w:t xml:space="preserve">, </w:t>
      </w:r>
      <w:r w:rsidR="005A1623" w:rsidRPr="00DC5BB6">
        <w:rPr>
          <w:i/>
          <w:iCs/>
          <w:noProof/>
        </w:rPr>
        <w:t>16</w:t>
      </w:r>
      <w:r w:rsidR="00DC5BB6">
        <w:rPr>
          <w:noProof/>
        </w:rPr>
        <w:t>,</w:t>
      </w:r>
      <w:r w:rsidR="005A1623" w:rsidRPr="005A034D">
        <w:rPr>
          <w:noProof/>
        </w:rPr>
        <w:t xml:space="preserve"> 365-382.</w:t>
      </w:r>
    </w:p>
    <w:p w14:paraId="1EDE90E0" w14:textId="48208238" w:rsidR="001F0535" w:rsidRDefault="001F0535" w:rsidP="005A1623">
      <w:pPr>
        <w:pStyle w:val="EndNoteBibliography"/>
        <w:ind w:left="720" w:hanging="720"/>
        <w:rPr>
          <w:noProof/>
        </w:rPr>
      </w:pPr>
      <w:r>
        <w:rPr>
          <w:noProof/>
        </w:rPr>
        <w:t xml:space="preserve">Parker, K. (2021). What’s behind the growing gap between men and women in college completion? Pew Research Center. </w:t>
      </w:r>
      <w:r w:rsidRPr="001F0535">
        <w:rPr>
          <w:noProof/>
        </w:rPr>
        <w:t>https://www.pewresearch.org/fact-tank/2021/11/08/whats-behind-the-growing-gap-between-men-and-women-in-college-completion/</w:t>
      </w:r>
    </w:p>
    <w:p w14:paraId="0822757C" w14:textId="3DB2920E" w:rsidR="00136C01" w:rsidRDefault="00136C01" w:rsidP="005A1623">
      <w:pPr>
        <w:pStyle w:val="EndNoteBibliography"/>
        <w:ind w:left="720" w:hanging="720"/>
        <w:rPr>
          <w:noProof/>
        </w:rPr>
      </w:pPr>
      <w:r>
        <w:rPr>
          <w:noProof/>
        </w:rPr>
        <w:t xml:space="preserve">Paycheck Fairness Act, H.R. 7, 117th Congress (2022). </w:t>
      </w:r>
      <w:r w:rsidR="00ED6C37" w:rsidRPr="00136EAE">
        <w:rPr>
          <w:noProof/>
        </w:rPr>
        <w:t>https://www.congress.gov/bill/117th-congress/house-bill/7/text</w:t>
      </w:r>
    </w:p>
    <w:p w14:paraId="4D9F8B82" w14:textId="4B39B40B" w:rsidR="00ED6C37" w:rsidRDefault="00ED6C37" w:rsidP="00ED6C37">
      <w:pPr>
        <w:pStyle w:val="EndNoteBibliography"/>
        <w:ind w:left="720" w:hanging="720"/>
        <w:rPr>
          <w:noProof/>
        </w:rPr>
      </w:pPr>
      <w:r>
        <w:rPr>
          <w:noProof/>
        </w:rPr>
        <w:t>*</w:t>
      </w:r>
      <w:r w:rsidRPr="00ED6C37">
        <w:rPr>
          <w:noProof/>
        </w:rPr>
        <w:t xml:space="preserve">Probert, B. (2005). “I just couldn’t fit it in”: Gender and unequal outcomes in academic careers. </w:t>
      </w:r>
      <w:r w:rsidRPr="00ED6C37">
        <w:rPr>
          <w:i/>
          <w:iCs/>
          <w:noProof/>
        </w:rPr>
        <w:t xml:space="preserve">Gender, Work and Organization, 12, </w:t>
      </w:r>
      <w:r w:rsidRPr="00ED6C37">
        <w:rPr>
          <w:noProof/>
        </w:rPr>
        <w:t>50–72. http://dx.doi.org/10.1111/j.1468-0432.2005.00262.x</w:t>
      </w:r>
    </w:p>
    <w:p w14:paraId="02064612" w14:textId="5BD28D05" w:rsidR="002F6A32" w:rsidRDefault="002F6A32" w:rsidP="002F6A32">
      <w:pPr>
        <w:pStyle w:val="EndNoteBibliography"/>
        <w:ind w:left="720" w:hanging="720"/>
        <w:rPr>
          <w:noProof/>
        </w:rPr>
      </w:pPr>
      <w:r w:rsidRPr="002F6A32">
        <w:rPr>
          <w:noProof/>
        </w:rPr>
        <w:t xml:space="preserve">Reif, J. A. M., Kugler, K. G., Enders, E., &amp; Brodbeck, F. C. (2012, July). </w:t>
      </w:r>
      <w:r w:rsidRPr="0053263D">
        <w:rPr>
          <w:b/>
          <w:bCs/>
          <w:i/>
          <w:iCs/>
          <w:noProof/>
        </w:rPr>
        <w:t>Do women ask for more? Gender differences in the propensity to initiate negotiations about career-related issues</w:t>
      </w:r>
      <w:r w:rsidRPr="002F6A32">
        <w:rPr>
          <w:noProof/>
        </w:rPr>
        <w:t xml:space="preserve">. Paper presented at the 28th colloquium of the European Group for Organizational Studies. Helsinki, Finland. </w:t>
      </w:r>
    </w:p>
    <w:p w14:paraId="0AE13596" w14:textId="31E4D015" w:rsidR="005A1623" w:rsidRDefault="005A1623" w:rsidP="005A1623">
      <w:pPr>
        <w:pStyle w:val="EndNoteBibliography"/>
        <w:ind w:left="720" w:hanging="720"/>
        <w:rPr>
          <w:noProof/>
        </w:rPr>
      </w:pPr>
      <w:r w:rsidRPr="005A034D">
        <w:rPr>
          <w:noProof/>
        </w:rPr>
        <w:t xml:space="preserve">Rubin, J. Z., &amp; Brown, B. R. (1975). </w:t>
      </w:r>
      <w:r w:rsidRPr="005A034D">
        <w:rPr>
          <w:b/>
          <w:i/>
          <w:noProof/>
        </w:rPr>
        <w:t>The social psychology of bargaining and negotiation</w:t>
      </w:r>
      <w:r w:rsidRPr="005A034D">
        <w:rPr>
          <w:noProof/>
        </w:rPr>
        <w:t>. New York: Academic Press.</w:t>
      </w:r>
    </w:p>
    <w:p w14:paraId="5E42E145" w14:textId="69E0C9A9" w:rsidR="00785038" w:rsidRPr="00785038" w:rsidRDefault="00785038" w:rsidP="00785038">
      <w:pPr>
        <w:rPr>
          <w:color w:val="222222"/>
          <w:shd w:val="clear" w:color="auto" w:fill="FFFFFF"/>
        </w:rPr>
      </w:pPr>
      <w:r w:rsidRPr="00785038">
        <w:rPr>
          <w:color w:val="222222"/>
          <w:shd w:val="clear" w:color="auto" w:fill="FFFFFF"/>
        </w:rPr>
        <w:t xml:space="preserve">Sandberg, S. (2015). </w:t>
      </w:r>
      <w:r w:rsidRPr="00785038">
        <w:rPr>
          <w:b/>
          <w:i/>
          <w:color w:val="222222"/>
          <w:shd w:val="clear" w:color="auto" w:fill="FFFFFF"/>
        </w:rPr>
        <w:t>Lean in: Women, work and the will to lead</w:t>
      </w:r>
      <w:r w:rsidRPr="00785038">
        <w:rPr>
          <w:b/>
          <w:color w:val="222222"/>
          <w:shd w:val="clear" w:color="auto" w:fill="FFFFFF"/>
        </w:rPr>
        <w:t>.</w:t>
      </w:r>
      <w:r>
        <w:rPr>
          <w:color w:val="222222"/>
          <w:shd w:val="clear" w:color="auto" w:fill="FFFFFF"/>
        </w:rPr>
        <w:t xml:space="preserve"> </w:t>
      </w:r>
      <w:r w:rsidRPr="00785038">
        <w:rPr>
          <w:color w:val="222222"/>
          <w:shd w:val="clear" w:color="auto" w:fill="FFFFFF"/>
        </w:rPr>
        <w:t>London, England: W H Allen</w:t>
      </w:r>
    </w:p>
    <w:p w14:paraId="3E347587" w14:textId="77777777" w:rsidR="00785038" w:rsidRPr="005A034D" w:rsidRDefault="00785038" w:rsidP="00785038"/>
    <w:p w14:paraId="7CD17DBA" w14:textId="18E6003B" w:rsidR="005A1623" w:rsidRPr="005A034D" w:rsidRDefault="005A1623" w:rsidP="005A1623">
      <w:pPr>
        <w:pStyle w:val="EndNoteBibliography"/>
        <w:ind w:left="720" w:hanging="720"/>
        <w:rPr>
          <w:noProof/>
        </w:rPr>
      </w:pPr>
      <w:r w:rsidRPr="005A034D">
        <w:rPr>
          <w:noProof/>
        </w:rPr>
        <w:t xml:space="preserve">Savani, K., &amp; Rattan, A. (2012). A choice mind-set increases the acceptance and maintenance of wealth inequality. </w:t>
      </w:r>
      <w:r w:rsidRPr="005A034D">
        <w:rPr>
          <w:b/>
          <w:bCs/>
          <w:i/>
          <w:iCs/>
          <w:noProof/>
        </w:rPr>
        <w:t xml:space="preserve">Psychological Science, </w:t>
      </w:r>
      <w:r w:rsidRPr="00DC5BB6">
        <w:rPr>
          <w:i/>
          <w:iCs/>
          <w:noProof/>
        </w:rPr>
        <w:t>23</w:t>
      </w:r>
      <w:r w:rsidR="00DC5BB6">
        <w:rPr>
          <w:noProof/>
        </w:rPr>
        <w:t>,</w:t>
      </w:r>
      <w:r w:rsidRPr="005A034D">
        <w:rPr>
          <w:noProof/>
        </w:rPr>
        <w:t xml:space="preserve"> 796-804.</w:t>
      </w:r>
    </w:p>
    <w:p w14:paraId="0BD1384B" w14:textId="0EE9CEF0" w:rsidR="005A1623" w:rsidRPr="005A034D" w:rsidRDefault="005A1623" w:rsidP="005A1623">
      <w:pPr>
        <w:pStyle w:val="EndNoteBibliography"/>
        <w:ind w:left="720" w:hanging="720"/>
        <w:rPr>
          <w:noProof/>
        </w:rPr>
      </w:pPr>
      <w:r w:rsidRPr="005A034D">
        <w:rPr>
          <w:noProof/>
        </w:rPr>
        <w:t xml:space="preserve">Schneider, A. (2017). Negotiating while female. </w:t>
      </w:r>
      <w:r w:rsidRPr="005A034D">
        <w:rPr>
          <w:b/>
          <w:i/>
          <w:noProof/>
        </w:rPr>
        <w:t>SMU Law Review</w:t>
      </w:r>
      <w:r w:rsidRPr="005A034D">
        <w:rPr>
          <w:noProof/>
        </w:rPr>
        <w:t xml:space="preserve">, </w:t>
      </w:r>
      <w:r w:rsidRPr="00DC5BB6">
        <w:rPr>
          <w:i/>
          <w:iCs/>
          <w:noProof/>
        </w:rPr>
        <w:t>70</w:t>
      </w:r>
      <w:r w:rsidR="00DC5BB6">
        <w:rPr>
          <w:noProof/>
        </w:rPr>
        <w:t>,</w:t>
      </w:r>
      <w:r w:rsidRPr="005A034D">
        <w:rPr>
          <w:noProof/>
        </w:rPr>
        <w:t xml:space="preserve"> 695-719.</w:t>
      </w:r>
    </w:p>
    <w:p w14:paraId="74694220" w14:textId="3F326542" w:rsidR="005A1623" w:rsidRDefault="005A1623" w:rsidP="005A1623">
      <w:pPr>
        <w:pStyle w:val="EndNoteBibliography"/>
        <w:ind w:left="720" w:hanging="720"/>
        <w:rPr>
          <w:noProof/>
        </w:rPr>
      </w:pPr>
      <w:r w:rsidRPr="005A034D">
        <w:rPr>
          <w:noProof/>
        </w:rPr>
        <w:lastRenderedPageBreak/>
        <w:t xml:space="preserve">Sidanius, J., Pratto, F., &amp; Bobo, L. (1994). Social dominance orientation and the political psychology of gender: A case of invariance? </w:t>
      </w:r>
      <w:r w:rsidRPr="005A034D">
        <w:rPr>
          <w:b/>
          <w:i/>
          <w:noProof/>
        </w:rPr>
        <w:t>Journal of Personality and Social Psychology</w:t>
      </w:r>
      <w:r w:rsidRPr="005A034D">
        <w:rPr>
          <w:noProof/>
        </w:rPr>
        <w:t xml:space="preserve">, </w:t>
      </w:r>
      <w:r w:rsidRPr="00DC5BB6">
        <w:rPr>
          <w:i/>
          <w:iCs/>
          <w:noProof/>
        </w:rPr>
        <w:t>67</w:t>
      </w:r>
      <w:r w:rsidR="00DC5BB6">
        <w:rPr>
          <w:noProof/>
        </w:rPr>
        <w:t>,</w:t>
      </w:r>
      <w:r w:rsidRPr="005A034D">
        <w:rPr>
          <w:noProof/>
        </w:rPr>
        <w:t xml:space="preserve"> 998-1011.</w:t>
      </w:r>
    </w:p>
    <w:p w14:paraId="0B635E69" w14:textId="3CF0A48A" w:rsidR="002F6A32" w:rsidRPr="005A034D" w:rsidRDefault="002F6A32" w:rsidP="002F6A32">
      <w:pPr>
        <w:pStyle w:val="EndNoteBibliography"/>
        <w:ind w:left="720" w:hanging="720"/>
        <w:rPr>
          <w:noProof/>
        </w:rPr>
      </w:pPr>
      <w:r>
        <w:rPr>
          <w:noProof/>
        </w:rPr>
        <w:t>*</w:t>
      </w:r>
      <w:r w:rsidRPr="002F6A32">
        <w:rPr>
          <w:noProof/>
        </w:rPr>
        <w:t xml:space="preserve">Simmer, J. D. (2013). </w:t>
      </w:r>
      <w:r w:rsidRPr="002F6A32">
        <w:rPr>
          <w:i/>
          <w:iCs/>
          <w:noProof/>
        </w:rPr>
        <w:t xml:space="preserve">Women don’t ask: But why aren’t they willing to learn how? Validating a four-factor model </w:t>
      </w:r>
      <w:r w:rsidRPr="002F6A32">
        <w:rPr>
          <w:noProof/>
        </w:rPr>
        <w:t>(Doctoral dissertation). Duquesne University, Pittsburgh, Pennsylvania.</w:t>
      </w:r>
    </w:p>
    <w:p w14:paraId="745BD956" w14:textId="2BD76035" w:rsidR="00A25B5E" w:rsidRPr="00A25B5E" w:rsidRDefault="00A25B5E" w:rsidP="005A1623">
      <w:pPr>
        <w:pStyle w:val="EndNoteBibliography"/>
        <w:ind w:left="720" w:hanging="720"/>
        <w:rPr>
          <w:noProof/>
        </w:rPr>
      </w:pPr>
      <w:r w:rsidRPr="00A25B5E">
        <w:rPr>
          <w:noProof/>
        </w:rPr>
        <w:t xml:space="preserve">Simonsohn, </w:t>
      </w:r>
      <w:r>
        <w:rPr>
          <w:noProof/>
        </w:rPr>
        <w:t xml:space="preserve">U., </w:t>
      </w:r>
      <w:r w:rsidRPr="00A25B5E">
        <w:rPr>
          <w:noProof/>
        </w:rPr>
        <w:t xml:space="preserve">Simmons, </w:t>
      </w:r>
      <w:r>
        <w:rPr>
          <w:noProof/>
        </w:rPr>
        <w:t>J., &amp;</w:t>
      </w:r>
      <w:r w:rsidRPr="00A25B5E">
        <w:rPr>
          <w:noProof/>
        </w:rPr>
        <w:t xml:space="preserve"> Nelson, </w:t>
      </w:r>
      <w:r>
        <w:rPr>
          <w:noProof/>
        </w:rPr>
        <w:t>L. D. (</w:t>
      </w:r>
      <w:r w:rsidRPr="00A25B5E">
        <w:rPr>
          <w:noProof/>
        </w:rPr>
        <w:t>2022</w:t>
      </w:r>
      <w:r>
        <w:rPr>
          <w:noProof/>
        </w:rPr>
        <w:t xml:space="preserve">). Above averaging in literature reviews. </w:t>
      </w:r>
      <w:r>
        <w:rPr>
          <w:b/>
          <w:bCs/>
          <w:i/>
          <w:iCs/>
          <w:noProof/>
        </w:rPr>
        <w:t>Nature Reviews</w:t>
      </w:r>
      <w:r>
        <w:rPr>
          <w:i/>
          <w:iCs/>
          <w:noProof/>
        </w:rPr>
        <w:t xml:space="preserve">, </w:t>
      </w:r>
      <w:r w:rsidRPr="00DC5BB6">
        <w:rPr>
          <w:i/>
          <w:iCs/>
          <w:noProof/>
        </w:rPr>
        <w:t>1</w:t>
      </w:r>
      <w:r w:rsidR="00DC5BB6">
        <w:rPr>
          <w:noProof/>
        </w:rPr>
        <w:t xml:space="preserve">, </w:t>
      </w:r>
      <w:r>
        <w:rPr>
          <w:noProof/>
        </w:rPr>
        <w:t xml:space="preserve">551-552. </w:t>
      </w:r>
    </w:p>
    <w:p w14:paraId="051ABE43" w14:textId="5B375244" w:rsidR="005A1623" w:rsidRPr="005A034D" w:rsidRDefault="005A1623" w:rsidP="005A1623">
      <w:pPr>
        <w:pStyle w:val="EndNoteBibliography"/>
        <w:ind w:left="720" w:hanging="720"/>
        <w:rPr>
          <w:noProof/>
        </w:rPr>
      </w:pPr>
      <w:r w:rsidRPr="005A034D">
        <w:rPr>
          <w:noProof/>
        </w:rPr>
        <w:t xml:space="preserve">Sinha, S. (2019). Salary history ban: Gender pay gap and spillover effects. </w:t>
      </w:r>
      <w:r w:rsidRPr="005A034D">
        <w:rPr>
          <w:b/>
          <w:i/>
          <w:noProof/>
        </w:rPr>
        <w:t>Available at SSRN 3458194</w:t>
      </w:r>
      <w:r w:rsidRPr="005A034D">
        <w:rPr>
          <w:noProof/>
        </w:rPr>
        <w:t>.</w:t>
      </w:r>
    </w:p>
    <w:p w14:paraId="6E01D4E6" w14:textId="6E4FC588" w:rsidR="005A1623" w:rsidRPr="005A034D" w:rsidRDefault="005A1623" w:rsidP="005A1623">
      <w:pPr>
        <w:pStyle w:val="EndNoteBibliography"/>
        <w:ind w:left="720" w:hanging="720"/>
        <w:rPr>
          <w:noProof/>
        </w:rPr>
      </w:pPr>
      <w:r w:rsidRPr="005A034D">
        <w:rPr>
          <w:noProof/>
        </w:rPr>
        <w:t xml:space="preserve">Small, D. A., Gelfand, M., Babcock, L., &amp; Gettman, H. (2007). Who goes to the bargaining table? The influence of gender and framing on the initiation of negotiation. </w:t>
      </w:r>
      <w:r w:rsidRPr="005A034D">
        <w:rPr>
          <w:b/>
          <w:i/>
          <w:noProof/>
        </w:rPr>
        <w:t>Journal of Personality and Social Psychology</w:t>
      </w:r>
      <w:r w:rsidRPr="005A034D">
        <w:rPr>
          <w:noProof/>
        </w:rPr>
        <w:t xml:space="preserve">, </w:t>
      </w:r>
      <w:r w:rsidRPr="00DC5BB6">
        <w:rPr>
          <w:i/>
          <w:iCs/>
          <w:noProof/>
        </w:rPr>
        <w:t>93</w:t>
      </w:r>
      <w:r w:rsidR="00DC5BB6">
        <w:rPr>
          <w:noProof/>
        </w:rPr>
        <w:t>,</w:t>
      </w:r>
      <w:r w:rsidRPr="005A034D">
        <w:rPr>
          <w:noProof/>
        </w:rPr>
        <w:t xml:space="preserve"> 600-613.</w:t>
      </w:r>
    </w:p>
    <w:p w14:paraId="7E7184A7" w14:textId="1E8EB0E3" w:rsidR="005A1623" w:rsidRDefault="005A1623" w:rsidP="005A1623">
      <w:pPr>
        <w:pStyle w:val="EndNoteBibliography"/>
        <w:ind w:left="720" w:hanging="720"/>
        <w:rPr>
          <w:noProof/>
        </w:rPr>
      </w:pPr>
      <w:r w:rsidRPr="005A034D">
        <w:rPr>
          <w:noProof/>
        </w:rPr>
        <w:t xml:space="preserve">Thompson, L. (1998). </w:t>
      </w:r>
      <w:r w:rsidRPr="005A034D">
        <w:rPr>
          <w:b/>
          <w:i/>
          <w:noProof/>
        </w:rPr>
        <w:t>The mind and heart of the negotiator</w:t>
      </w:r>
      <w:r w:rsidRPr="005A034D">
        <w:rPr>
          <w:noProof/>
        </w:rPr>
        <w:t>: Prentice Hall.</w:t>
      </w:r>
    </w:p>
    <w:p w14:paraId="6324B26E" w14:textId="7FB69656" w:rsidR="0018375D" w:rsidRPr="005A034D" w:rsidRDefault="0018375D" w:rsidP="0018375D">
      <w:pPr>
        <w:pStyle w:val="EndNoteBibliography"/>
        <w:ind w:left="720" w:hanging="720"/>
        <w:rPr>
          <w:noProof/>
        </w:rPr>
      </w:pPr>
      <w:r>
        <w:rPr>
          <w:noProof/>
        </w:rPr>
        <w:t>*</w:t>
      </w:r>
      <w:r w:rsidRPr="0018375D">
        <w:rPr>
          <w:noProof/>
        </w:rPr>
        <w:t xml:space="preserve">Traavik, L. E. (2008, July). </w:t>
      </w:r>
      <w:r w:rsidRPr="0053263D">
        <w:rPr>
          <w:b/>
          <w:bCs/>
          <w:i/>
          <w:iCs/>
          <w:noProof/>
        </w:rPr>
        <w:t>Equality in the north? Gender and negotiations in Norway</w:t>
      </w:r>
      <w:r w:rsidRPr="0018375D">
        <w:rPr>
          <w:noProof/>
        </w:rPr>
        <w:t xml:space="preserve">. Paper presented at the Conference of the International Association of Conflict Management, Chicago, Illinois. </w:t>
      </w:r>
    </w:p>
    <w:p w14:paraId="04A9F0EF" w14:textId="4E6E064B" w:rsidR="00424089" w:rsidRDefault="00424089" w:rsidP="005A1623">
      <w:pPr>
        <w:pStyle w:val="EndNoteBibliography"/>
        <w:ind w:left="720" w:hanging="720"/>
        <w:rPr>
          <w:noProof/>
        </w:rPr>
      </w:pPr>
      <w:r>
        <w:rPr>
          <w:noProof/>
        </w:rPr>
        <w:t xml:space="preserve">U.S. Bureau of Labor and Statistics (2021). </w:t>
      </w:r>
      <w:r w:rsidRPr="0023262A">
        <w:rPr>
          <w:b/>
          <w:bCs/>
          <w:i/>
          <w:iCs/>
          <w:noProof/>
        </w:rPr>
        <w:t>Highlights of women’s earnings in 2020</w:t>
      </w:r>
      <w:r>
        <w:rPr>
          <w:noProof/>
        </w:rPr>
        <w:t xml:space="preserve">. </w:t>
      </w:r>
      <w:r w:rsidRPr="00424089">
        <w:rPr>
          <w:noProof/>
        </w:rPr>
        <w:t>https://www.bls.gov/opub/reports/womens-earnings/2020/pdf/home.pdf</w:t>
      </w:r>
    </w:p>
    <w:p w14:paraId="63FAE73D" w14:textId="2600B845" w:rsidR="005A1623" w:rsidRPr="005A034D" w:rsidRDefault="005A1623" w:rsidP="005A1623">
      <w:pPr>
        <w:pStyle w:val="EndNoteBibliography"/>
        <w:ind w:left="720" w:hanging="720"/>
        <w:rPr>
          <w:noProof/>
        </w:rPr>
      </w:pPr>
      <w:r w:rsidRPr="005A034D">
        <w:rPr>
          <w:noProof/>
        </w:rPr>
        <w:t xml:space="preserve">Walters, A. E., Stuhlmacher, A. F., &amp; Meyer, L. L. (1998). Gender and negotiator competitiveness: A meta-analysis. </w:t>
      </w:r>
      <w:r w:rsidRPr="005A034D">
        <w:rPr>
          <w:b/>
          <w:i/>
          <w:noProof/>
        </w:rPr>
        <w:t>Organizational Behavior and Human Decision Processes</w:t>
      </w:r>
      <w:r w:rsidRPr="005A034D">
        <w:rPr>
          <w:noProof/>
        </w:rPr>
        <w:t xml:space="preserve">, </w:t>
      </w:r>
      <w:r w:rsidRPr="00DC5BB6">
        <w:rPr>
          <w:i/>
          <w:iCs/>
          <w:noProof/>
        </w:rPr>
        <w:t>76</w:t>
      </w:r>
      <w:r w:rsidR="00DC5BB6">
        <w:rPr>
          <w:noProof/>
        </w:rPr>
        <w:t xml:space="preserve">, </w:t>
      </w:r>
      <w:r w:rsidRPr="005A034D">
        <w:rPr>
          <w:noProof/>
        </w:rPr>
        <w:t>1–29.</w:t>
      </w:r>
    </w:p>
    <w:p w14:paraId="2B85F0A5" w14:textId="690889FC" w:rsidR="005A1623" w:rsidRPr="005A034D" w:rsidRDefault="005A1623" w:rsidP="005A1623">
      <w:pPr>
        <w:pStyle w:val="EndNoteBibliography"/>
        <w:ind w:left="720" w:hanging="720"/>
        <w:rPr>
          <w:noProof/>
        </w:rPr>
      </w:pPr>
      <w:r w:rsidRPr="005A034D">
        <w:rPr>
          <w:noProof/>
        </w:rPr>
        <w:lastRenderedPageBreak/>
        <w:t xml:space="preserve">Wasserman, C. (2019, May 6). </w:t>
      </w:r>
      <w:r w:rsidRPr="00F86B4F">
        <w:rPr>
          <w:i/>
          <w:iCs/>
          <w:noProof/>
        </w:rPr>
        <w:t>Women DO ask for raises—we just aren’t getting them</w:t>
      </w:r>
      <w:r w:rsidRPr="005A034D">
        <w:rPr>
          <w:noProof/>
        </w:rPr>
        <w:t xml:space="preserve">. </w:t>
      </w:r>
      <w:r w:rsidRPr="005A034D">
        <w:rPr>
          <w:b/>
          <w:bCs/>
          <w:i/>
          <w:iCs/>
          <w:noProof/>
        </w:rPr>
        <w:t>Yahoo.com</w:t>
      </w:r>
      <w:r w:rsidRPr="005A034D">
        <w:rPr>
          <w:noProof/>
        </w:rPr>
        <w:t xml:space="preserve">. </w:t>
      </w:r>
      <w:hyperlink r:id="rId9" w:history="1">
        <w:r w:rsidRPr="00664673">
          <w:rPr>
            <w:rStyle w:val="Hyperlink"/>
            <w:noProof/>
          </w:rPr>
          <w:t>https://www.yahoo.com/lifestyle/women-ask-raises-just-aren-160000362.html</w:t>
        </w:r>
      </w:hyperlink>
      <w:r w:rsidRPr="005A034D">
        <w:rPr>
          <w:noProof/>
        </w:rPr>
        <w:t xml:space="preserve"> </w:t>
      </w:r>
    </w:p>
    <w:p w14:paraId="4C6DA97B" w14:textId="1AFC6D3F" w:rsidR="005A1623" w:rsidRPr="005A034D" w:rsidRDefault="005A1623" w:rsidP="005A1623">
      <w:pPr>
        <w:pStyle w:val="EndNoteBibliography"/>
        <w:ind w:left="720" w:hanging="720"/>
        <w:rPr>
          <w:noProof/>
        </w:rPr>
      </w:pPr>
      <w:r w:rsidRPr="005A034D">
        <w:rPr>
          <w:noProof/>
        </w:rPr>
        <w:t xml:space="preserve">Williams, M. J., Elizabeth, L. P., &amp; Spencer-Rodgers, J. (2010). The masculinity of money: Automatic stereotypes predict gender differences </w:t>
      </w:r>
      <w:r w:rsidR="004B10E7">
        <w:rPr>
          <w:noProof/>
        </w:rPr>
        <w:t>i</w:t>
      </w:r>
      <w:r w:rsidRPr="005A034D">
        <w:rPr>
          <w:noProof/>
        </w:rPr>
        <w:t xml:space="preserve">n estimated salaries. </w:t>
      </w:r>
      <w:r w:rsidRPr="005A034D">
        <w:rPr>
          <w:b/>
          <w:i/>
          <w:noProof/>
        </w:rPr>
        <w:t>Psychology of Women Quarterly</w:t>
      </w:r>
      <w:r w:rsidRPr="005A034D">
        <w:rPr>
          <w:noProof/>
        </w:rPr>
        <w:t xml:space="preserve">, </w:t>
      </w:r>
      <w:r w:rsidRPr="0053263D">
        <w:rPr>
          <w:i/>
          <w:iCs/>
          <w:noProof/>
        </w:rPr>
        <w:t>34</w:t>
      </w:r>
      <w:r w:rsidR="00F468BE">
        <w:rPr>
          <w:noProof/>
        </w:rPr>
        <w:t>,</w:t>
      </w:r>
      <w:r w:rsidRPr="005A034D">
        <w:rPr>
          <w:noProof/>
        </w:rPr>
        <w:t xml:space="preserve"> 7-20.</w:t>
      </w:r>
    </w:p>
    <w:p w14:paraId="4D7C5756" w14:textId="60F7D9E9" w:rsidR="005A1623" w:rsidRDefault="005A1623" w:rsidP="00947B6D">
      <w:pPr>
        <w:pStyle w:val="EndNoteBibliography"/>
        <w:ind w:left="720" w:hanging="720"/>
      </w:pPr>
      <w:r w:rsidRPr="005A034D">
        <w:rPr>
          <w:noProof/>
        </w:rPr>
        <w:t xml:space="preserve">Word, C. O., Zanna, M. P., &amp; Cooper, J. (1974). The nonverbal mediation of self-fulfilling prophecies in interracial interaction. </w:t>
      </w:r>
      <w:r w:rsidRPr="005A034D">
        <w:rPr>
          <w:b/>
          <w:i/>
          <w:noProof/>
        </w:rPr>
        <w:t>Journal of Experimental Social Psychology</w:t>
      </w:r>
      <w:r w:rsidRPr="005A034D">
        <w:rPr>
          <w:noProof/>
        </w:rPr>
        <w:t xml:space="preserve">, </w:t>
      </w:r>
      <w:r w:rsidRPr="0053263D">
        <w:rPr>
          <w:i/>
          <w:iCs/>
          <w:noProof/>
        </w:rPr>
        <w:t>10</w:t>
      </w:r>
      <w:r w:rsidR="00F468BE">
        <w:rPr>
          <w:noProof/>
        </w:rPr>
        <w:t xml:space="preserve">, </w:t>
      </w:r>
      <w:r w:rsidRPr="005A034D">
        <w:rPr>
          <w:noProof/>
        </w:rPr>
        <w:t>109-120.</w:t>
      </w:r>
    </w:p>
    <w:p w14:paraId="4719221B" w14:textId="77777777" w:rsidR="0086522A" w:rsidRDefault="0086522A" w:rsidP="00140558">
      <w:pPr>
        <w:rPr>
          <w:color w:val="000000" w:themeColor="text1"/>
          <w:lang w:val="en-GB"/>
        </w:rPr>
      </w:pPr>
    </w:p>
    <w:p w14:paraId="2A3E4DD0" w14:textId="77777777" w:rsidR="0086522A" w:rsidRPr="00F946E1" w:rsidRDefault="0086522A" w:rsidP="00140558">
      <w:pPr>
        <w:rPr>
          <w:color w:val="000000" w:themeColor="text1"/>
          <w:lang w:val="en-GB"/>
        </w:rPr>
      </w:pPr>
    </w:p>
    <w:p w14:paraId="333BDC89" w14:textId="77777777" w:rsidR="0086522A" w:rsidRDefault="0086522A">
      <w:pPr>
        <w:rPr>
          <w:b/>
          <w:bCs/>
        </w:rPr>
        <w:sectPr w:rsidR="0086522A" w:rsidSect="00140558">
          <w:headerReference w:type="even" r:id="rId10"/>
          <w:headerReference w:type="default" r:id="rId11"/>
          <w:pgSz w:w="12240" w:h="15840"/>
          <w:pgMar w:top="1440" w:right="1440" w:bottom="1440" w:left="1440" w:header="720" w:footer="720" w:gutter="0"/>
          <w:cols w:space="720"/>
          <w:docGrid w:linePitch="360"/>
        </w:sectPr>
      </w:pPr>
    </w:p>
    <w:p w14:paraId="1A88418C" w14:textId="77777777" w:rsidR="0086522A" w:rsidRDefault="0086522A" w:rsidP="00140558">
      <w:pPr>
        <w:spacing w:line="480" w:lineRule="auto"/>
        <w:jc w:val="center"/>
        <w:rPr>
          <w:b/>
          <w:bCs/>
        </w:rPr>
      </w:pPr>
      <w:r>
        <w:rPr>
          <w:b/>
          <w:bCs/>
        </w:rPr>
        <w:lastRenderedPageBreak/>
        <w:t>TABLE 1</w:t>
      </w:r>
    </w:p>
    <w:p w14:paraId="78476029" w14:textId="77777777" w:rsidR="0086522A" w:rsidRPr="00BB18FF" w:rsidRDefault="0086522A" w:rsidP="00140558">
      <w:pPr>
        <w:spacing w:line="480" w:lineRule="auto"/>
        <w:jc w:val="center"/>
        <w:rPr>
          <w:rFonts w:ascii="Times New Roman Bold" w:hAnsi="Times New Roman Bold"/>
          <w:b/>
          <w:bCs/>
          <w:caps/>
        </w:rPr>
      </w:pPr>
      <w:r w:rsidRPr="00BB18FF">
        <w:rPr>
          <w:rFonts w:ascii="Times New Roman Bold" w:hAnsi="Times New Roman Bold"/>
          <w:b/>
          <w:bCs/>
          <w:caps/>
        </w:rPr>
        <w:t>Compensation-Related Events Estimates in Study 1</w:t>
      </w:r>
    </w:p>
    <w:tbl>
      <w:tblPr>
        <w:tblStyle w:val="TableGrid"/>
        <w:tblW w:w="121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7"/>
        <w:gridCol w:w="1566"/>
        <w:gridCol w:w="1788"/>
        <w:gridCol w:w="2994"/>
      </w:tblGrid>
      <w:tr w:rsidR="0086522A" w:rsidRPr="000B2FB8" w14:paraId="3C30839D" w14:textId="77777777" w:rsidTr="00140558">
        <w:trPr>
          <w:trHeight w:val="281"/>
        </w:trPr>
        <w:tc>
          <w:tcPr>
            <w:tcW w:w="5837" w:type="dxa"/>
            <w:vMerge w:val="restart"/>
            <w:tcBorders>
              <w:top w:val="single" w:sz="4" w:space="0" w:color="auto"/>
            </w:tcBorders>
            <w:vAlign w:val="center"/>
          </w:tcPr>
          <w:p w14:paraId="65410FF6" w14:textId="77777777" w:rsidR="0086522A" w:rsidRPr="00BD2EC8" w:rsidRDefault="0086522A" w:rsidP="00140558">
            <w:pPr>
              <w:spacing w:before="40" w:after="40"/>
              <w:rPr>
                <w:sz w:val="20"/>
                <w:szCs w:val="20"/>
              </w:rPr>
            </w:pPr>
            <w:r w:rsidRPr="00BD2EC8">
              <w:rPr>
                <w:b/>
                <w:sz w:val="20"/>
                <w:szCs w:val="20"/>
              </w:rPr>
              <w:t>Specific Event</w:t>
            </w:r>
          </w:p>
        </w:tc>
        <w:tc>
          <w:tcPr>
            <w:tcW w:w="1566" w:type="dxa"/>
            <w:tcBorders>
              <w:top w:val="single" w:sz="4" w:space="0" w:color="auto"/>
              <w:bottom w:val="nil"/>
            </w:tcBorders>
            <w:vAlign w:val="center"/>
          </w:tcPr>
          <w:p w14:paraId="0C0E2F01" w14:textId="77777777" w:rsidR="0086522A" w:rsidRPr="00BD2EC8" w:rsidRDefault="0086522A" w:rsidP="00140558">
            <w:pPr>
              <w:spacing w:before="40" w:after="40"/>
              <w:jc w:val="center"/>
              <w:rPr>
                <w:b/>
                <w:sz w:val="20"/>
                <w:szCs w:val="20"/>
              </w:rPr>
            </w:pPr>
            <w:r w:rsidRPr="00BD2EC8">
              <w:rPr>
                <w:b/>
                <w:sz w:val="20"/>
                <w:szCs w:val="20"/>
              </w:rPr>
              <w:t>Men Estimate</w:t>
            </w:r>
          </w:p>
        </w:tc>
        <w:tc>
          <w:tcPr>
            <w:tcW w:w="1788" w:type="dxa"/>
            <w:tcBorders>
              <w:top w:val="single" w:sz="4" w:space="0" w:color="auto"/>
              <w:bottom w:val="nil"/>
            </w:tcBorders>
            <w:vAlign w:val="center"/>
          </w:tcPr>
          <w:p w14:paraId="172DFCA7" w14:textId="77777777" w:rsidR="0086522A" w:rsidRPr="00BD2EC8" w:rsidRDefault="0086522A" w:rsidP="00140558">
            <w:pPr>
              <w:spacing w:before="40" w:after="40"/>
              <w:jc w:val="center"/>
              <w:rPr>
                <w:b/>
                <w:sz w:val="20"/>
                <w:szCs w:val="20"/>
              </w:rPr>
            </w:pPr>
            <w:r w:rsidRPr="00BD2EC8">
              <w:rPr>
                <w:b/>
                <w:sz w:val="20"/>
                <w:szCs w:val="20"/>
              </w:rPr>
              <w:t>Women Estimate</w:t>
            </w:r>
          </w:p>
        </w:tc>
        <w:tc>
          <w:tcPr>
            <w:tcW w:w="2994" w:type="dxa"/>
            <w:vMerge w:val="restart"/>
            <w:tcBorders>
              <w:top w:val="single" w:sz="4" w:space="0" w:color="auto"/>
            </w:tcBorders>
            <w:vAlign w:val="center"/>
          </w:tcPr>
          <w:p w14:paraId="5A424A7D" w14:textId="77777777" w:rsidR="0086522A" w:rsidRPr="00BD2EC8" w:rsidRDefault="0086522A" w:rsidP="00140558">
            <w:pPr>
              <w:spacing w:before="40" w:after="40"/>
              <w:jc w:val="center"/>
              <w:rPr>
                <w:b/>
                <w:bCs/>
                <w:sz w:val="20"/>
                <w:szCs w:val="20"/>
              </w:rPr>
            </w:pPr>
            <w:r w:rsidRPr="00BD2EC8">
              <w:rPr>
                <w:b/>
                <w:bCs/>
                <w:sz w:val="20"/>
                <w:szCs w:val="20"/>
              </w:rPr>
              <w:t>Estimate Comparison</w:t>
            </w:r>
          </w:p>
        </w:tc>
      </w:tr>
      <w:tr w:rsidR="0086522A" w:rsidRPr="000B2FB8" w14:paraId="25367AD2" w14:textId="77777777" w:rsidTr="00140558">
        <w:trPr>
          <w:trHeight w:val="281"/>
        </w:trPr>
        <w:tc>
          <w:tcPr>
            <w:tcW w:w="5837" w:type="dxa"/>
            <w:vMerge/>
            <w:tcBorders>
              <w:bottom w:val="single" w:sz="4" w:space="0" w:color="auto"/>
            </w:tcBorders>
            <w:vAlign w:val="center"/>
          </w:tcPr>
          <w:p w14:paraId="2C35EE96" w14:textId="77777777" w:rsidR="0086522A" w:rsidRPr="00BD2EC8" w:rsidRDefault="0086522A" w:rsidP="00140558">
            <w:pPr>
              <w:spacing w:before="40" w:after="40"/>
              <w:rPr>
                <w:b/>
                <w:sz w:val="20"/>
                <w:szCs w:val="20"/>
              </w:rPr>
            </w:pPr>
          </w:p>
        </w:tc>
        <w:tc>
          <w:tcPr>
            <w:tcW w:w="1566" w:type="dxa"/>
            <w:tcBorders>
              <w:top w:val="nil"/>
              <w:bottom w:val="single" w:sz="4" w:space="0" w:color="auto"/>
            </w:tcBorders>
            <w:vAlign w:val="center"/>
          </w:tcPr>
          <w:p w14:paraId="2C0EAE16" w14:textId="77777777" w:rsidR="0086522A" w:rsidRPr="00BD2EC8" w:rsidRDefault="0086522A" w:rsidP="00140558">
            <w:pPr>
              <w:spacing w:before="40" w:after="40"/>
              <w:jc w:val="center"/>
              <w:rPr>
                <w:b/>
                <w:i/>
                <w:iCs/>
                <w:sz w:val="20"/>
                <w:szCs w:val="20"/>
              </w:rPr>
            </w:pPr>
            <w:r w:rsidRPr="00BD2EC8">
              <w:rPr>
                <w:b/>
                <w:i/>
                <w:iCs/>
                <w:sz w:val="20"/>
                <w:szCs w:val="20"/>
              </w:rPr>
              <w:t>M</w:t>
            </w:r>
            <w:r>
              <w:rPr>
                <w:b/>
                <w:i/>
                <w:iCs/>
                <w:sz w:val="20"/>
                <w:szCs w:val="20"/>
              </w:rPr>
              <w:t xml:space="preserve"> (SD)</w:t>
            </w:r>
          </w:p>
        </w:tc>
        <w:tc>
          <w:tcPr>
            <w:tcW w:w="1788" w:type="dxa"/>
            <w:tcBorders>
              <w:top w:val="nil"/>
              <w:bottom w:val="single" w:sz="4" w:space="0" w:color="auto"/>
            </w:tcBorders>
            <w:vAlign w:val="center"/>
          </w:tcPr>
          <w:p w14:paraId="4A39414E" w14:textId="77777777" w:rsidR="0086522A" w:rsidRPr="00BD2EC8" w:rsidRDefault="0086522A" w:rsidP="00140558">
            <w:pPr>
              <w:spacing w:before="40" w:after="40"/>
              <w:jc w:val="center"/>
              <w:rPr>
                <w:b/>
                <w:i/>
                <w:iCs/>
                <w:sz w:val="20"/>
                <w:szCs w:val="20"/>
              </w:rPr>
            </w:pPr>
            <w:r w:rsidRPr="00BD2EC8">
              <w:rPr>
                <w:b/>
                <w:i/>
                <w:iCs/>
                <w:sz w:val="20"/>
                <w:szCs w:val="20"/>
              </w:rPr>
              <w:t>M</w:t>
            </w:r>
            <w:r>
              <w:rPr>
                <w:b/>
                <w:i/>
                <w:iCs/>
                <w:sz w:val="20"/>
                <w:szCs w:val="20"/>
              </w:rPr>
              <w:t xml:space="preserve"> (SD)</w:t>
            </w:r>
          </w:p>
        </w:tc>
        <w:tc>
          <w:tcPr>
            <w:tcW w:w="2994" w:type="dxa"/>
            <w:vMerge/>
            <w:tcBorders>
              <w:bottom w:val="single" w:sz="4" w:space="0" w:color="auto"/>
            </w:tcBorders>
            <w:vAlign w:val="center"/>
          </w:tcPr>
          <w:p w14:paraId="118B39D6" w14:textId="77777777" w:rsidR="0086522A" w:rsidRPr="00BD2EC8" w:rsidRDefault="0086522A" w:rsidP="00140558">
            <w:pPr>
              <w:spacing w:before="40" w:after="40"/>
              <w:jc w:val="center"/>
              <w:rPr>
                <w:b/>
                <w:bCs/>
                <w:sz w:val="20"/>
                <w:szCs w:val="20"/>
              </w:rPr>
            </w:pPr>
          </w:p>
        </w:tc>
      </w:tr>
      <w:tr w:rsidR="0086522A" w:rsidRPr="000B2FB8" w14:paraId="5FCE5219" w14:textId="77777777" w:rsidTr="00140558">
        <w:trPr>
          <w:trHeight w:val="271"/>
        </w:trPr>
        <w:tc>
          <w:tcPr>
            <w:tcW w:w="5837" w:type="dxa"/>
            <w:tcBorders>
              <w:top w:val="single" w:sz="4" w:space="0" w:color="auto"/>
              <w:bottom w:val="nil"/>
            </w:tcBorders>
            <w:vAlign w:val="center"/>
          </w:tcPr>
          <w:p w14:paraId="361286FB" w14:textId="77777777" w:rsidR="0086522A" w:rsidRPr="00A30536" w:rsidRDefault="0086522A" w:rsidP="00140558">
            <w:pPr>
              <w:spacing w:before="40" w:after="40"/>
              <w:rPr>
                <w:b/>
                <w:bCs/>
                <w:i/>
                <w:iCs/>
                <w:sz w:val="20"/>
                <w:szCs w:val="20"/>
              </w:rPr>
            </w:pPr>
            <w:r w:rsidRPr="00A30536">
              <w:rPr>
                <w:b/>
                <w:bCs/>
                <w:i/>
                <w:iCs/>
                <w:sz w:val="20"/>
                <w:szCs w:val="20"/>
              </w:rPr>
              <w:t>Positive Asking Events</w:t>
            </w:r>
          </w:p>
        </w:tc>
        <w:tc>
          <w:tcPr>
            <w:tcW w:w="1566" w:type="dxa"/>
            <w:tcBorders>
              <w:top w:val="single" w:sz="4" w:space="0" w:color="auto"/>
              <w:bottom w:val="nil"/>
            </w:tcBorders>
            <w:vAlign w:val="center"/>
          </w:tcPr>
          <w:p w14:paraId="7FD129F7" w14:textId="77777777" w:rsidR="0086522A" w:rsidRDefault="0086522A" w:rsidP="00140558">
            <w:pPr>
              <w:spacing w:before="40" w:after="40"/>
              <w:jc w:val="center"/>
              <w:rPr>
                <w:sz w:val="20"/>
                <w:szCs w:val="20"/>
              </w:rPr>
            </w:pPr>
          </w:p>
        </w:tc>
        <w:tc>
          <w:tcPr>
            <w:tcW w:w="1788" w:type="dxa"/>
            <w:tcBorders>
              <w:top w:val="single" w:sz="4" w:space="0" w:color="auto"/>
              <w:bottom w:val="nil"/>
            </w:tcBorders>
            <w:vAlign w:val="center"/>
          </w:tcPr>
          <w:p w14:paraId="1643E052" w14:textId="77777777" w:rsidR="0086522A" w:rsidRDefault="0086522A" w:rsidP="00140558">
            <w:pPr>
              <w:spacing w:before="40" w:after="40"/>
              <w:jc w:val="center"/>
              <w:rPr>
                <w:sz w:val="20"/>
                <w:szCs w:val="20"/>
              </w:rPr>
            </w:pPr>
          </w:p>
        </w:tc>
        <w:tc>
          <w:tcPr>
            <w:tcW w:w="2994" w:type="dxa"/>
            <w:tcBorders>
              <w:top w:val="single" w:sz="4" w:space="0" w:color="auto"/>
              <w:bottom w:val="nil"/>
            </w:tcBorders>
            <w:vAlign w:val="center"/>
          </w:tcPr>
          <w:p w14:paraId="4501595E" w14:textId="77777777" w:rsidR="0086522A" w:rsidRPr="00BD2EC8" w:rsidRDefault="0086522A" w:rsidP="00140558">
            <w:pPr>
              <w:spacing w:before="40" w:after="40"/>
              <w:jc w:val="center"/>
              <w:rPr>
                <w:i/>
                <w:iCs/>
                <w:sz w:val="20"/>
                <w:szCs w:val="20"/>
                <w:lang w:eastAsia="ko-KR"/>
              </w:rPr>
            </w:pPr>
          </w:p>
        </w:tc>
      </w:tr>
      <w:tr w:rsidR="0086522A" w:rsidRPr="000B2FB8" w14:paraId="28D95BDB" w14:textId="77777777" w:rsidTr="00140558">
        <w:trPr>
          <w:trHeight w:val="271"/>
        </w:trPr>
        <w:tc>
          <w:tcPr>
            <w:tcW w:w="5837" w:type="dxa"/>
            <w:tcBorders>
              <w:top w:val="nil"/>
              <w:bottom w:val="nil"/>
            </w:tcBorders>
            <w:vAlign w:val="center"/>
          </w:tcPr>
          <w:p w14:paraId="093078F4" w14:textId="77777777" w:rsidR="0086522A" w:rsidRPr="00BD2EC8" w:rsidRDefault="0086522A" w:rsidP="00140558">
            <w:pPr>
              <w:spacing w:before="40" w:after="40"/>
              <w:rPr>
                <w:sz w:val="20"/>
                <w:szCs w:val="20"/>
              </w:rPr>
            </w:pPr>
            <w:r w:rsidRPr="00BD2EC8">
              <w:rPr>
                <w:sz w:val="20"/>
                <w:szCs w:val="20"/>
              </w:rPr>
              <w:t>Successful</w:t>
            </w:r>
            <w:r>
              <w:rPr>
                <w:sz w:val="20"/>
                <w:szCs w:val="20"/>
              </w:rPr>
              <w:t>ly asked for and achieved a</w:t>
            </w:r>
            <w:r w:rsidRPr="00BD2EC8">
              <w:rPr>
                <w:sz w:val="20"/>
                <w:szCs w:val="20"/>
              </w:rPr>
              <w:t xml:space="preserve"> promotion </w:t>
            </w:r>
          </w:p>
        </w:tc>
        <w:tc>
          <w:tcPr>
            <w:tcW w:w="1566" w:type="dxa"/>
            <w:tcBorders>
              <w:top w:val="nil"/>
              <w:bottom w:val="nil"/>
            </w:tcBorders>
            <w:vAlign w:val="center"/>
          </w:tcPr>
          <w:p w14:paraId="239CE363" w14:textId="77777777" w:rsidR="0086522A" w:rsidRPr="00BD2EC8" w:rsidRDefault="0086522A" w:rsidP="00140558">
            <w:pPr>
              <w:spacing w:before="40" w:after="40"/>
              <w:jc w:val="center"/>
              <w:rPr>
                <w:sz w:val="20"/>
                <w:szCs w:val="20"/>
              </w:rPr>
            </w:pPr>
            <w:r>
              <w:rPr>
                <w:sz w:val="20"/>
                <w:szCs w:val="20"/>
              </w:rPr>
              <w:t>62.18</w:t>
            </w:r>
            <w:r w:rsidRPr="00BD2EC8">
              <w:rPr>
                <w:sz w:val="20"/>
                <w:szCs w:val="20"/>
              </w:rPr>
              <w:t>%</w:t>
            </w:r>
            <w:r>
              <w:rPr>
                <w:sz w:val="20"/>
                <w:szCs w:val="20"/>
              </w:rPr>
              <w:t xml:space="preserve"> (19.88)</w:t>
            </w:r>
          </w:p>
        </w:tc>
        <w:tc>
          <w:tcPr>
            <w:tcW w:w="1788" w:type="dxa"/>
            <w:tcBorders>
              <w:top w:val="nil"/>
              <w:bottom w:val="nil"/>
            </w:tcBorders>
            <w:vAlign w:val="center"/>
          </w:tcPr>
          <w:p w14:paraId="54CC1006" w14:textId="77777777" w:rsidR="0086522A" w:rsidRPr="00BD2EC8" w:rsidRDefault="0086522A" w:rsidP="00140558">
            <w:pPr>
              <w:spacing w:before="40" w:after="40"/>
              <w:jc w:val="center"/>
              <w:rPr>
                <w:sz w:val="20"/>
                <w:szCs w:val="20"/>
              </w:rPr>
            </w:pPr>
            <w:r>
              <w:rPr>
                <w:sz w:val="20"/>
                <w:szCs w:val="20"/>
              </w:rPr>
              <w:t>40.07% (20.13)</w:t>
            </w:r>
          </w:p>
        </w:tc>
        <w:tc>
          <w:tcPr>
            <w:tcW w:w="2994" w:type="dxa"/>
            <w:tcBorders>
              <w:top w:val="nil"/>
              <w:bottom w:val="nil"/>
            </w:tcBorders>
            <w:vAlign w:val="center"/>
          </w:tcPr>
          <w:p w14:paraId="338FA5D3" w14:textId="77777777" w:rsidR="0086522A" w:rsidRPr="00BD2EC8" w:rsidRDefault="0086522A" w:rsidP="00140558">
            <w:pPr>
              <w:spacing w:before="40" w:after="40"/>
              <w:jc w:val="center"/>
              <w:rPr>
                <w:sz w:val="20"/>
                <w:szCs w:val="20"/>
              </w:rPr>
            </w:pPr>
            <w:proofErr w:type="gramStart"/>
            <w:r w:rsidRPr="00BD2EC8">
              <w:rPr>
                <w:i/>
                <w:iCs/>
                <w:sz w:val="20"/>
                <w:szCs w:val="20"/>
                <w:lang w:eastAsia="ko-KR"/>
              </w:rPr>
              <w:t>t</w:t>
            </w:r>
            <w:r w:rsidRPr="00BD2EC8">
              <w:rPr>
                <w:sz w:val="20"/>
                <w:szCs w:val="20"/>
                <w:lang w:eastAsia="ko-KR"/>
              </w:rPr>
              <w:t>(</w:t>
            </w:r>
            <w:proofErr w:type="gramEnd"/>
            <w:r>
              <w:rPr>
                <w:sz w:val="20"/>
                <w:szCs w:val="20"/>
                <w:lang w:eastAsia="ko-KR"/>
              </w:rPr>
              <w:t>294</w:t>
            </w:r>
            <w:r w:rsidRPr="00BD2EC8">
              <w:rPr>
                <w:sz w:val="20"/>
                <w:szCs w:val="20"/>
                <w:lang w:eastAsia="ko-KR"/>
              </w:rPr>
              <w:t xml:space="preserve">) = </w:t>
            </w:r>
            <w:r>
              <w:rPr>
                <w:sz w:val="20"/>
                <w:szCs w:val="20"/>
                <w:lang w:eastAsia="ko-KR"/>
              </w:rPr>
              <w:t>-22.22</w:t>
            </w:r>
            <w:r w:rsidRPr="00BD2EC8">
              <w:rPr>
                <w:sz w:val="20"/>
                <w:szCs w:val="20"/>
                <w:lang w:eastAsia="ko-KR"/>
              </w:rPr>
              <w:t xml:space="preserve">, </w:t>
            </w:r>
            <w:r w:rsidRPr="00BD2EC8">
              <w:rPr>
                <w:i/>
                <w:iCs/>
                <w:sz w:val="20"/>
                <w:szCs w:val="20"/>
                <w:lang w:eastAsia="ko-KR"/>
              </w:rPr>
              <w:t>p</w:t>
            </w:r>
            <w:r w:rsidRPr="00BD2EC8">
              <w:rPr>
                <w:sz w:val="20"/>
                <w:szCs w:val="20"/>
                <w:lang w:eastAsia="ko-KR"/>
              </w:rPr>
              <w:t xml:space="preserve"> &lt; .001, </w:t>
            </w:r>
            <w:r w:rsidRPr="00BD2EC8">
              <w:rPr>
                <w:i/>
                <w:iCs/>
                <w:sz w:val="20"/>
                <w:szCs w:val="20"/>
                <w:lang w:eastAsia="ko-KR"/>
              </w:rPr>
              <w:t>d</w:t>
            </w:r>
            <w:r w:rsidRPr="00BD2EC8">
              <w:rPr>
                <w:sz w:val="20"/>
                <w:szCs w:val="20"/>
                <w:lang w:eastAsia="ko-KR"/>
              </w:rPr>
              <w:t xml:space="preserve"> =</w:t>
            </w:r>
            <w:r>
              <w:rPr>
                <w:sz w:val="20"/>
                <w:szCs w:val="20"/>
                <w:lang w:eastAsia="ko-KR"/>
              </w:rPr>
              <w:t xml:space="preserve"> 1.29</w:t>
            </w:r>
          </w:p>
        </w:tc>
      </w:tr>
      <w:tr w:rsidR="0086522A" w:rsidRPr="000B2FB8" w14:paraId="110B95C2" w14:textId="77777777" w:rsidTr="00140558">
        <w:trPr>
          <w:trHeight w:val="281"/>
        </w:trPr>
        <w:tc>
          <w:tcPr>
            <w:tcW w:w="5837" w:type="dxa"/>
            <w:tcBorders>
              <w:top w:val="nil"/>
              <w:bottom w:val="single" w:sz="4" w:space="0" w:color="A6A6A6" w:themeColor="background1" w:themeShade="A6"/>
            </w:tcBorders>
            <w:vAlign w:val="center"/>
          </w:tcPr>
          <w:p w14:paraId="35A5AFFC" w14:textId="77777777" w:rsidR="0086522A" w:rsidRPr="00BD2EC8" w:rsidRDefault="0086522A" w:rsidP="00140558">
            <w:pPr>
              <w:spacing w:before="40" w:after="40"/>
              <w:rPr>
                <w:sz w:val="20"/>
                <w:szCs w:val="20"/>
              </w:rPr>
            </w:pPr>
            <w:r w:rsidRPr="00BD2EC8">
              <w:rPr>
                <w:sz w:val="20"/>
                <w:szCs w:val="20"/>
              </w:rPr>
              <w:t>Successful</w:t>
            </w:r>
            <w:r>
              <w:rPr>
                <w:sz w:val="20"/>
                <w:szCs w:val="20"/>
              </w:rPr>
              <w:t>ly</w:t>
            </w:r>
            <w:r w:rsidRPr="00BD2EC8">
              <w:rPr>
                <w:sz w:val="20"/>
                <w:szCs w:val="20"/>
              </w:rPr>
              <w:t xml:space="preserve"> negotiat</w:t>
            </w:r>
            <w:r>
              <w:rPr>
                <w:sz w:val="20"/>
                <w:szCs w:val="20"/>
              </w:rPr>
              <w:t>ed for better compensation</w:t>
            </w:r>
          </w:p>
        </w:tc>
        <w:tc>
          <w:tcPr>
            <w:tcW w:w="1566" w:type="dxa"/>
            <w:tcBorders>
              <w:top w:val="nil"/>
              <w:bottom w:val="single" w:sz="4" w:space="0" w:color="A6A6A6" w:themeColor="background1" w:themeShade="A6"/>
            </w:tcBorders>
            <w:vAlign w:val="center"/>
          </w:tcPr>
          <w:p w14:paraId="305D1EB4" w14:textId="77777777" w:rsidR="0086522A" w:rsidRPr="00BD2EC8" w:rsidRDefault="0086522A" w:rsidP="00140558">
            <w:pPr>
              <w:spacing w:before="40" w:after="40"/>
              <w:jc w:val="center"/>
              <w:rPr>
                <w:sz w:val="20"/>
                <w:szCs w:val="20"/>
              </w:rPr>
            </w:pPr>
            <w:r>
              <w:rPr>
                <w:sz w:val="20"/>
                <w:szCs w:val="20"/>
              </w:rPr>
              <w:t>63.34</w:t>
            </w:r>
            <w:r w:rsidRPr="00BD2EC8">
              <w:rPr>
                <w:sz w:val="20"/>
                <w:szCs w:val="20"/>
              </w:rPr>
              <w:t>%</w:t>
            </w:r>
            <w:r>
              <w:rPr>
                <w:sz w:val="20"/>
                <w:szCs w:val="20"/>
              </w:rPr>
              <w:t xml:space="preserve"> (19.30)</w:t>
            </w:r>
          </w:p>
        </w:tc>
        <w:tc>
          <w:tcPr>
            <w:tcW w:w="1788" w:type="dxa"/>
            <w:tcBorders>
              <w:top w:val="nil"/>
              <w:bottom w:val="single" w:sz="4" w:space="0" w:color="A6A6A6" w:themeColor="background1" w:themeShade="A6"/>
            </w:tcBorders>
            <w:vAlign w:val="center"/>
          </w:tcPr>
          <w:p w14:paraId="7F6FB627" w14:textId="77777777" w:rsidR="0086522A" w:rsidRPr="00BD2EC8" w:rsidRDefault="0086522A" w:rsidP="00140558">
            <w:pPr>
              <w:spacing w:before="40" w:after="40"/>
              <w:jc w:val="center"/>
              <w:rPr>
                <w:sz w:val="20"/>
                <w:szCs w:val="20"/>
              </w:rPr>
            </w:pPr>
            <w:r>
              <w:rPr>
                <w:sz w:val="20"/>
                <w:szCs w:val="20"/>
              </w:rPr>
              <w:t>41.48% (20.83)</w:t>
            </w:r>
          </w:p>
        </w:tc>
        <w:tc>
          <w:tcPr>
            <w:tcW w:w="2994" w:type="dxa"/>
            <w:tcBorders>
              <w:top w:val="nil"/>
              <w:bottom w:val="single" w:sz="4" w:space="0" w:color="A6A6A6" w:themeColor="background1" w:themeShade="A6"/>
            </w:tcBorders>
            <w:vAlign w:val="center"/>
          </w:tcPr>
          <w:p w14:paraId="7BAC0368" w14:textId="77777777" w:rsidR="0086522A" w:rsidRPr="00BD2EC8" w:rsidRDefault="0086522A" w:rsidP="00140558">
            <w:pPr>
              <w:spacing w:before="40" w:after="40"/>
              <w:jc w:val="center"/>
              <w:rPr>
                <w:sz w:val="20"/>
                <w:szCs w:val="20"/>
              </w:rPr>
            </w:pPr>
            <w:proofErr w:type="gramStart"/>
            <w:r w:rsidRPr="00BD2EC8">
              <w:rPr>
                <w:i/>
                <w:iCs/>
                <w:sz w:val="20"/>
                <w:szCs w:val="20"/>
                <w:lang w:eastAsia="ko-KR"/>
              </w:rPr>
              <w:t>t</w:t>
            </w:r>
            <w:r w:rsidRPr="00BD2EC8">
              <w:rPr>
                <w:sz w:val="20"/>
                <w:szCs w:val="20"/>
                <w:lang w:eastAsia="ko-KR"/>
              </w:rPr>
              <w:t>(</w:t>
            </w:r>
            <w:proofErr w:type="gramEnd"/>
            <w:r>
              <w:rPr>
                <w:sz w:val="20"/>
                <w:szCs w:val="20"/>
                <w:lang w:eastAsia="ko-KR"/>
              </w:rPr>
              <w:t>294</w:t>
            </w:r>
            <w:r w:rsidRPr="00BD2EC8">
              <w:rPr>
                <w:sz w:val="20"/>
                <w:szCs w:val="20"/>
                <w:lang w:eastAsia="ko-KR"/>
              </w:rPr>
              <w:t xml:space="preserve">) = </w:t>
            </w:r>
            <w:r>
              <w:rPr>
                <w:sz w:val="20"/>
                <w:szCs w:val="20"/>
                <w:lang w:eastAsia="ko-KR"/>
              </w:rPr>
              <w:t>-20.71</w:t>
            </w:r>
            <w:r w:rsidRPr="00BD2EC8">
              <w:rPr>
                <w:sz w:val="20"/>
                <w:szCs w:val="20"/>
                <w:lang w:eastAsia="ko-KR"/>
              </w:rPr>
              <w:t xml:space="preserve">, </w:t>
            </w:r>
            <w:r w:rsidRPr="00BD2EC8">
              <w:rPr>
                <w:i/>
                <w:iCs/>
                <w:sz w:val="20"/>
                <w:szCs w:val="20"/>
                <w:lang w:eastAsia="ko-KR"/>
              </w:rPr>
              <w:t>p</w:t>
            </w:r>
            <w:r w:rsidRPr="00BD2EC8">
              <w:rPr>
                <w:sz w:val="20"/>
                <w:szCs w:val="20"/>
                <w:lang w:eastAsia="ko-KR"/>
              </w:rPr>
              <w:t xml:space="preserve"> &lt; .001, </w:t>
            </w:r>
            <w:r w:rsidRPr="00BD2EC8">
              <w:rPr>
                <w:i/>
                <w:iCs/>
                <w:sz w:val="20"/>
                <w:szCs w:val="20"/>
                <w:lang w:eastAsia="ko-KR"/>
              </w:rPr>
              <w:t>d</w:t>
            </w:r>
            <w:r w:rsidRPr="00BD2EC8">
              <w:rPr>
                <w:sz w:val="20"/>
                <w:szCs w:val="20"/>
                <w:lang w:eastAsia="ko-KR"/>
              </w:rPr>
              <w:t xml:space="preserve"> = 1.</w:t>
            </w:r>
            <w:r>
              <w:rPr>
                <w:sz w:val="20"/>
                <w:szCs w:val="20"/>
                <w:lang w:eastAsia="ko-KR"/>
              </w:rPr>
              <w:t>21</w:t>
            </w:r>
          </w:p>
        </w:tc>
      </w:tr>
      <w:tr w:rsidR="0086522A" w:rsidRPr="00A30536" w14:paraId="2247FCAD" w14:textId="77777777" w:rsidTr="00140558">
        <w:trPr>
          <w:trHeight w:val="271"/>
        </w:trPr>
        <w:tc>
          <w:tcPr>
            <w:tcW w:w="5837" w:type="dxa"/>
            <w:tcBorders>
              <w:bottom w:val="nil"/>
            </w:tcBorders>
            <w:vAlign w:val="center"/>
          </w:tcPr>
          <w:p w14:paraId="047CF963" w14:textId="77777777" w:rsidR="0086522A" w:rsidRPr="00A30536" w:rsidRDefault="0086522A" w:rsidP="00140558">
            <w:pPr>
              <w:spacing w:before="40" w:after="40"/>
              <w:rPr>
                <w:b/>
                <w:bCs/>
                <w:i/>
                <w:iCs/>
                <w:sz w:val="20"/>
                <w:szCs w:val="20"/>
              </w:rPr>
            </w:pPr>
            <w:r w:rsidRPr="00A30536">
              <w:rPr>
                <w:b/>
                <w:bCs/>
                <w:i/>
                <w:iCs/>
                <w:sz w:val="20"/>
                <w:szCs w:val="20"/>
              </w:rPr>
              <w:t>Negative Asking Events</w:t>
            </w:r>
          </w:p>
        </w:tc>
        <w:tc>
          <w:tcPr>
            <w:tcW w:w="1566" w:type="dxa"/>
            <w:tcBorders>
              <w:bottom w:val="nil"/>
            </w:tcBorders>
            <w:vAlign w:val="center"/>
          </w:tcPr>
          <w:p w14:paraId="49781080" w14:textId="77777777" w:rsidR="0086522A" w:rsidRPr="00A30536" w:rsidRDefault="0086522A" w:rsidP="00140558">
            <w:pPr>
              <w:spacing w:before="40" w:after="40"/>
              <w:jc w:val="center"/>
              <w:rPr>
                <w:b/>
                <w:bCs/>
                <w:sz w:val="20"/>
                <w:szCs w:val="20"/>
              </w:rPr>
            </w:pPr>
          </w:p>
        </w:tc>
        <w:tc>
          <w:tcPr>
            <w:tcW w:w="1788" w:type="dxa"/>
            <w:tcBorders>
              <w:bottom w:val="nil"/>
            </w:tcBorders>
            <w:vAlign w:val="center"/>
          </w:tcPr>
          <w:p w14:paraId="1E1DC78F" w14:textId="77777777" w:rsidR="0086522A" w:rsidRPr="00A30536" w:rsidRDefault="0086522A" w:rsidP="00140558">
            <w:pPr>
              <w:spacing w:before="40" w:after="40"/>
              <w:jc w:val="center"/>
              <w:rPr>
                <w:b/>
                <w:bCs/>
                <w:sz w:val="20"/>
                <w:szCs w:val="20"/>
              </w:rPr>
            </w:pPr>
          </w:p>
        </w:tc>
        <w:tc>
          <w:tcPr>
            <w:tcW w:w="2994" w:type="dxa"/>
            <w:tcBorders>
              <w:bottom w:val="nil"/>
            </w:tcBorders>
            <w:vAlign w:val="center"/>
          </w:tcPr>
          <w:p w14:paraId="777D703E" w14:textId="77777777" w:rsidR="0086522A" w:rsidRPr="00A30536" w:rsidRDefault="0086522A" w:rsidP="00140558">
            <w:pPr>
              <w:spacing w:before="40" w:after="40"/>
              <w:jc w:val="center"/>
              <w:rPr>
                <w:b/>
                <w:bCs/>
                <w:i/>
                <w:iCs/>
                <w:sz w:val="20"/>
                <w:szCs w:val="20"/>
                <w:lang w:eastAsia="ko-KR"/>
              </w:rPr>
            </w:pPr>
          </w:p>
        </w:tc>
      </w:tr>
      <w:tr w:rsidR="0086522A" w:rsidRPr="000B2FB8" w14:paraId="7B8F4E22" w14:textId="77777777" w:rsidTr="00140558">
        <w:trPr>
          <w:trHeight w:val="271"/>
        </w:trPr>
        <w:tc>
          <w:tcPr>
            <w:tcW w:w="5837" w:type="dxa"/>
            <w:tcBorders>
              <w:bottom w:val="nil"/>
            </w:tcBorders>
            <w:vAlign w:val="center"/>
          </w:tcPr>
          <w:p w14:paraId="3EB53FF4" w14:textId="77777777" w:rsidR="0086522A" w:rsidRPr="00BD2EC8" w:rsidRDefault="0086522A" w:rsidP="00140558">
            <w:pPr>
              <w:spacing w:before="40" w:after="40"/>
              <w:rPr>
                <w:sz w:val="20"/>
                <w:szCs w:val="20"/>
              </w:rPr>
            </w:pPr>
            <w:r>
              <w:rPr>
                <w:sz w:val="20"/>
                <w:szCs w:val="20"/>
              </w:rPr>
              <w:t>Attempted to attain a promotion but was unsuccessful</w:t>
            </w:r>
          </w:p>
        </w:tc>
        <w:tc>
          <w:tcPr>
            <w:tcW w:w="1566" w:type="dxa"/>
            <w:tcBorders>
              <w:bottom w:val="nil"/>
            </w:tcBorders>
            <w:vAlign w:val="center"/>
          </w:tcPr>
          <w:p w14:paraId="4A635BF1" w14:textId="77777777" w:rsidR="0086522A" w:rsidRPr="00BD2EC8" w:rsidRDefault="0086522A" w:rsidP="00140558">
            <w:pPr>
              <w:spacing w:before="40" w:after="40"/>
              <w:jc w:val="center"/>
              <w:rPr>
                <w:sz w:val="20"/>
                <w:szCs w:val="20"/>
              </w:rPr>
            </w:pPr>
            <w:r>
              <w:rPr>
                <w:sz w:val="20"/>
                <w:szCs w:val="20"/>
              </w:rPr>
              <w:t>37.90% (18.02)</w:t>
            </w:r>
          </w:p>
        </w:tc>
        <w:tc>
          <w:tcPr>
            <w:tcW w:w="1788" w:type="dxa"/>
            <w:tcBorders>
              <w:bottom w:val="nil"/>
            </w:tcBorders>
            <w:vAlign w:val="center"/>
          </w:tcPr>
          <w:p w14:paraId="60CB0065" w14:textId="77777777" w:rsidR="0086522A" w:rsidRPr="00BD2EC8" w:rsidRDefault="0086522A" w:rsidP="00140558">
            <w:pPr>
              <w:spacing w:before="40" w:after="40"/>
              <w:jc w:val="center"/>
              <w:rPr>
                <w:sz w:val="20"/>
                <w:szCs w:val="20"/>
              </w:rPr>
            </w:pPr>
            <w:r>
              <w:rPr>
                <w:sz w:val="20"/>
                <w:szCs w:val="20"/>
              </w:rPr>
              <w:t>51.09% (21.73)</w:t>
            </w:r>
          </w:p>
        </w:tc>
        <w:tc>
          <w:tcPr>
            <w:tcW w:w="2994" w:type="dxa"/>
            <w:tcBorders>
              <w:bottom w:val="nil"/>
            </w:tcBorders>
            <w:vAlign w:val="center"/>
          </w:tcPr>
          <w:p w14:paraId="66DB0658" w14:textId="77777777" w:rsidR="0086522A" w:rsidRPr="00BD2EC8" w:rsidRDefault="0086522A" w:rsidP="00140558">
            <w:pPr>
              <w:spacing w:before="40" w:after="40"/>
              <w:jc w:val="center"/>
              <w:rPr>
                <w:sz w:val="20"/>
                <w:szCs w:val="20"/>
              </w:rPr>
            </w:pPr>
            <w:proofErr w:type="gramStart"/>
            <w:r w:rsidRPr="00BD2EC8">
              <w:rPr>
                <w:i/>
                <w:iCs/>
                <w:sz w:val="20"/>
                <w:szCs w:val="20"/>
                <w:lang w:eastAsia="ko-KR"/>
              </w:rPr>
              <w:t>t</w:t>
            </w:r>
            <w:r w:rsidRPr="00BD2EC8">
              <w:rPr>
                <w:sz w:val="20"/>
                <w:szCs w:val="20"/>
                <w:lang w:eastAsia="ko-KR"/>
              </w:rPr>
              <w:t>(</w:t>
            </w:r>
            <w:proofErr w:type="gramEnd"/>
            <w:r>
              <w:rPr>
                <w:sz w:val="20"/>
                <w:szCs w:val="20"/>
                <w:lang w:eastAsia="ko-KR"/>
              </w:rPr>
              <w:t>294</w:t>
            </w:r>
            <w:r w:rsidRPr="00BD2EC8">
              <w:rPr>
                <w:sz w:val="20"/>
                <w:szCs w:val="20"/>
                <w:lang w:eastAsia="ko-KR"/>
              </w:rPr>
              <w:t xml:space="preserve">) = </w:t>
            </w:r>
            <w:r>
              <w:rPr>
                <w:sz w:val="20"/>
                <w:szCs w:val="20"/>
                <w:lang w:eastAsia="ko-KR"/>
              </w:rPr>
              <w:t>10.17</w:t>
            </w:r>
            <w:r w:rsidRPr="00BD2EC8">
              <w:rPr>
                <w:sz w:val="20"/>
                <w:szCs w:val="20"/>
                <w:lang w:eastAsia="ko-KR"/>
              </w:rPr>
              <w:t xml:space="preserve">, </w:t>
            </w:r>
            <w:r w:rsidRPr="00BD2EC8">
              <w:rPr>
                <w:i/>
                <w:iCs/>
                <w:sz w:val="20"/>
                <w:szCs w:val="20"/>
                <w:lang w:eastAsia="ko-KR"/>
              </w:rPr>
              <w:t>p</w:t>
            </w:r>
            <w:r w:rsidRPr="00BD2EC8">
              <w:rPr>
                <w:sz w:val="20"/>
                <w:szCs w:val="20"/>
                <w:lang w:eastAsia="ko-KR"/>
              </w:rPr>
              <w:t xml:space="preserve"> &lt; .001, </w:t>
            </w:r>
            <w:r w:rsidRPr="00BD2EC8">
              <w:rPr>
                <w:i/>
                <w:iCs/>
                <w:sz w:val="20"/>
                <w:szCs w:val="20"/>
                <w:lang w:eastAsia="ko-KR"/>
              </w:rPr>
              <w:t>d</w:t>
            </w:r>
            <w:r w:rsidRPr="00BD2EC8">
              <w:rPr>
                <w:sz w:val="20"/>
                <w:szCs w:val="20"/>
                <w:lang w:eastAsia="ko-KR"/>
              </w:rPr>
              <w:t xml:space="preserve"> = </w:t>
            </w:r>
            <w:r>
              <w:rPr>
                <w:sz w:val="20"/>
                <w:szCs w:val="20"/>
                <w:lang w:eastAsia="ko-KR"/>
              </w:rPr>
              <w:t>0</w:t>
            </w:r>
            <w:r w:rsidRPr="00BD2EC8">
              <w:rPr>
                <w:sz w:val="20"/>
                <w:szCs w:val="20"/>
                <w:lang w:eastAsia="ko-KR"/>
              </w:rPr>
              <w:t>.</w:t>
            </w:r>
            <w:r>
              <w:rPr>
                <w:sz w:val="20"/>
                <w:szCs w:val="20"/>
                <w:lang w:eastAsia="ko-KR"/>
              </w:rPr>
              <w:t>59</w:t>
            </w:r>
          </w:p>
        </w:tc>
      </w:tr>
      <w:tr w:rsidR="0086522A" w:rsidRPr="000B2FB8" w14:paraId="32AA85C3" w14:textId="77777777" w:rsidTr="00140558">
        <w:trPr>
          <w:trHeight w:val="271"/>
        </w:trPr>
        <w:tc>
          <w:tcPr>
            <w:tcW w:w="5837" w:type="dxa"/>
            <w:tcBorders>
              <w:top w:val="nil"/>
              <w:bottom w:val="single" w:sz="4" w:space="0" w:color="A6A6A6" w:themeColor="background1" w:themeShade="A6"/>
            </w:tcBorders>
            <w:vAlign w:val="center"/>
          </w:tcPr>
          <w:p w14:paraId="43B56B55" w14:textId="77777777" w:rsidR="0086522A" w:rsidRPr="00BD2EC8" w:rsidRDefault="0086522A" w:rsidP="00140558">
            <w:pPr>
              <w:spacing w:before="40" w:after="40"/>
              <w:rPr>
                <w:sz w:val="20"/>
                <w:szCs w:val="20"/>
              </w:rPr>
            </w:pPr>
            <w:r>
              <w:rPr>
                <w:sz w:val="20"/>
                <w:szCs w:val="20"/>
              </w:rPr>
              <w:t>Attempted to negotiate for better compensation but was unsuccessful</w:t>
            </w:r>
          </w:p>
        </w:tc>
        <w:tc>
          <w:tcPr>
            <w:tcW w:w="1566" w:type="dxa"/>
            <w:tcBorders>
              <w:top w:val="nil"/>
              <w:bottom w:val="single" w:sz="4" w:space="0" w:color="A6A6A6" w:themeColor="background1" w:themeShade="A6"/>
            </w:tcBorders>
            <w:vAlign w:val="center"/>
          </w:tcPr>
          <w:p w14:paraId="21E374D2" w14:textId="77777777" w:rsidR="0086522A" w:rsidRPr="00BD2EC8" w:rsidRDefault="0086522A" w:rsidP="00140558">
            <w:pPr>
              <w:spacing w:before="40" w:after="40"/>
              <w:jc w:val="center"/>
              <w:rPr>
                <w:sz w:val="20"/>
                <w:szCs w:val="20"/>
              </w:rPr>
            </w:pPr>
            <w:r>
              <w:rPr>
                <w:sz w:val="20"/>
                <w:szCs w:val="20"/>
              </w:rPr>
              <w:t>36.45% (18.74)</w:t>
            </w:r>
          </w:p>
        </w:tc>
        <w:tc>
          <w:tcPr>
            <w:tcW w:w="1788" w:type="dxa"/>
            <w:tcBorders>
              <w:top w:val="nil"/>
              <w:bottom w:val="single" w:sz="4" w:space="0" w:color="A6A6A6" w:themeColor="background1" w:themeShade="A6"/>
            </w:tcBorders>
            <w:vAlign w:val="center"/>
          </w:tcPr>
          <w:p w14:paraId="2E056712" w14:textId="77777777" w:rsidR="0086522A" w:rsidRPr="00BD2EC8" w:rsidRDefault="0086522A" w:rsidP="00140558">
            <w:pPr>
              <w:spacing w:before="40" w:after="40"/>
              <w:jc w:val="center"/>
              <w:rPr>
                <w:sz w:val="20"/>
                <w:szCs w:val="20"/>
              </w:rPr>
            </w:pPr>
            <w:r>
              <w:rPr>
                <w:sz w:val="20"/>
                <w:szCs w:val="20"/>
              </w:rPr>
              <w:t>49.54</w:t>
            </w:r>
            <w:r w:rsidRPr="00BD2EC8">
              <w:rPr>
                <w:sz w:val="20"/>
                <w:szCs w:val="20"/>
              </w:rPr>
              <w:t>%</w:t>
            </w:r>
            <w:r>
              <w:rPr>
                <w:sz w:val="20"/>
                <w:szCs w:val="20"/>
              </w:rPr>
              <w:t xml:space="preserve"> (22.81)</w:t>
            </w:r>
          </w:p>
        </w:tc>
        <w:tc>
          <w:tcPr>
            <w:tcW w:w="2994" w:type="dxa"/>
            <w:tcBorders>
              <w:top w:val="nil"/>
              <w:bottom w:val="single" w:sz="4" w:space="0" w:color="A6A6A6" w:themeColor="background1" w:themeShade="A6"/>
            </w:tcBorders>
            <w:vAlign w:val="center"/>
          </w:tcPr>
          <w:p w14:paraId="204FDBA8" w14:textId="77777777" w:rsidR="0086522A" w:rsidRPr="00BD2EC8" w:rsidRDefault="0086522A" w:rsidP="00140558">
            <w:pPr>
              <w:spacing w:before="40" w:after="40"/>
              <w:jc w:val="center"/>
              <w:rPr>
                <w:sz w:val="20"/>
                <w:szCs w:val="20"/>
              </w:rPr>
            </w:pPr>
            <w:proofErr w:type="gramStart"/>
            <w:r w:rsidRPr="00BD2EC8">
              <w:rPr>
                <w:i/>
                <w:iCs/>
                <w:sz w:val="20"/>
                <w:szCs w:val="20"/>
                <w:lang w:eastAsia="ko-KR"/>
              </w:rPr>
              <w:t>t</w:t>
            </w:r>
            <w:r w:rsidRPr="00BD2EC8">
              <w:rPr>
                <w:sz w:val="20"/>
                <w:szCs w:val="20"/>
                <w:lang w:eastAsia="ko-KR"/>
              </w:rPr>
              <w:t>(</w:t>
            </w:r>
            <w:proofErr w:type="gramEnd"/>
            <w:r>
              <w:rPr>
                <w:sz w:val="20"/>
                <w:szCs w:val="20"/>
                <w:lang w:eastAsia="ko-KR"/>
              </w:rPr>
              <w:t>294</w:t>
            </w:r>
            <w:r w:rsidRPr="00BD2EC8">
              <w:rPr>
                <w:sz w:val="20"/>
                <w:szCs w:val="20"/>
                <w:lang w:eastAsia="ko-KR"/>
              </w:rPr>
              <w:t xml:space="preserve">) = </w:t>
            </w:r>
            <w:r>
              <w:rPr>
                <w:sz w:val="20"/>
                <w:szCs w:val="20"/>
                <w:lang w:eastAsia="ko-KR"/>
              </w:rPr>
              <w:t>9.89</w:t>
            </w:r>
            <w:r w:rsidRPr="00BD2EC8">
              <w:rPr>
                <w:sz w:val="20"/>
                <w:szCs w:val="20"/>
                <w:lang w:eastAsia="ko-KR"/>
              </w:rPr>
              <w:t xml:space="preserve">, </w:t>
            </w:r>
            <w:r w:rsidRPr="00BD2EC8">
              <w:rPr>
                <w:i/>
                <w:iCs/>
                <w:sz w:val="20"/>
                <w:szCs w:val="20"/>
                <w:lang w:eastAsia="ko-KR"/>
              </w:rPr>
              <w:t>p</w:t>
            </w:r>
            <w:r w:rsidRPr="00BD2EC8">
              <w:rPr>
                <w:sz w:val="20"/>
                <w:szCs w:val="20"/>
                <w:lang w:eastAsia="ko-KR"/>
              </w:rPr>
              <w:t xml:space="preserve"> &lt; .001, </w:t>
            </w:r>
            <w:r w:rsidRPr="00BD2EC8">
              <w:rPr>
                <w:i/>
                <w:iCs/>
                <w:sz w:val="20"/>
                <w:szCs w:val="20"/>
                <w:lang w:eastAsia="ko-KR"/>
              </w:rPr>
              <w:t>d</w:t>
            </w:r>
            <w:r w:rsidRPr="00BD2EC8">
              <w:rPr>
                <w:sz w:val="20"/>
                <w:szCs w:val="20"/>
                <w:lang w:eastAsia="ko-KR"/>
              </w:rPr>
              <w:t xml:space="preserve"> = </w:t>
            </w:r>
            <w:r>
              <w:rPr>
                <w:sz w:val="20"/>
                <w:szCs w:val="20"/>
                <w:lang w:eastAsia="ko-KR"/>
              </w:rPr>
              <w:t>0</w:t>
            </w:r>
            <w:r w:rsidRPr="00BD2EC8">
              <w:rPr>
                <w:sz w:val="20"/>
                <w:szCs w:val="20"/>
                <w:lang w:eastAsia="ko-KR"/>
              </w:rPr>
              <w:t>.</w:t>
            </w:r>
            <w:r>
              <w:rPr>
                <w:sz w:val="20"/>
                <w:szCs w:val="20"/>
                <w:lang w:eastAsia="ko-KR"/>
              </w:rPr>
              <w:t>58</w:t>
            </w:r>
          </w:p>
        </w:tc>
      </w:tr>
      <w:tr w:rsidR="0086522A" w:rsidRPr="00A30536" w14:paraId="3A084792" w14:textId="77777777" w:rsidTr="00140558">
        <w:trPr>
          <w:trHeight w:val="271"/>
        </w:trPr>
        <w:tc>
          <w:tcPr>
            <w:tcW w:w="5837" w:type="dxa"/>
            <w:tcBorders>
              <w:top w:val="single" w:sz="4" w:space="0" w:color="A6A6A6" w:themeColor="background1" w:themeShade="A6"/>
              <w:bottom w:val="nil"/>
            </w:tcBorders>
            <w:vAlign w:val="center"/>
          </w:tcPr>
          <w:p w14:paraId="52DA597D" w14:textId="77777777" w:rsidR="0086522A" w:rsidRPr="00A30536" w:rsidRDefault="0086522A" w:rsidP="00140558">
            <w:pPr>
              <w:spacing w:before="40" w:after="40"/>
              <w:rPr>
                <w:b/>
                <w:bCs/>
                <w:i/>
                <w:iCs/>
                <w:sz w:val="20"/>
                <w:szCs w:val="20"/>
              </w:rPr>
            </w:pPr>
            <w:r w:rsidRPr="00A30536">
              <w:rPr>
                <w:b/>
                <w:bCs/>
                <w:i/>
                <w:iCs/>
                <w:sz w:val="20"/>
                <w:szCs w:val="20"/>
              </w:rPr>
              <w:t>Positive No Asking Event</w:t>
            </w:r>
          </w:p>
        </w:tc>
        <w:tc>
          <w:tcPr>
            <w:tcW w:w="1566" w:type="dxa"/>
            <w:tcBorders>
              <w:top w:val="single" w:sz="4" w:space="0" w:color="A6A6A6" w:themeColor="background1" w:themeShade="A6"/>
              <w:bottom w:val="nil"/>
            </w:tcBorders>
            <w:vAlign w:val="center"/>
          </w:tcPr>
          <w:p w14:paraId="1DA7ED79" w14:textId="77777777" w:rsidR="0086522A" w:rsidRPr="00A30536" w:rsidRDefault="0086522A" w:rsidP="00140558">
            <w:pPr>
              <w:spacing w:before="40" w:after="40"/>
              <w:jc w:val="center"/>
              <w:rPr>
                <w:b/>
                <w:bCs/>
                <w:sz w:val="20"/>
                <w:szCs w:val="20"/>
              </w:rPr>
            </w:pPr>
          </w:p>
        </w:tc>
        <w:tc>
          <w:tcPr>
            <w:tcW w:w="1788" w:type="dxa"/>
            <w:tcBorders>
              <w:top w:val="single" w:sz="4" w:space="0" w:color="A6A6A6" w:themeColor="background1" w:themeShade="A6"/>
              <w:bottom w:val="nil"/>
            </w:tcBorders>
            <w:vAlign w:val="center"/>
          </w:tcPr>
          <w:p w14:paraId="4E4E055C" w14:textId="77777777" w:rsidR="0086522A" w:rsidRPr="00A30536" w:rsidRDefault="0086522A" w:rsidP="00140558">
            <w:pPr>
              <w:spacing w:before="40" w:after="40"/>
              <w:jc w:val="center"/>
              <w:rPr>
                <w:b/>
                <w:bCs/>
                <w:sz w:val="20"/>
                <w:szCs w:val="20"/>
              </w:rPr>
            </w:pPr>
          </w:p>
        </w:tc>
        <w:tc>
          <w:tcPr>
            <w:tcW w:w="2994" w:type="dxa"/>
            <w:tcBorders>
              <w:top w:val="single" w:sz="4" w:space="0" w:color="A6A6A6" w:themeColor="background1" w:themeShade="A6"/>
              <w:bottom w:val="nil"/>
            </w:tcBorders>
            <w:vAlign w:val="center"/>
          </w:tcPr>
          <w:p w14:paraId="2230826D" w14:textId="77777777" w:rsidR="0086522A" w:rsidRPr="00A30536" w:rsidRDefault="0086522A" w:rsidP="00140558">
            <w:pPr>
              <w:spacing w:before="40" w:after="40"/>
              <w:jc w:val="center"/>
              <w:rPr>
                <w:b/>
                <w:bCs/>
                <w:i/>
                <w:iCs/>
                <w:sz w:val="20"/>
                <w:szCs w:val="20"/>
                <w:lang w:eastAsia="ko-KR"/>
              </w:rPr>
            </w:pPr>
          </w:p>
        </w:tc>
      </w:tr>
      <w:tr w:rsidR="0086522A" w:rsidRPr="000B2FB8" w14:paraId="0A25AFFC" w14:textId="77777777" w:rsidTr="00140558">
        <w:trPr>
          <w:trHeight w:val="271"/>
        </w:trPr>
        <w:tc>
          <w:tcPr>
            <w:tcW w:w="5837" w:type="dxa"/>
            <w:tcBorders>
              <w:top w:val="nil"/>
              <w:bottom w:val="single" w:sz="4" w:space="0" w:color="A6A6A6" w:themeColor="background1" w:themeShade="A6"/>
            </w:tcBorders>
            <w:vAlign w:val="center"/>
          </w:tcPr>
          <w:p w14:paraId="6AAE79D0" w14:textId="77777777" w:rsidR="0086522A" w:rsidRPr="00BD2EC8" w:rsidRDefault="0086522A" w:rsidP="00140558">
            <w:pPr>
              <w:spacing w:before="40" w:after="40"/>
              <w:rPr>
                <w:sz w:val="20"/>
                <w:szCs w:val="20"/>
              </w:rPr>
            </w:pPr>
            <w:r>
              <w:rPr>
                <w:sz w:val="20"/>
                <w:szCs w:val="20"/>
              </w:rPr>
              <w:t>Received better compensation without asking for it</w:t>
            </w:r>
          </w:p>
        </w:tc>
        <w:tc>
          <w:tcPr>
            <w:tcW w:w="1566" w:type="dxa"/>
            <w:tcBorders>
              <w:top w:val="nil"/>
              <w:bottom w:val="single" w:sz="4" w:space="0" w:color="A6A6A6" w:themeColor="background1" w:themeShade="A6"/>
            </w:tcBorders>
            <w:vAlign w:val="center"/>
          </w:tcPr>
          <w:p w14:paraId="42840F3B" w14:textId="77777777" w:rsidR="0086522A" w:rsidRPr="00BD2EC8" w:rsidRDefault="0086522A" w:rsidP="00140558">
            <w:pPr>
              <w:spacing w:before="40" w:after="40"/>
              <w:jc w:val="center"/>
              <w:rPr>
                <w:sz w:val="20"/>
                <w:szCs w:val="20"/>
              </w:rPr>
            </w:pPr>
            <w:r>
              <w:rPr>
                <w:sz w:val="20"/>
                <w:szCs w:val="20"/>
              </w:rPr>
              <w:t>52.93% (21.44)</w:t>
            </w:r>
          </w:p>
        </w:tc>
        <w:tc>
          <w:tcPr>
            <w:tcW w:w="1788" w:type="dxa"/>
            <w:tcBorders>
              <w:top w:val="nil"/>
              <w:bottom w:val="single" w:sz="4" w:space="0" w:color="A6A6A6" w:themeColor="background1" w:themeShade="A6"/>
            </w:tcBorders>
            <w:vAlign w:val="center"/>
          </w:tcPr>
          <w:p w14:paraId="5F492F23" w14:textId="77777777" w:rsidR="0086522A" w:rsidRPr="00BD2EC8" w:rsidRDefault="0086522A" w:rsidP="00140558">
            <w:pPr>
              <w:spacing w:before="40" w:after="40"/>
              <w:jc w:val="center"/>
              <w:rPr>
                <w:sz w:val="20"/>
                <w:szCs w:val="20"/>
              </w:rPr>
            </w:pPr>
            <w:r>
              <w:rPr>
                <w:sz w:val="20"/>
                <w:szCs w:val="20"/>
              </w:rPr>
              <w:t>31.22</w:t>
            </w:r>
            <w:r w:rsidRPr="00BD2EC8">
              <w:rPr>
                <w:sz w:val="20"/>
                <w:szCs w:val="20"/>
              </w:rPr>
              <w:t>%</w:t>
            </w:r>
            <w:r>
              <w:rPr>
                <w:sz w:val="20"/>
                <w:szCs w:val="20"/>
              </w:rPr>
              <w:t xml:space="preserve"> (18.64)</w:t>
            </w:r>
          </w:p>
        </w:tc>
        <w:tc>
          <w:tcPr>
            <w:tcW w:w="2994" w:type="dxa"/>
            <w:tcBorders>
              <w:top w:val="nil"/>
              <w:bottom w:val="single" w:sz="4" w:space="0" w:color="A6A6A6" w:themeColor="background1" w:themeShade="A6"/>
            </w:tcBorders>
            <w:vAlign w:val="center"/>
          </w:tcPr>
          <w:p w14:paraId="15A2305A" w14:textId="77777777" w:rsidR="0086522A" w:rsidRPr="00BD2EC8" w:rsidRDefault="0086522A" w:rsidP="00140558">
            <w:pPr>
              <w:spacing w:before="40" w:after="40"/>
              <w:jc w:val="center"/>
              <w:rPr>
                <w:iCs/>
                <w:sz w:val="20"/>
                <w:szCs w:val="20"/>
              </w:rPr>
            </w:pPr>
            <w:proofErr w:type="gramStart"/>
            <w:r w:rsidRPr="00BD2EC8">
              <w:rPr>
                <w:i/>
                <w:iCs/>
                <w:sz w:val="20"/>
                <w:szCs w:val="20"/>
                <w:lang w:eastAsia="ko-KR"/>
              </w:rPr>
              <w:t>t</w:t>
            </w:r>
            <w:r w:rsidRPr="00BD2EC8">
              <w:rPr>
                <w:sz w:val="20"/>
                <w:szCs w:val="20"/>
                <w:lang w:eastAsia="ko-KR"/>
              </w:rPr>
              <w:t>(</w:t>
            </w:r>
            <w:proofErr w:type="gramEnd"/>
            <w:r>
              <w:rPr>
                <w:sz w:val="20"/>
                <w:szCs w:val="20"/>
                <w:lang w:eastAsia="ko-KR"/>
              </w:rPr>
              <w:t>294</w:t>
            </w:r>
            <w:r w:rsidRPr="00BD2EC8">
              <w:rPr>
                <w:sz w:val="20"/>
                <w:szCs w:val="20"/>
                <w:lang w:eastAsia="ko-KR"/>
              </w:rPr>
              <w:t xml:space="preserve">) = </w:t>
            </w:r>
            <w:r>
              <w:rPr>
                <w:sz w:val="20"/>
                <w:szCs w:val="20"/>
                <w:lang w:eastAsia="ko-KR"/>
              </w:rPr>
              <w:t>-20.28</w:t>
            </w:r>
            <w:r w:rsidRPr="00BD2EC8">
              <w:rPr>
                <w:sz w:val="20"/>
                <w:szCs w:val="20"/>
                <w:lang w:eastAsia="ko-KR"/>
              </w:rPr>
              <w:t xml:space="preserve">, </w:t>
            </w:r>
            <w:r w:rsidRPr="00BD2EC8">
              <w:rPr>
                <w:i/>
                <w:iCs/>
                <w:sz w:val="20"/>
                <w:szCs w:val="20"/>
                <w:lang w:eastAsia="ko-KR"/>
              </w:rPr>
              <w:t>p</w:t>
            </w:r>
            <w:r w:rsidRPr="00BD2EC8">
              <w:rPr>
                <w:sz w:val="20"/>
                <w:szCs w:val="20"/>
                <w:lang w:eastAsia="ko-KR"/>
              </w:rPr>
              <w:t xml:space="preserve"> &lt; .001, </w:t>
            </w:r>
            <w:r w:rsidRPr="00BD2EC8">
              <w:rPr>
                <w:i/>
                <w:iCs/>
                <w:sz w:val="20"/>
                <w:szCs w:val="20"/>
                <w:lang w:eastAsia="ko-KR"/>
              </w:rPr>
              <w:t>d</w:t>
            </w:r>
            <w:r w:rsidRPr="00BD2EC8">
              <w:rPr>
                <w:sz w:val="20"/>
                <w:szCs w:val="20"/>
                <w:lang w:eastAsia="ko-KR"/>
              </w:rPr>
              <w:t xml:space="preserve"> = 1.</w:t>
            </w:r>
            <w:r>
              <w:rPr>
                <w:sz w:val="20"/>
                <w:szCs w:val="20"/>
                <w:lang w:eastAsia="ko-KR"/>
              </w:rPr>
              <w:t>18</w:t>
            </w:r>
          </w:p>
        </w:tc>
      </w:tr>
      <w:tr w:rsidR="0086522A" w:rsidRPr="00A30536" w14:paraId="1A02B300" w14:textId="77777777" w:rsidTr="00140558">
        <w:trPr>
          <w:trHeight w:val="281"/>
        </w:trPr>
        <w:tc>
          <w:tcPr>
            <w:tcW w:w="5837" w:type="dxa"/>
            <w:vAlign w:val="center"/>
          </w:tcPr>
          <w:p w14:paraId="62DD0E5E" w14:textId="77777777" w:rsidR="0086522A" w:rsidRPr="00A30536" w:rsidRDefault="0086522A" w:rsidP="00140558">
            <w:pPr>
              <w:spacing w:before="40" w:after="40"/>
              <w:rPr>
                <w:b/>
                <w:bCs/>
                <w:i/>
                <w:iCs/>
                <w:sz w:val="20"/>
                <w:szCs w:val="20"/>
              </w:rPr>
            </w:pPr>
            <w:r w:rsidRPr="00A30536">
              <w:rPr>
                <w:b/>
                <w:bCs/>
                <w:i/>
                <w:iCs/>
                <w:sz w:val="20"/>
                <w:szCs w:val="20"/>
              </w:rPr>
              <w:t>Negative No Asking Events</w:t>
            </w:r>
          </w:p>
        </w:tc>
        <w:tc>
          <w:tcPr>
            <w:tcW w:w="1566" w:type="dxa"/>
            <w:tcBorders>
              <w:top w:val="single" w:sz="4" w:space="0" w:color="A6A6A6" w:themeColor="background1" w:themeShade="A6"/>
              <w:bottom w:val="nil"/>
            </w:tcBorders>
            <w:vAlign w:val="center"/>
          </w:tcPr>
          <w:p w14:paraId="557D125A" w14:textId="77777777" w:rsidR="0086522A" w:rsidRPr="00A30536" w:rsidRDefault="0086522A" w:rsidP="00140558">
            <w:pPr>
              <w:spacing w:before="40" w:after="40"/>
              <w:jc w:val="center"/>
              <w:rPr>
                <w:b/>
                <w:bCs/>
                <w:sz w:val="20"/>
                <w:szCs w:val="20"/>
              </w:rPr>
            </w:pPr>
          </w:p>
        </w:tc>
        <w:tc>
          <w:tcPr>
            <w:tcW w:w="1788" w:type="dxa"/>
            <w:tcBorders>
              <w:top w:val="single" w:sz="4" w:space="0" w:color="A6A6A6" w:themeColor="background1" w:themeShade="A6"/>
              <w:bottom w:val="nil"/>
            </w:tcBorders>
            <w:vAlign w:val="center"/>
          </w:tcPr>
          <w:p w14:paraId="3A35D73E" w14:textId="77777777" w:rsidR="0086522A" w:rsidRPr="00A30536" w:rsidRDefault="0086522A" w:rsidP="00140558">
            <w:pPr>
              <w:spacing w:before="40" w:after="40"/>
              <w:jc w:val="center"/>
              <w:rPr>
                <w:b/>
                <w:bCs/>
                <w:sz w:val="20"/>
                <w:szCs w:val="20"/>
              </w:rPr>
            </w:pPr>
          </w:p>
        </w:tc>
        <w:tc>
          <w:tcPr>
            <w:tcW w:w="2994" w:type="dxa"/>
            <w:tcBorders>
              <w:top w:val="single" w:sz="4" w:space="0" w:color="A6A6A6" w:themeColor="background1" w:themeShade="A6"/>
              <w:bottom w:val="nil"/>
            </w:tcBorders>
            <w:vAlign w:val="center"/>
          </w:tcPr>
          <w:p w14:paraId="3E8F497A" w14:textId="77777777" w:rsidR="0086522A" w:rsidRPr="00A30536" w:rsidRDefault="0086522A" w:rsidP="00140558">
            <w:pPr>
              <w:spacing w:before="40" w:after="40"/>
              <w:jc w:val="center"/>
              <w:rPr>
                <w:b/>
                <w:bCs/>
                <w:i/>
                <w:iCs/>
                <w:sz w:val="20"/>
                <w:szCs w:val="20"/>
                <w:lang w:eastAsia="ko-KR"/>
              </w:rPr>
            </w:pPr>
          </w:p>
        </w:tc>
      </w:tr>
      <w:tr w:rsidR="0086522A" w:rsidRPr="000B2FB8" w14:paraId="08D48713" w14:textId="77777777" w:rsidTr="00140558">
        <w:trPr>
          <w:trHeight w:val="281"/>
        </w:trPr>
        <w:tc>
          <w:tcPr>
            <w:tcW w:w="5837" w:type="dxa"/>
            <w:vAlign w:val="center"/>
          </w:tcPr>
          <w:p w14:paraId="7499CD21" w14:textId="77777777" w:rsidR="0086522A" w:rsidRPr="00BD2EC8" w:rsidRDefault="0086522A" w:rsidP="00140558">
            <w:pPr>
              <w:spacing w:before="40" w:after="40"/>
              <w:rPr>
                <w:sz w:val="20"/>
                <w:szCs w:val="20"/>
              </w:rPr>
            </w:pPr>
            <w:r>
              <w:rPr>
                <w:sz w:val="20"/>
                <w:szCs w:val="20"/>
              </w:rPr>
              <w:t>Never attempted to attain a promotion</w:t>
            </w:r>
          </w:p>
        </w:tc>
        <w:tc>
          <w:tcPr>
            <w:tcW w:w="1566" w:type="dxa"/>
            <w:tcBorders>
              <w:top w:val="nil"/>
            </w:tcBorders>
            <w:vAlign w:val="center"/>
          </w:tcPr>
          <w:p w14:paraId="4B5F6BCA" w14:textId="77777777" w:rsidR="0086522A" w:rsidRPr="00BD2EC8" w:rsidRDefault="0086522A" w:rsidP="00140558">
            <w:pPr>
              <w:spacing w:before="40" w:after="40"/>
              <w:jc w:val="center"/>
              <w:rPr>
                <w:sz w:val="20"/>
                <w:szCs w:val="20"/>
              </w:rPr>
            </w:pPr>
            <w:r>
              <w:rPr>
                <w:sz w:val="20"/>
                <w:szCs w:val="20"/>
              </w:rPr>
              <w:t>30.88</w:t>
            </w:r>
            <w:r w:rsidRPr="00BD2EC8">
              <w:rPr>
                <w:sz w:val="20"/>
                <w:szCs w:val="20"/>
              </w:rPr>
              <w:t>%</w:t>
            </w:r>
            <w:r>
              <w:rPr>
                <w:sz w:val="20"/>
                <w:szCs w:val="20"/>
              </w:rPr>
              <w:t xml:space="preserve"> (20.09)</w:t>
            </w:r>
          </w:p>
        </w:tc>
        <w:tc>
          <w:tcPr>
            <w:tcW w:w="1788" w:type="dxa"/>
            <w:tcBorders>
              <w:top w:val="nil"/>
            </w:tcBorders>
            <w:vAlign w:val="center"/>
          </w:tcPr>
          <w:p w14:paraId="26B70784" w14:textId="77777777" w:rsidR="0086522A" w:rsidRPr="00BD2EC8" w:rsidRDefault="0086522A" w:rsidP="00140558">
            <w:pPr>
              <w:spacing w:before="40" w:after="40"/>
              <w:jc w:val="center"/>
              <w:rPr>
                <w:sz w:val="20"/>
                <w:szCs w:val="20"/>
              </w:rPr>
            </w:pPr>
            <w:r>
              <w:rPr>
                <w:sz w:val="20"/>
                <w:szCs w:val="20"/>
              </w:rPr>
              <w:t>46.86</w:t>
            </w:r>
            <w:r w:rsidRPr="00BD2EC8">
              <w:rPr>
                <w:sz w:val="20"/>
                <w:szCs w:val="20"/>
              </w:rPr>
              <w:t>%</w:t>
            </w:r>
            <w:r>
              <w:rPr>
                <w:sz w:val="20"/>
                <w:szCs w:val="20"/>
              </w:rPr>
              <w:t xml:space="preserve"> (24.77)</w:t>
            </w:r>
          </w:p>
        </w:tc>
        <w:tc>
          <w:tcPr>
            <w:tcW w:w="2994" w:type="dxa"/>
            <w:tcBorders>
              <w:top w:val="nil"/>
            </w:tcBorders>
            <w:vAlign w:val="center"/>
          </w:tcPr>
          <w:p w14:paraId="56A81257" w14:textId="77777777" w:rsidR="0086522A" w:rsidRPr="00BD2EC8" w:rsidRDefault="0086522A" w:rsidP="00140558">
            <w:pPr>
              <w:spacing w:before="40" w:after="40"/>
              <w:jc w:val="center"/>
              <w:rPr>
                <w:sz w:val="20"/>
                <w:szCs w:val="20"/>
              </w:rPr>
            </w:pPr>
            <w:proofErr w:type="gramStart"/>
            <w:r w:rsidRPr="00BD2EC8">
              <w:rPr>
                <w:i/>
                <w:iCs/>
                <w:sz w:val="20"/>
                <w:szCs w:val="20"/>
                <w:lang w:eastAsia="ko-KR"/>
              </w:rPr>
              <w:t>t</w:t>
            </w:r>
            <w:r w:rsidRPr="00BD2EC8">
              <w:rPr>
                <w:sz w:val="20"/>
                <w:szCs w:val="20"/>
                <w:lang w:eastAsia="ko-KR"/>
              </w:rPr>
              <w:t>(</w:t>
            </w:r>
            <w:proofErr w:type="gramEnd"/>
            <w:r>
              <w:rPr>
                <w:sz w:val="20"/>
                <w:szCs w:val="20"/>
                <w:lang w:eastAsia="ko-KR"/>
              </w:rPr>
              <w:t>294</w:t>
            </w:r>
            <w:r w:rsidRPr="00BD2EC8">
              <w:rPr>
                <w:sz w:val="20"/>
                <w:szCs w:val="20"/>
                <w:lang w:eastAsia="ko-KR"/>
              </w:rPr>
              <w:t>) = 11.</w:t>
            </w:r>
            <w:r>
              <w:rPr>
                <w:sz w:val="20"/>
                <w:szCs w:val="20"/>
                <w:lang w:eastAsia="ko-KR"/>
              </w:rPr>
              <w:t>85</w:t>
            </w:r>
            <w:r w:rsidRPr="00BD2EC8">
              <w:rPr>
                <w:sz w:val="20"/>
                <w:szCs w:val="20"/>
                <w:lang w:eastAsia="ko-KR"/>
              </w:rPr>
              <w:t xml:space="preserve">, </w:t>
            </w:r>
            <w:r w:rsidRPr="00BD2EC8">
              <w:rPr>
                <w:i/>
                <w:iCs/>
                <w:sz w:val="20"/>
                <w:szCs w:val="20"/>
                <w:lang w:eastAsia="ko-KR"/>
              </w:rPr>
              <w:t>p</w:t>
            </w:r>
            <w:r w:rsidRPr="00BD2EC8">
              <w:rPr>
                <w:sz w:val="20"/>
                <w:szCs w:val="20"/>
                <w:lang w:eastAsia="ko-KR"/>
              </w:rPr>
              <w:t xml:space="preserve"> &lt; .001, </w:t>
            </w:r>
            <w:r w:rsidRPr="00BD2EC8">
              <w:rPr>
                <w:i/>
                <w:iCs/>
                <w:sz w:val="20"/>
                <w:szCs w:val="20"/>
                <w:lang w:eastAsia="ko-KR"/>
              </w:rPr>
              <w:t>d</w:t>
            </w:r>
            <w:r w:rsidRPr="00BD2EC8">
              <w:rPr>
                <w:sz w:val="20"/>
                <w:szCs w:val="20"/>
                <w:lang w:eastAsia="ko-KR"/>
              </w:rPr>
              <w:t xml:space="preserve"> = </w:t>
            </w:r>
            <w:r>
              <w:rPr>
                <w:sz w:val="20"/>
                <w:szCs w:val="20"/>
                <w:lang w:eastAsia="ko-KR"/>
              </w:rPr>
              <w:t>0</w:t>
            </w:r>
            <w:r w:rsidRPr="00BD2EC8">
              <w:rPr>
                <w:sz w:val="20"/>
                <w:szCs w:val="20"/>
                <w:lang w:eastAsia="ko-KR"/>
              </w:rPr>
              <w:t>.</w:t>
            </w:r>
            <w:r>
              <w:rPr>
                <w:sz w:val="20"/>
                <w:szCs w:val="20"/>
                <w:lang w:eastAsia="ko-KR"/>
              </w:rPr>
              <w:t>69</w:t>
            </w:r>
          </w:p>
        </w:tc>
      </w:tr>
      <w:tr w:rsidR="0086522A" w:rsidRPr="000B2FB8" w14:paraId="187E61A0" w14:textId="77777777" w:rsidTr="00140558">
        <w:trPr>
          <w:trHeight w:val="271"/>
        </w:trPr>
        <w:tc>
          <w:tcPr>
            <w:tcW w:w="5837" w:type="dxa"/>
            <w:vAlign w:val="center"/>
          </w:tcPr>
          <w:p w14:paraId="5C4E93DB" w14:textId="77777777" w:rsidR="0086522A" w:rsidRPr="00BD2EC8" w:rsidRDefault="0086522A" w:rsidP="00140558">
            <w:pPr>
              <w:spacing w:before="40" w:after="40"/>
              <w:rPr>
                <w:sz w:val="20"/>
                <w:szCs w:val="20"/>
              </w:rPr>
            </w:pPr>
            <w:r>
              <w:rPr>
                <w:sz w:val="20"/>
                <w:szCs w:val="20"/>
              </w:rPr>
              <w:t>Never attempted to attain better compensation</w:t>
            </w:r>
          </w:p>
        </w:tc>
        <w:tc>
          <w:tcPr>
            <w:tcW w:w="1566" w:type="dxa"/>
            <w:vAlign w:val="center"/>
          </w:tcPr>
          <w:p w14:paraId="4D8B1BFD" w14:textId="77777777" w:rsidR="0086522A" w:rsidRPr="00BD2EC8" w:rsidRDefault="0086522A" w:rsidP="00140558">
            <w:pPr>
              <w:spacing w:before="40" w:after="40"/>
              <w:jc w:val="center"/>
              <w:rPr>
                <w:sz w:val="20"/>
                <w:szCs w:val="20"/>
              </w:rPr>
            </w:pPr>
            <w:r>
              <w:rPr>
                <w:sz w:val="20"/>
                <w:szCs w:val="20"/>
              </w:rPr>
              <w:t>28.90</w:t>
            </w:r>
            <w:r w:rsidRPr="00BD2EC8">
              <w:rPr>
                <w:sz w:val="20"/>
                <w:szCs w:val="20"/>
              </w:rPr>
              <w:t>%</w:t>
            </w:r>
            <w:r>
              <w:rPr>
                <w:sz w:val="20"/>
                <w:szCs w:val="20"/>
              </w:rPr>
              <w:t xml:space="preserve"> (19.30)</w:t>
            </w:r>
          </w:p>
        </w:tc>
        <w:tc>
          <w:tcPr>
            <w:tcW w:w="1788" w:type="dxa"/>
            <w:vAlign w:val="center"/>
          </w:tcPr>
          <w:p w14:paraId="6CBD942C" w14:textId="77777777" w:rsidR="0086522A" w:rsidRPr="00BD2EC8" w:rsidRDefault="0086522A" w:rsidP="00140558">
            <w:pPr>
              <w:spacing w:before="40" w:after="40"/>
              <w:jc w:val="center"/>
              <w:rPr>
                <w:sz w:val="20"/>
                <w:szCs w:val="20"/>
              </w:rPr>
            </w:pPr>
            <w:r>
              <w:rPr>
                <w:sz w:val="20"/>
                <w:szCs w:val="20"/>
              </w:rPr>
              <w:t>43.62</w:t>
            </w:r>
            <w:r w:rsidRPr="00BD2EC8">
              <w:rPr>
                <w:sz w:val="20"/>
                <w:szCs w:val="20"/>
              </w:rPr>
              <w:t>%</w:t>
            </w:r>
            <w:r>
              <w:rPr>
                <w:sz w:val="20"/>
                <w:szCs w:val="20"/>
              </w:rPr>
              <w:t xml:space="preserve"> (23.95)</w:t>
            </w:r>
          </w:p>
        </w:tc>
        <w:tc>
          <w:tcPr>
            <w:tcW w:w="2994" w:type="dxa"/>
            <w:vAlign w:val="center"/>
          </w:tcPr>
          <w:p w14:paraId="3FEA3EF7" w14:textId="77777777" w:rsidR="0086522A" w:rsidRPr="00BD2EC8" w:rsidRDefault="0086522A" w:rsidP="00140558">
            <w:pPr>
              <w:spacing w:before="40" w:after="40"/>
              <w:jc w:val="center"/>
              <w:rPr>
                <w:sz w:val="20"/>
                <w:szCs w:val="20"/>
                <w:lang w:eastAsia="ko-KR"/>
              </w:rPr>
            </w:pPr>
            <w:proofErr w:type="gramStart"/>
            <w:r w:rsidRPr="00BD2EC8">
              <w:rPr>
                <w:i/>
                <w:iCs/>
                <w:sz w:val="20"/>
                <w:szCs w:val="20"/>
                <w:lang w:eastAsia="ko-KR"/>
              </w:rPr>
              <w:t>t</w:t>
            </w:r>
            <w:r w:rsidRPr="00BD2EC8">
              <w:rPr>
                <w:sz w:val="20"/>
                <w:szCs w:val="20"/>
                <w:lang w:eastAsia="ko-KR"/>
              </w:rPr>
              <w:t>(</w:t>
            </w:r>
            <w:proofErr w:type="gramEnd"/>
            <w:r>
              <w:rPr>
                <w:sz w:val="20"/>
                <w:szCs w:val="20"/>
                <w:lang w:eastAsia="ko-KR"/>
              </w:rPr>
              <w:t>294</w:t>
            </w:r>
            <w:r w:rsidRPr="00BD2EC8">
              <w:rPr>
                <w:sz w:val="20"/>
                <w:szCs w:val="20"/>
                <w:lang w:eastAsia="ko-KR"/>
              </w:rPr>
              <w:t>) = 11.</w:t>
            </w:r>
            <w:r>
              <w:rPr>
                <w:sz w:val="20"/>
                <w:szCs w:val="20"/>
                <w:lang w:eastAsia="ko-KR"/>
              </w:rPr>
              <w:t>91</w:t>
            </w:r>
            <w:r w:rsidRPr="00BD2EC8">
              <w:rPr>
                <w:sz w:val="20"/>
                <w:szCs w:val="20"/>
                <w:lang w:eastAsia="ko-KR"/>
              </w:rPr>
              <w:t xml:space="preserve">, </w:t>
            </w:r>
            <w:r w:rsidRPr="00BD2EC8">
              <w:rPr>
                <w:i/>
                <w:iCs/>
                <w:sz w:val="20"/>
                <w:szCs w:val="20"/>
                <w:lang w:eastAsia="ko-KR"/>
              </w:rPr>
              <w:t>p</w:t>
            </w:r>
            <w:r w:rsidRPr="00BD2EC8">
              <w:rPr>
                <w:sz w:val="20"/>
                <w:szCs w:val="20"/>
                <w:lang w:eastAsia="ko-KR"/>
              </w:rPr>
              <w:t xml:space="preserve"> &lt; .001, </w:t>
            </w:r>
            <w:r w:rsidRPr="00BD2EC8">
              <w:rPr>
                <w:i/>
                <w:iCs/>
                <w:sz w:val="20"/>
                <w:szCs w:val="20"/>
                <w:lang w:eastAsia="ko-KR"/>
              </w:rPr>
              <w:t>d</w:t>
            </w:r>
            <w:r w:rsidRPr="00BD2EC8">
              <w:rPr>
                <w:sz w:val="20"/>
                <w:szCs w:val="20"/>
                <w:lang w:eastAsia="ko-KR"/>
              </w:rPr>
              <w:t xml:space="preserve"> = </w:t>
            </w:r>
            <w:r>
              <w:rPr>
                <w:sz w:val="20"/>
                <w:szCs w:val="20"/>
                <w:lang w:eastAsia="ko-KR"/>
              </w:rPr>
              <w:t>0.69</w:t>
            </w:r>
          </w:p>
        </w:tc>
      </w:tr>
    </w:tbl>
    <w:p w14:paraId="4373ED13" w14:textId="77777777" w:rsidR="0086522A" w:rsidRDefault="0086522A" w:rsidP="00140558">
      <w:pPr>
        <w:rPr>
          <w:b/>
          <w:bCs/>
        </w:rPr>
        <w:sectPr w:rsidR="0086522A" w:rsidSect="00140558">
          <w:endnotePr>
            <w:numFmt w:val="decimal"/>
          </w:endnotePr>
          <w:pgSz w:w="15840" w:h="12240" w:orient="landscape"/>
          <w:pgMar w:top="1440" w:right="1440" w:bottom="1440" w:left="1440" w:header="720" w:footer="720" w:gutter="0"/>
          <w:cols w:space="720"/>
          <w:docGrid w:linePitch="326"/>
        </w:sectPr>
      </w:pPr>
    </w:p>
    <w:p w14:paraId="515AC359" w14:textId="77777777" w:rsidR="0086522A" w:rsidRPr="00F946E1" w:rsidRDefault="0086522A" w:rsidP="00140558">
      <w:pPr>
        <w:spacing w:line="480" w:lineRule="auto"/>
        <w:jc w:val="center"/>
        <w:rPr>
          <w:b/>
          <w:bCs/>
        </w:rPr>
      </w:pPr>
      <w:r w:rsidRPr="00F946E1">
        <w:rPr>
          <w:b/>
          <w:bCs/>
        </w:rPr>
        <w:lastRenderedPageBreak/>
        <w:t>TABLE</w:t>
      </w:r>
      <w:r>
        <w:rPr>
          <w:b/>
          <w:bCs/>
        </w:rPr>
        <w:t xml:space="preserve"> 2</w:t>
      </w:r>
    </w:p>
    <w:p w14:paraId="2205182F" w14:textId="77777777" w:rsidR="0086522A" w:rsidRPr="00BB18FF" w:rsidRDefault="0086522A" w:rsidP="00140558">
      <w:pPr>
        <w:spacing w:line="480" w:lineRule="auto"/>
        <w:jc w:val="center"/>
        <w:rPr>
          <w:rFonts w:ascii="Times New Roman Bold" w:hAnsi="Times New Roman Bold"/>
          <w:b/>
          <w:bCs/>
          <w:caps/>
        </w:rPr>
      </w:pPr>
      <w:r w:rsidRPr="002529B3">
        <w:rPr>
          <w:rFonts w:ascii="Times New Roman Bold" w:hAnsi="Times New Roman Bold"/>
          <w:b/>
          <w:bCs/>
          <w:caps/>
        </w:rPr>
        <w:t>Compensation-Related Events of MBA Alumni in Study 2</w:t>
      </w:r>
      <w:r>
        <w:rPr>
          <w:rFonts w:ascii="Times New Roman Bold" w:hAnsi="Times New Roman Bold"/>
          <w:b/>
          <w:bCs/>
          <w:caps/>
        </w:rPr>
        <w:t>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3811"/>
        <w:gridCol w:w="1276"/>
        <w:gridCol w:w="1134"/>
        <w:gridCol w:w="1842"/>
        <w:gridCol w:w="2835"/>
      </w:tblGrid>
      <w:tr w:rsidR="0086522A" w:rsidRPr="000B2FB8" w14:paraId="6276AD8F" w14:textId="77777777" w:rsidTr="00140558">
        <w:trPr>
          <w:trHeight w:val="281"/>
        </w:trPr>
        <w:tc>
          <w:tcPr>
            <w:tcW w:w="1005" w:type="dxa"/>
            <w:vMerge w:val="restart"/>
            <w:vAlign w:val="center"/>
          </w:tcPr>
          <w:p w14:paraId="387D774D" w14:textId="77777777" w:rsidR="0086522A" w:rsidRPr="000B2FB8" w:rsidRDefault="0086522A" w:rsidP="00140558">
            <w:pPr>
              <w:spacing w:before="40" w:after="40"/>
              <w:rPr>
                <w:sz w:val="20"/>
                <w:szCs w:val="20"/>
              </w:rPr>
            </w:pPr>
            <w:r>
              <w:rPr>
                <w:b/>
                <w:sz w:val="20"/>
                <w:szCs w:val="20"/>
              </w:rPr>
              <w:t>Asking Category</w:t>
            </w:r>
            <w:r w:rsidRPr="000B2FB8">
              <w:rPr>
                <w:b/>
                <w:sz w:val="20"/>
                <w:szCs w:val="20"/>
              </w:rPr>
              <w:t xml:space="preserve"> </w:t>
            </w:r>
          </w:p>
        </w:tc>
        <w:tc>
          <w:tcPr>
            <w:tcW w:w="3811" w:type="dxa"/>
            <w:vMerge w:val="restart"/>
            <w:vAlign w:val="center"/>
          </w:tcPr>
          <w:p w14:paraId="40568F9A" w14:textId="77777777" w:rsidR="0086522A" w:rsidRPr="000B2FB8" w:rsidRDefault="0086522A" w:rsidP="00140558">
            <w:pPr>
              <w:spacing w:before="40" w:after="40"/>
              <w:rPr>
                <w:sz w:val="20"/>
                <w:szCs w:val="20"/>
              </w:rPr>
            </w:pPr>
            <w:r w:rsidRPr="000B2FB8">
              <w:rPr>
                <w:b/>
                <w:sz w:val="20"/>
                <w:szCs w:val="20"/>
              </w:rPr>
              <w:t>Specific Event</w:t>
            </w:r>
          </w:p>
        </w:tc>
        <w:tc>
          <w:tcPr>
            <w:tcW w:w="2410" w:type="dxa"/>
            <w:gridSpan w:val="2"/>
            <w:tcBorders>
              <w:top w:val="single" w:sz="4" w:space="0" w:color="auto"/>
              <w:bottom w:val="single" w:sz="4" w:space="0" w:color="auto"/>
            </w:tcBorders>
          </w:tcPr>
          <w:p w14:paraId="53CFDD7D" w14:textId="77777777" w:rsidR="0086522A" w:rsidRPr="000B2FB8" w:rsidRDefault="0086522A" w:rsidP="00140558">
            <w:pPr>
              <w:spacing w:before="40" w:after="40"/>
              <w:jc w:val="center"/>
              <w:rPr>
                <w:b/>
                <w:sz w:val="20"/>
                <w:szCs w:val="20"/>
              </w:rPr>
            </w:pPr>
            <w:r w:rsidRPr="000B2FB8">
              <w:rPr>
                <w:b/>
                <w:sz w:val="20"/>
                <w:szCs w:val="20"/>
              </w:rPr>
              <w:t>MBA Alumni</w:t>
            </w:r>
          </w:p>
        </w:tc>
        <w:tc>
          <w:tcPr>
            <w:tcW w:w="1842" w:type="dxa"/>
            <w:vMerge w:val="restart"/>
            <w:vAlign w:val="center"/>
          </w:tcPr>
          <w:p w14:paraId="6870D661" w14:textId="77777777" w:rsidR="0086522A" w:rsidRDefault="0086522A" w:rsidP="00140558">
            <w:pPr>
              <w:spacing w:before="40" w:after="40"/>
              <w:jc w:val="center"/>
              <w:rPr>
                <w:b/>
                <w:bCs/>
                <w:sz w:val="20"/>
                <w:szCs w:val="20"/>
              </w:rPr>
            </w:pPr>
            <w:r>
              <w:rPr>
                <w:b/>
                <w:bCs/>
                <w:sz w:val="20"/>
                <w:szCs w:val="20"/>
              </w:rPr>
              <w:t>Gender</w:t>
            </w:r>
          </w:p>
          <w:p w14:paraId="4BDD3C80" w14:textId="77777777" w:rsidR="0086522A" w:rsidRPr="000B2FB8" w:rsidRDefault="0086522A" w:rsidP="00140558">
            <w:pPr>
              <w:spacing w:before="40" w:after="40"/>
              <w:jc w:val="center"/>
              <w:rPr>
                <w:b/>
                <w:sz w:val="20"/>
                <w:szCs w:val="20"/>
              </w:rPr>
            </w:pPr>
            <w:r w:rsidRPr="000B2FB8">
              <w:rPr>
                <w:b/>
                <w:bCs/>
                <w:sz w:val="20"/>
                <w:szCs w:val="20"/>
              </w:rPr>
              <w:t>Comparison</w:t>
            </w:r>
          </w:p>
        </w:tc>
        <w:tc>
          <w:tcPr>
            <w:tcW w:w="2835" w:type="dxa"/>
            <w:vMerge w:val="restart"/>
            <w:vAlign w:val="center"/>
          </w:tcPr>
          <w:p w14:paraId="0166DE9C" w14:textId="77777777" w:rsidR="0086522A" w:rsidRPr="000B2FB8" w:rsidRDefault="0086522A" w:rsidP="00140558">
            <w:pPr>
              <w:spacing w:before="40" w:after="40"/>
              <w:jc w:val="center"/>
              <w:rPr>
                <w:b/>
                <w:sz w:val="20"/>
                <w:szCs w:val="20"/>
              </w:rPr>
            </w:pPr>
            <w:r>
              <w:rPr>
                <w:b/>
                <w:bCs/>
                <w:sz w:val="20"/>
                <w:szCs w:val="20"/>
              </w:rPr>
              <w:t>Correlation with Compensation</w:t>
            </w:r>
          </w:p>
        </w:tc>
      </w:tr>
      <w:tr w:rsidR="0086522A" w:rsidRPr="000B2FB8" w14:paraId="1D0C52C7" w14:textId="77777777" w:rsidTr="00140558">
        <w:trPr>
          <w:trHeight w:val="271"/>
        </w:trPr>
        <w:tc>
          <w:tcPr>
            <w:tcW w:w="1005" w:type="dxa"/>
            <w:vMerge/>
            <w:tcBorders>
              <w:bottom w:val="single" w:sz="4" w:space="0" w:color="auto"/>
            </w:tcBorders>
            <w:vAlign w:val="center"/>
          </w:tcPr>
          <w:p w14:paraId="7DED2B33" w14:textId="77777777" w:rsidR="0086522A" w:rsidRPr="000B2FB8" w:rsidRDefault="0086522A" w:rsidP="00140558">
            <w:pPr>
              <w:spacing w:before="40" w:after="40"/>
              <w:rPr>
                <w:b/>
                <w:sz w:val="20"/>
                <w:szCs w:val="20"/>
              </w:rPr>
            </w:pPr>
          </w:p>
        </w:tc>
        <w:tc>
          <w:tcPr>
            <w:tcW w:w="3811" w:type="dxa"/>
            <w:vMerge/>
            <w:tcBorders>
              <w:bottom w:val="single" w:sz="4" w:space="0" w:color="auto"/>
            </w:tcBorders>
          </w:tcPr>
          <w:p w14:paraId="0E9F508C" w14:textId="77777777" w:rsidR="0086522A" w:rsidRPr="000B2FB8" w:rsidRDefault="0086522A" w:rsidP="00140558">
            <w:pPr>
              <w:spacing w:before="40" w:after="40"/>
              <w:rPr>
                <w:b/>
                <w:sz w:val="20"/>
                <w:szCs w:val="20"/>
              </w:rPr>
            </w:pPr>
          </w:p>
        </w:tc>
        <w:tc>
          <w:tcPr>
            <w:tcW w:w="1276" w:type="dxa"/>
            <w:tcBorders>
              <w:top w:val="nil"/>
              <w:bottom w:val="single" w:sz="4" w:space="0" w:color="auto"/>
            </w:tcBorders>
          </w:tcPr>
          <w:p w14:paraId="10E1B8A5" w14:textId="77777777" w:rsidR="0086522A" w:rsidRPr="000B2FB8" w:rsidRDefault="0086522A" w:rsidP="00140558">
            <w:pPr>
              <w:spacing w:before="40" w:after="40"/>
              <w:jc w:val="center"/>
              <w:rPr>
                <w:b/>
                <w:bCs/>
                <w:sz w:val="20"/>
                <w:szCs w:val="20"/>
              </w:rPr>
            </w:pPr>
            <w:r w:rsidRPr="000B2FB8">
              <w:rPr>
                <w:b/>
                <w:bCs/>
                <w:sz w:val="20"/>
                <w:szCs w:val="20"/>
              </w:rPr>
              <w:t>Men</w:t>
            </w:r>
          </w:p>
          <w:p w14:paraId="3E7544BE" w14:textId="77777777" w:rsidR="0086522A" w:rsidRPr="000B2FB8" w:rsidRDefault="0086522A" w:rsidP="00140558">
            <w:pPr>
              <w:spacing w:before="40" w:after="40"/>
              <w:jc w:val="center"/>
              <w:rPr>
                <w:b/>
                <w:bCs/>
                <w:sz w:val="20"/>
                <w:szCs w:val="20"/>
              </w:rPr>
            </w:pPr>
            <w:r w:rsidRPr="000B2FB8">
              <w:rPr>
                <w:b/>
                <w:bCs/>
                <w:sz w:val="20"/>
                <w:szCs w:val="20"/>
              </w:rPr>
              <w:t>(N = 1,</w:t>
            </w:r>
            <w:r>
              <w:rPr>
                <w:b/>
                <w:bCs/>
                <w:sz w:val="20"/>
                <w:szCs w:val="20"/>
              </w:rPr>
              <w:t>388</w:t>
            </w:r>
            <w:r w:rsidRPr="000B2FB8">
              <w:rPr>
                <w:b/>
                <w:bCs/>
                <w:sz w:val="20"/>
                <w:szCs w:val="20"/>
              </w:rPr>
              <w:t>)</w:t>
            </w:r>
          </w:p>
        </w:tc>
        <w:tc>
          <w:tcPr>
            <w:tcW w:w="1134" w:type="dxa"/>
            <w:tcBorders>
              <w:top w:val="nil"/>
              <w:bottom w:val="single" w:sz="4" w:space="0" w:color="auto"/>
            </w:tcBorders>
          </w:tcPr>
          <w:p w14:paraId="33DB0CB5" w14:textId="77777777" w:rsidR="0086522A" w:rsidRPr="000B2FB8" w:rsidRDefault="0086522A" w:rsidP="00140558">
            <w:pPr>
              <w:spacing w:before="40" w:after="40"/>
              <w:jc w:val="center"/>
              <w:rPr>
                <w:b/>
                <w:bCs/>
                <w:sz w:val="20"/>
                <w:szCs w:val="20"/>
              </w:rPr>
            </w:pPr>
            <w:r w:rsidRPr="000B2FB8">
              <w:rPr>
                <w:b/>
                <w:bCs/>
                <w:sz w:val="20"/>
                <w:szCs w:val="20"/>
              </w:rPr>
              <w:t>Women</w:t>
            </w:r>
          </w:p>
          <w:p w14:paraId="758353DE" w14:textId="77777777" w:rsidR="0086522A" w:rsidRPr="000B2FB8" w:rsidRDefault="0086522A" w:rsidP="00140558">
            <w:pPr>
              <w:spacing w:before="40" w:after="40"/>
              <w:jc w:val="center"/>
              <w:rPr>
                <w:b/>
                <w:bCs/>
                <w:sz w:val="20"/>
                <w:szCs w:val="20"/>
              </w:rPr>
            </w:pPr>
            <w:r w:rsidRPr="000B2FB8">
              <w:rPr>
                <w:b/>
                <w:bCs/>
                <w:sz w:val="20"/>
                <w:szCs w:val="20"/>
              </w:rPr>
              <w:t>(N = 55</w:t>
            </w:r>
            <w:r>
              <w:rPr>
                <w:b/>
                <w:bCs/>
                <w:sz w:val="20"/>
                <w:szCs w:val="20"/>
              </w:rPr>
              <w:t>1</w:t>
            </w:r>
            <w:r w:rsidRPr="000B2FB8">
              <w:rPr>
                <w:b/>
                <w:bCs/>
                <w:sz w:val="20"/>
                <w:szCs w:val="20"/>
              </w:rPr>
              <w:t>)</w:t>
            </w:r>
          </w:p>
        </w:tc>
        <w:tc>
          <w:tcPr>
            <w:tcW w:w="1842" w:type="dxa"/>
            <w:vMerge/>
            <w:tcBorders>
              <w:bottom w:val="single" w:sz="4" w:space="0" w:color="auto"/>
            </w:tcBorders>
          </w:tcPr>
          <w:p w14:paraId="4A355CDD" w14:textId="77777777" w:rsidR="0086522A" w:rsidRPr="000B2FB8" w:rsidRDefault="0086522A" w:rsidP="00140558">
            <w:pPr>
              <w:spacing w:before="40" w:after="40"/>
              <w:jc w:val="center"/>
              <w:rPr>
                <w:b/>
                <w:bCs/>
                <w:sz w:val="20"/>
                <w:szCs w:val="20"/>
              </w:rPr>
            </w:pPr>
          </w:p>
        </w:tc>
        <w:tc>
          <w:tcPr>
            <w:tcW w:w="2835" w:type="dxa"/>
            <w:vMerge/>
            <w:tcBorders>
              <w:bottom w:val="single" w:sz="4" w:space="0" w:color="auto"/>
            </w:tcBorders>
          </w:tcPr>
          <w:p w14:paraId="7C3875CE" w14:textId="77777777" w:rsidR="0086522A" w:rsidRPr="000B2FB8" w:rsidRDefault="0086522A" w:rsidP="00140558">
            <w:pPr>
              <w:spacing w:before="40" w:after="40"/>
              <w:jc w:val="center"/>
              <w:rPr>
                <w:b/>
                <w:bCs/>
                <w:sz w:val="20"/>
                <w:szCs w:val="20"/>
              </w:rPr>
            </w:pPr>
          </w:p>
        </w:tc>
      </w:tr>
      <w:tr w:rsidR="0086522A" w:rsidRPr="000B2FB8" w14:paraId="6B4ED419" w14:textId="77777777" w:rsidTr="00140558">
        <w:trPr>
          <w:trHeight w:val="271"/>
        </w:trPr>
        <w:tc>
          <w:tcPr>
            <w:tcW w:w="4816" w:type="dxa"/>
            <w:gridSpan w:val="2"/>
            <w:tcBorders>
              <w:bottom w:val="single" w:sz="4" w:space="0" w:color="AEAAAA"/>
            </w:tcBorders>
          </w:tcPr>
          <w:p w14:paraId="7CD06858" w14:textId="77777777" w:rsidR="0086522A" w:rsidRPr="000B2FB8" w:rsidRDefault="0086522A" w:rsidP="00140558">
            <w:pPr>
              <w:spacing w:before="40" w:after="40"/>
              <w:rPr>
                <w:sz w:val="20"/>
                <w:szCs w:val="20"/>
              </w:rPr>
            </w:pPr>
            <w:r>
              <w:rPr>
                <w:sz w:val="20"/>
                <w:szCs w:val="20"/>
              </w:rPr>
              <w:t>All Asking Events</w:t>
            </w:r>
          </w:p>
        </w:tc>
        <w:tc>
          <w:tcPr>
            <w:tcW w:w="1276" w:type="dxa"/>
            <w:tcBorders>
              <w:top w:val="single" w:sz="4" w:space="0" w:color="auto"/>
              <w:bottom w:val="single" w:sz="4" w:space="0" w:color="AEAAAA"/>
            </w:tcBorders>
          </w:tcPr>
          <w:p w14:paraId="623FDFD1" w14:textId="77777777" w:rsidR="0086522A" w:rsidRPr="000B2FB8" w:rsidRDefault="0086522A" w:rsidP="00140558">
            <w:pPr>
              <w:spacing w:before="40" w:after="40"/>
              <w:jc w:val="center"/>
              <w:rPr>
                <w:sz w:val="20"/>
                <w:szCs w:val="20"/>
              </w:rPr>
            </w:pPr>
            <w:r w:rsidRPr="000B2FB8">
              <w:rPr>
                <w:sz w:val="20"/>
                <w:szCs w:val="20"/>
              </w:rPr>
              <w:t>59.1</w:t>
            </w:r>
            <w:r>
              <w:rPr>
                <w:sz w:val="20"/>
                <w:szCs w:val="20"/>
              </w:rPr>
              <w:t>5</w:t>
            </w:r>
            <w:r w:rsidRPr="000B2FB8">
              <w:rPr>
                <w:sz w:val="20"/>
                <w:szCs w:val="20"/>
              </w:rPr>
              <w:t>%</w:t>
            </w:r>
          </w:p>
        </w:tc>
        <w:tc>
          <w:tcPr>
            <w:tcW w:w="1134" w:type="dxa"/>
            <w:tcBorders>
              <w:top w:val="single" w:sz="4" w:space="0" w:color="auto"/>
              <w:bottom w:val="single" w:sz="4" w:space="0" w:color="A6A6A6"/>
            </w:tcBorders>
          </w:tcPr>
          <w:p w14:paraId="477A4BD6" w14:textId="77777777" w:rsidR="0086522A" w:rsidRPr="000B2FB8" w:rsidRDefault="0086522A" w:rsidP="00140558">
            <w:pPr>
              <w:spacing w:before="40" w:after="40"/>
              <w:jc w:val="center"/>
              <w:rPr>
                <w:sz w:val="20"/>
                <w:szCs w:val="20"/>
              </w:rPr>
            </w:pPr>
            <w:r w:rsidRPr="000B2FB8">
              <w:rPr>
                <w:sz w:val="20"/>
                <w:szCs w:val="20"/>
              </w:rPr>
              <w:t>6</w:t>
            </w:r>
            <w:r>
              <w:rPr>
                <w:sz w:val="20"/>
                <w:szCs w:val="20"/>
              </w:rPr>
              <w:t>4</w:t>
            </w:r>
            <w:r w:rsidRPr="000B2FB8">
              <w:rPr>
                <w:sz w:val="20"/>
                <w:szCs w:val="20"/>
              </w:rPr>
              <w:t>.</w:t>
            </w:r>
            <w:r>
              <w:rPr>
                <w:sz w:val="20"/>
                <w:szCs w:val="20"/>
              </w:rPr>
              <w:t>07</w:t>
            </w:r>
            <w:r w:rsidRPr="000B2FB8">
              <w:rPr>
                <w:sz w:val="20"/>
                <w:szCs w:val="20"/>
              </w:rPr>
              <w:t>%</w:t>
            </w:r>
          </w:p>
        </w:tc>
        <w:tc>
          <w:tcPr>
            <w:tcW w:w="1842" w:type="dxa"/>
            <w:tcBorders>
              <w:top w:val="single" w:sz="4" w:space="0" w:color="auto"/>
              <w:bottom w:val="single" w:sz="4" w:space="0" w:color="A6A6A6"/>
            </w:tcBorders>
          </w:tcPr>
          <w:p w14:paraId="39BC34B2" w14:textId="77777777" w:rsidR="0086522A" w:rsidRPr="000B2FB8" w:rsidRDefault="0086522A" w:rsidP="00140558">
            <w:pPr>
              <w:spacing w:before="40" w:after="40"/>
              <w:jc w:val="center"/>
              <w:rPr>
                <w:i/>
                <w:iCs/>
                <w:sz w:val="20"/>
                <w:szCs w:val="20"/>
              </w:rPr>
            </w:pPr>
            <w:r w:rsidRPr="000B2FB8">
              <w:rPr>
                <w:sz w:val="20"/>
                <w:szCs w:val="20"/>
              </w:rPr>
              <w:sym w:font="Symbol" w:char="F063"/>
            </w:r>
            <w:r w:rsidRPr="000B2FB8">
              <w:rPr>
                <w:sz w:val="20"/>
                <w:szCs w:val="20"/>
                <w:vertAlign w:val="superscript"/>
              </w:rPr>
              <w:t xml:space="preserve">2 </w:t>
            </w:r>
            <w:r w:rsidRPr="000B2FB8">
              <w:rPr>
                <w:sz w:val="20"/>
                <w:szCs w:val="20"/>
              </w:rPr>
              <w:t>= 3.</w:t>
            </w:r>
            <w:r>
              <w:rPr>
                <w:sz w:val="20"/>
                <w:szCs w:val="20"/>
              </w:rPr>
              <w:t>99</w:t>
            </w:r>
            <w:r w:rsidRPr="000B2FB8">
              <w:rPr>
                <w:sz w:val="20"/>
                <w:szCs w:val="20"/>
              </w:rPr>
              <w:t xml:space="preserve">, </w:t>
            </w:r>
            <w:r w:rsidRPr="000B2FB8">
              <w:rPr>
                <w:i/>
                <w:sz w:val="20"/>
                <w:szCs w:val="20"/>
              </w:rPr>
              <w:t>p</w:t>
            </w:r>
            <w:r w:rsidRPr="000B2FB8">
              <w:rPr>
                <w:sz w:val="20"/>
                <w:szCs w:val="20"/>
              </w:rPr>
              <w:t xml:space="preserve"> = .0</w:t>
            </w:r>
            <w:r>
              <w:rPr>
                <w:sz w:val="20"/>
                <w:szCs w:val="20"/>
              </w:rPr>
              <w:t>46</w:t>
            </w:r>
          </w:p>
        </w:tc>
        <w:tc>
          <w:tcPr>
            <w:tcW w:w="2835" w:type="dxa"/>
            <w:tcBorders>
              <w:top w:val="single" w:sz="4" w:space="0" w:color="auto"/>
              <w:bottom w:val="single" w:sz="4" w:space="0" w:color="A6A6A6"/>
            </w:tcBorders>
          </w:tcPr>
          <w:p w14:paraId="043E7659"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.05, </w:t>
            </w:r>
            <w:r w:rsidRPr="000B2FB8">
              <w:rPr>
                <w:i/>
                <w:sz w:val="20"/>
                <w:szCs w:val="20"/>
              </w:rPr>
              <w:t>p</w:t>
            </w:r>
            <w:r>
              <w:rPr>
                <w:sz w:val="20"/>
                <w:szCs w:val="20"/>
              </w:rPr>
              <w:t xml:space="preserve"> = .031</w:t>
            </w:r>
          </w:p>
        </w:tc>
      </w:tr>
      <w:tr w:rsidR="0086522A" w:rsidRPr="000B2FB8" w14:paraId="29041869" w14:textId="77777777" w:rsidTr="00140558">
        <w:trPr>
          <w:trHeight w:val="271"/>
        </w:trPr>
        <w:tc>
          <w:tcPr>
            <w:tcW w:w="1005" w:type="dxa"/>
            <w:tcBorders>
              <w:top w:val="single" w:sz="4" w:space="0" w:color="AEAAAA"/>
            </w:tcBorders>
          </w:tcPr>
          <w:p w14:paraId="4A2BC3E2" w14:textId="77777777" w:rsidR="0086522A" w:rsidRPr="000B2FB8" w:rsidRDefault="0086522A" w:rsidP="00140558">
            <w:pPr>
              <w:spacing w:before="40" w:after="40"/>
              <w:jc w:val="right"/>
              <w:rPr>
                <w:sz w:val="20"/>
                <w:szCs w:val="20"/>
              </w:rPr>
            </w:pPr>
          </w:p>
        </w:tc>
        <w:tc>
          <w:tcPr>
            <w:tcW w:w="3811" w:type="dxa"/>
            <w:tcBorders>
              <w:top w:val="single" w:sz="4" w:space="0" w:color="AEAAAA"/>
              <w:bottom w:val="nil"/>
            </w:tcBorders>
          </w:tcPr>
          <w:p w14:paraId="0C06983C" w14:textId="77777777" w:rsidR="0086522A" w:rsidRPr="00E21EFC" w:rsidRDefault="0086522A" w:rsidP="00140558">
            <w:pPr>
              <w:spacing w:before="40" w:after="40"/>
              <w:rPr>
                <w:b/>
                <w:bCs/>
                <w:i/>
                <w:iCs/>
                <w:sz w:val="20"/>
                <w:szCs w:val="20"/>
              </w:rPr>
            </w:pPr>
            <w:r>
              <w:rPr>
                <w:b/>
                <w:bCs/>
                <w:i/>
                <w:iCs/>
                <w:sz w:val="20"/>
                <w:szCs w:val="20"/>
              </w:rPr>
              <w:t>Positive Outcome from Asking Events</w:t>
            </w:r>
          </w:p>
        </w:tc>
        <w:tc>
          <w:tcPr>
            <w:tcW w:w="1276" w:type="dxa"/>
            <w:tcBorders>
              <w:top w:val="single" w:sz="4" w:space="0" w:color="AEAAAA"/>
              <w:bottom w:val="nil"/>
            </w:tcBorders>
          </w:tcPr>
          <w:p w14:paraId="740AF52F" w14:textId="77777777" w:rsidR="0086522A" w:rsidRPr="000B2FB8" w:rsidRDefault="0086522A" w:rsidP="00140558">
            <w:pPr>
              <w:spacing w:before="40" w:after="40"/>
              <w:jc w:val="center"/>
              <w:rPr>
                <w:sz w:val="20"/>
                <w:szCs w:val="20"/>
              </w:rPr>
            </w:pPr>
          </w:p>
        </w:tc>
        <w:tc>
          <w:tcPr>
            <w:tcW w:w="1134" w:type="dxa"/>
            <w:tcBorders>
              <w:top w:val="single" w:sz="4" w:space="0" w:color="A6A6A6"/>
              <w:bottom w:val="nil"/>
            </w:tcBorders>
          </w:tcPr>
          <w:p w14:paraId="636CFF89" w14:textId="77777777" w:rsidR="0086522A" w:rsidRPr="000B2FB8" w:rsidRDefault="0086522A" w:rsidP="00140558">
            <w:pPr>
              <w:spacing w:before="40" w:after="40"/>
              <w:jc w:val="center"/>
              <w:rPr>
                <w:sz w:val="20"/>
                <w:szCs w:val="20"/>
              </w:rPr>
            </w:pPr>
          </w:p>
        </w:tc>
        <w:tc>
          <w:tcPr>
            <w:tcW w:w="1842" w:type="dxa"/>
            <w:tcBorders>
              <w:top w:val="single" w:sz="4" w:space="0" w:color="A6A6A6"/>
              <w:bottom w:val="nil"/>
            </w:tcBorders>
          </w:tcPr>
          <w:p w14:paraId="67942786" w14:textId="77777777" w:rsidR="0086522A" w:rsidRPr="000B2FB8" w:rsidRDefault="0086522A" w:rsidP="00140558">
            <w:pPr>
              <w:spacing w:before="40" w:after="40"/>
              <w:ind w:left="-378" w:right="-350"/>
              <w:jc w:val="center"/>
              <w:rPr>
                <w:sz w:val="20"/>
                <w:szCs w:val="20"/>
              </w:rPr>
            </w:pPr>
          </w:p>
        </w:tc>
        <w:tc>
          <w:tcPr>
            <w:tcW w:w="2835" w:type="dxa"/>
            <w:tcBorders>
              <w:top w:val="single" w:sz="4" w:space="0" w:color="A6A6A6"/>
              <w:bottom w:val="nil"/>
            </w:tcBorders>
          </w:tcPr>
          <w:p w14:paraId="39BD2A14" w14:textId="77777777" w:rsidR="0086522A" w:rsidRPr="000B2FB8" w:rsidRDefault="0086522A" w:rsidP="00140558">
            <w:pPr>
              <w:spacing w:before="40" w:after="40"/>
              <w:ind w:left="-378" w:right="-350"/>
              <w:jc w:val="center"/>
              <w:rPr>
                <w:sz w:val="20"/>
                <w:szCs w:val="20"/>
              </w:rPr>
            </w:pPr>
          </w:p>
        </w:tc>
      </w:tr>
      <w:tr w:rsidR="0086522A" w:rsidRPr="000B2FB8" w14:paraId="3C35D46E" w14:textId="77777777" w:rsidTr="00140558">
        <w:trPr>
          <w:trHeight w:val="271"/>
        </w:trPr>
        <w:tc>
          <w:tcPr>
            <w:tcW w:w="1005" w:type="dxa"/>
          </w:tcPr>
          <w:p w14:paraId="1D293123" w14:textId="77777777" w:rsidR="0086522A" w:rsidRPr="000B2FB8" w:rsidRDefault="0086522A" w:rsidP="00140558">
            <w:pPr>
              <w:spacing w:before="40" w:after="40"/>
              <w:jc w:val="right"/>
              <w:rPr>
                <w:sz w:val="20"/>
                <w:szCs w:val="20"/>
              </w:rPr>
            </w:pPr>
          </w:p>
        </w:tc>
        <w:tc>
          <w:tcPr>
            <w:tcW w:w="3811" w:type="dxa"/>
            <w:tcBorders>
              <w:top w:val="nil"/>
              <w:bottom w:val="nil"/>
            </w:tcBorders>
          </w:tcPr>
          <w:p w14:paraId="504EE002" w14:textId="77777777" w:rsidR="0086522A" w:rsidRPr="000B2FB8" w:rsidRDefault="0086522A" w:rsidP="00140558">
            <w:pPr>
              <w:spacing w:before="40" w:after="40"/>
              <w:rPr>
                <w:sz w:val="20"/>
                <w:szCs w:val="20"/>
              </w:rPr>
            </w:pPr>
            <w:r w:rsidRPr="000B2FB8">
              <w:rPr>
                <w:sz w:val="20"/>
                <w:szCs w:val="20"/>
              </w:rPr>
              <w:t>Successful promotion attempt</w:t>
            </w:r>
          </w:p>
        </w:tc>
        <w:tc>
          <w:tcPr>
            <w:tcW w:w="1276" w:type="dxa"/>
            <w:tcBorders>
              <w:top w:val="nil"/>
              <w:bottom w:val="nil"/>
            </w:tcBorders>
          </w:tcPr>
          <w:p w14:paraId="7CF493D3" w14:textId="77777777" w:rsidR="0086522A" w:rsidRPr="000B2FB8" w:rsidRDefault="0086522A" w:rsidP="00140558">
            <w:pPr>
              <w:spacing w:before="40" w:after="40"/>
              <w:jc w:val="center"/>
              <w:rPr>
                <w:sz w:val="20"/>
                <w:szCs w:val="20"/>
              </w:rPr>
            </w:pPr>
            <w:r w:rsidRPr="000B2FB8">
              <w:rPr>
                <w:sz w:val="20"/>
                <w:szCs w:val="20"/>
              </w:rPr>
              <w:t>42.</w:t>
            </w:r>
            <w:r>
              <w:rPr>
                <w:sz w:val="20"/>
                <w:szCs w:val="20"/>
              </w:rPr>
              <w:t>58</w:t>
            </w:r>
            <w:r w:rsidRPr="000B2FB8">
              <w:rPr>
                <w:sz w:val="20"/>
                <w:szCs w:val="20"/>
              </w:rPr>
              <w:t>%</w:t>
            </w:r>
          </w:p>
        </w:tc>
        <w:tc>
          <w:tcPr>
            <w:tcW w:w="1134" w:type="dxa"/>
            <w:tcBorders>
              <w:top w:val="nil"/>
              <w:bottom w:val="nil"/>
            </w:tcBorders>
          </w:tcPr>
          <w:p w14:paraId="4DD80375" w14:textId="77777777" w:rsidR="0086522A" w:rsidRPr="000B2FB8" w:rsidRDefault="0086522A" w:rsidP="00140558">
            <w:pPr>
              <w:spacing w:before="40" w:after="40"/>
              <w:jc w:val="center"/>
              <w:rPr>
                <w:sz w:val="20"/>
                <w:szCs w:val="20"/>
              </w:rPr>
            </w:pPr>
            <w:r w:rsidRPr="000B2FB8">
              <w:rPr>
                <w:sz w:val="20"/>
                <w:szCs w:val="20"/>
              </w:rPr>
              <w:t>44.</w:t>
            </w:r>
            <w:r>
              <w:rPr>
                <w:sz w:val="20"/>
                <w:szCs w:val="20"/>
              </w:rPr>
              <w:t>46</w:t>
            </w:r>
            <w:r w:rsidRPr="000B2FB8">
              <w:rPr>
                <w:sz w:val="20"/>
                <w:szCs w:val="20"/>
              </w:rPr>
              <w:t>%</w:t>
            </w:r>
          </w:p>
        </w:tc>
        <w:tc>
          <w:tcPr>
            <w:tcW w:w="1842" w:type="dxa"/>
            <w:tcBorders>
              <w:top w:val="nil"/>
              <w:bottom w:val="nil"/>
            </w:tcBorders>
          </w:tcPr>
          <w:p w14:paraId="73097871" w14:textId="77777777" w:rsidR="0086522A" w:rsidRPr="000B2FB8" w:rsidRDefault="0086522A" w:rsidP="00140558">
            <w:pPr>
              <w:spacing w:before="40" w:after="40"/>
              <w:jc w:val="center"/>
              <w:rPr>
                <w:sz w:val="20"/>
                <w:szCs w:val="20"/>
              </w:rPr>
            </w:pPr>
            <w:r w:rsidRPr="000B2FB8">
              <w:rPr>
                <w:sz w:val="20"/>
                <w:szCs w:val="20"/>
              </w:rPr>
              <w:sym w:font="Symbol" w:char="F063"/>
            </w:r>
            <w:r w:rsidRPr="000B2FB8">
              <w:rPr>
                <w:sz w:val="20"/>
                <w:szCs w:val="20"/>
                <w:vertAlign w:val="superscript"/>
              </w:rPr>
              <w:t>2</w:t>
            </w:r>
            <w:r w:rsidRPr="000B2FB8">
              <w:rPr>
                <w:sz w:val="20"/>
                <w:szCs w:val="20"/>
              </w:rPr>
              <w:t xml:space="preserve"> = 0.</w:t>
            </w:r>
            <w:r>
              <w:rPr>
                <w:sz w:val="20"/>
                <w:szCs w:val="20"/>
              </w:rPr>
              <w:t>57</w:t>
            </w:r>
            <w:r w:rsidRPr="000B2FB8">
              <w:rPr>
                <w:sz w:val="20"/>
                <w:szCs w:val="20"/>
              </w:rPr>
              <w:t xml:space="preserve">, </w:t>
            </w:r>
            <w:r w:rsidRPr="000B2FB8">
              <w:rPr>
                <w:i/>
                <w:iCs/>
                <w:sz w:val="20"/>
                <w:szCs w:val="20"/>
              </w:rPr>
              <w:t>p</w:t>
            </w:r>
            <w:r w:rsidRPr="000B2FB8">
              <w:rPr>
                <w:sz w:val="20"/>
                <w:szCs w:val="20"/>
              </w:rPr>
              <w:t xml:space="preserve"> = .</w:t>
            </w:r>
            <w:r>
              <w:rPr>
                <w:sz w:val="20"/>
                <w:szCs w:val="20"/>
              </w:rPr>
              <w:t>450</w:t>
            </w:r>
          </w:p>
        </w:tc>
        <w:tc>
          <w:tcPr>
            <w:tcW w:w="2835" w:type="dxa"/>
            <w:tcBorders>
              <w:top w:val="nil"/>
              <w:bottom w:val="nil"/>
            </w:tcBorders>
          </w:tcPr>
          <w:p w14:paraId="4D5E7831"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.09, </w:t>
            </w:r>
            <w:r w:rsidRPr="000B2FB8">
              <w:rPr>
                <w:i/>
                <w:sz w:val="20"/>
                <w:szCs w:val="20"/>
              </w:rPr>
              <w:t>p</w:t>
            </w:r>
            <w:r>
              <w:rPr>
                <w:sz w:val="20"/>
                <w:szCs w:val="20"/>
              </w:rPr>
              <w:t xml:space="preserve"> &lt; .001</w:t>
            </w:r>
          </w:p>
        </w:tc>
      </w:tr>
      <w:tr w:rsidR="0086522A" w:rsidRPr="000B2FB8" w14:paraId="3C51C06F" w14:textId="77777777" w:rsidTr="00140558">
        <w:trPr>
          <w:trHeight w:val="281"/>
        </w:trPr>
        <w:tc>
          <w:tcPr>
            <w:tcW w:w="1005" w:type="dxa"/>
          </w:tcPr>
          <w:p w14:paraId="782357A0" w14:textId="77777777" w:rsidR="0086522A" w:rsidRPr="000B2FB8" w:rsidRDefault="0086522A" w:rsidP="00140558">
            <w:pPr>
              <w:spacing w:before="40" w:after="40"/>
              <w:jc w:val="right"/>
              <w:rPr>
                <w:sz w:val="20"/>
                <w:szCs w:val="20"/>
              </w:rPr>
            </w:pPr>
          </w:p>
        </w:tc>
        <w:tc>
          <w:tcPr>
            <w:tcW w:w="3811" w:type="dxa"/>
            <w:tcBorders>
              <w:top w:val="nil"/>
              <w:bottom w:val="single" w:sz="4" w:space="0" w:color="A6A6A6" w:themeColor="background1" w:themeShade="A6"/>
            </w:tcBorders>
          </w:tcPr>
          <w:p w14:paraId="7EE582E4" w14:textId="77777777" w:rsidR="0086522A" w:rsidRPr="000B2FB8" w:rsidRDefault="0086522A" w:rsidP="00140558">
            <w:pPr>
              <w:spacing w:before="40" w:after="40"/>
              <w:rPr>
                <w:sz w:val="20"/>
                <w:szCs w:val="20"/>
              </w:rPr>
            </w:pPr>
            <w:r w:rsidRPr="000B2FB8">
              <w:rPr>
                <w:sz w:val="20"/>
                <w:szCs w:val="20"/>
              </w:rPr>
              <w:t>Successful negotiation attempt</w:t>
            </w:r>
          </w:p>
        </w:tc>
        <w:tc>
          <w:tcPr>
            <w:tcW w:w="1276" w:type="dxa"/>
            <w:tcBorders>
              <w:top w:val="nil"/>
              <w:bottom w:val="single" w:sz="4" w:space="0" w:color="A6A6A6" w:themeColor="background1" w:themeShade="A6"/>
            </w:tcBorders>
          </w:tcPr>
          <w:p w14:paraId="45DB6914" w14:textId="77777777" w:rsidR="0086522A" w:rsidRPr="000B2FB8" w:rsidRDefault="0086522A" w:rsidP="00140558">
            <w:pPr>
              <w:spacing w:before="40" w:after="40"/>
              <w:jc w:val="center"/>
              <w:rPr>
                <w:sz w:val="20"/>
                <w:szCs w:val="20"/>
              </w:rPr>
            </w:pPr>
            <w:r w:rsidRPr="000B2FB8">
              <w:rPr>
                <w:sz w:val="20"/>
                <w:szCs w:val="20"/>
              </w:rPr>
              <w:t>18.0</w:t>
            </w:r>
            <w:r>
              <w:rPr>
                <w:sz w:val="20"/>
                <w:szCs w:val="20"/>
              </w:rPr>
              <w:t>8</w:t>
            </w:r>
            <w:r w:rsidRPr="000B2FB8">
              <w:rPr>
                <w:sz w:val="20"/>
                <w:szCs w:val="20"/>
              </w:rPr>
              <w:t>%</w:t>
            </w:r>
          </w:p>
        </w:tc>
        <w:tc>
          <w:tcPr>
            <w:tcW w:w="1134" w:type="dxa"/>
            <w:tcBorders>
              <w:top w:val="nil"/>
              <w:bottom w:val="single" w:sz="4" w:space="0" w:color="A6A6A6" w:themeColor="background1" w:themeShade="A6"/>
            </w:tcBorders>
          </w:tcPr>
          <w:p w14:paraId="0D5AEEAC" w14:textId="77777777" w:rsidR="0086522A" w:rsidRPr="000B2FB8" w:rsidRDefault="0086522A" w:rsidP="00140558">
            <w:pPr>
              <w:spacing w:before="40" w:after="40"/>
              <w:jc w:val="center"/>
              <w:rPr>
                <w:sz w:val="20"/>
                <w:szCs w:val="20"/>
              </w:rPr>
            </w:pPr>
            <w:r w:rsidRPr="000B2FB8">
              <w:rPr>
                <w:sz w:val="20"/>
                <w:szCs w:val="20"/>
              </w:rPr>
              <w:t>21.</w:t>
            </w:r>
            <w:r>
              <w:rPr>
                <w:sz w:val="20"/>
                <w:szCs w:val="20"/>
              </w:rPr>
              <w:t>42</w:t>
            </w:r>
            <w:r w:rsidRPr="000B2FB8">
              <w:rPr>
                <w:sz w:val="20"/>
                <w:szCs w:val="20"/>
              </w:rPr>
              <w:t>%</w:t>
            </w:r>
          </w:p>
        </w:tc>
        <w:tc>
          <w:tcPr>
            <w:tcW w:w="1842" w:type="dxa"/>
            <w:tcBorders>
              <w:top w:val="nil"/>
              <w:bottom w:val="single" w:sz="4" w:space="0" w:color="A6A6A6" w:themeColor="background1" w:themeShade="A6"/>
            </w:tcBorders>
          </w:tcPr>
          <w:p w14:paraId="7482FE1E" w14:textId="77777777" w:rsidR="0086522A" w:rsidRPr="000B2FB8" w:rsidRDefault="0086522A" w:rsidP="00140558">
            <w:pPr>
              <w:spacing w:before="40" w:after="40"/>
              <w:jc w:val="center"/>
              <w:rPr>
                <w:sz w:val="20"/>
                <w:szCs w:val="20"/>
              </w:rPr>
            </w:pPr>
            <w:r w:rsidRPr="000B2FB8">
              <w:rPr>
                <w:sz w:val="20"/>
                <w:szCs w:val="20"/>
              </w:rPr>
              <w:sym w:font="Symbol" w:char="F063"/>
            </w:r>
            <w:r w:rsidRPr="000B2FB8">
              <w:rPr>
                <w:sz w:val="20"/>
                <w:szCs w:val="20"/>
                <w:vertAlign w:val="superscript"/>
              </w:rPr>
              <w:t>2</w:t>
            </w:r>
            <w:r w:rsidRPr="000B2FB8">
              <w:rPr>
                <w:sz w:val="20"/>
                <w:szCs w:val="20"/>
              </w:rPr>
              <w:t xml:space="preserve"> = 2.</w:t>
            </w:r>
            <w:r>
              <w:rPr>
                <w:sz w:val="20"/>
                <w:szCs w:val="20"/>
              </w:rPr>
              <w:t>8</w:t>
            </w:r>
            <w:r w:rsidRPr="000B2FB8">
              <w:rPr>
                <w:sz w:val="20"/>
                <w:szCs w:val="20"/>
              </w:rPr>
              <w:t xml:space="preserve">4, </w:t>
            </w:r>
            <w:r w:rsidRPr="000B2FB8">
              <w:rPr>
                <w:i/>
                <w:iCs/>
                <w:sz w:val="20"/>
                <w:szCs w:val="20"/>
              </w:rPr>
              <w:t>p</w:t>
            </w:r>
            <w:r w:rsidRPr="000B2FB8">
              <w:rPr>
                <w:sz w:val="20"/>
                <w:szCs w:val="20"/>
              </w:rPr>
              <w:t xml:space="preserve"> = .</w:t>
            </w:r>
            <w:r>
              <w:rPr>
                <w:sz w:val="20"/>
                <w:szCs w:val="20"/>
              </w:rPr>
              <w:t>092</w:t>
            </w:r>
          </w:p>
        </w:tc>
        <w:tc>
          <w:tcPr>
            <w:tcW w:w="2835" w:type="dxa"/>
            <w:tcBorders>
              <w:top w:val="nil"/>
              <w:bottom w:val="single" w:sz="4" w:space="0" w:color="A6A6A6" w:themeColor="background1" w:themeShade="A6"/>
            </w:tcBorders>
          </w:tcPr>
          <w:p w14:paraId="605BC998"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.01, </w:t>
            </w:r>
            <w:r w:rsidRPr="000B2FB8">
              <w:rPr>
                <w:i/>
                <w:sz w:val="20"/>
                <w:szCs w:val="20"/>
              </w:rPr>
              <w:t>p</w:t>
            </w:r>
            <w:r>
              <w:rPr>
                <w:sz w:val="20"/>
                <w:szCs w:val="20"/>
              </w:rPr>
              <w:t xml:space="preserve"> = .677</w:t>
            </w:r>
          </w:p>
        </w:tc>
      </w:tr>
      <w:tr w:rsidR="0086522A" w:rsidRPr="000B2FB8" w14:paraId="22EF3292" w14:textId="77777777" w:rsidTr="00140558">
        <w:trPr>
          <w:trHeight w:val="281"/>
        </w:trPr>
        <w:tc>
          <w:tcPr>
            <w:tcW w:w="1005" w:type="dxa"/>
          </w:tcPr>
          <w:p w14:paraId="2750319A" w14:textId="77777777" w:rsidR="0086522A" w:rsidRPr="000B2FB8" w:rsidRDefault="0086522A" w:rsidP="00140558">
            <w:pPr>
              <w:spacing w:before="40" w:after="40"/>
              <w:jc w:val="right"/>
              <w:rPr>
                <w:sz w:val="20"/>
                <w:szCs w:val="20"/>
              </w:rPr>
            </w:pPr>
          </w:p>
        </w:tc>
        <w:tc>
          <w:tcPr>
            <w:tcW w:w="3811" w:type="dxa"/>
            <w:tcBorders>
              <w:top w:val="single" w:sz="4" w:space="0" w:color="A6A6A6" w:themeColor="background1" w:themeShade="A6"/>
            </w:tcBorders>
          </w:tcPr>
          <w:p w14:paraId="4A8B9B2A" w14:textId="77777777" w:rsidR="0086522A" w:rsidRPr="00E21EFC" w:rsidRDefault="0086522A" w:rsidP="00140558">
            <w:pPr>
              <w:spacing w:before="40" w:after="40"/>
              <w:rPr>
                <w:b/>
                <w:bCs/>
                <w:i/>
                <w:iCs/>
                <w:sz w:val="20"/>
                <w:szCs w:val="20"/>
              </w:rPr>
            </w:pPr>
            <w:r>
              <w:rPr>
                <w:b/>
                <w:bCs/>
                <w:i/>
                <w:iCs/>
                <w:sz w:val="20"/>
                <w:szCs w:val="20"/>
              </w:rPr>
              <w:t>Negative Outcome from Asking Events</w:t>
            </w:r>
          </w:p>
        </w:tc>
        <w:tc>
          <w:tcPr>
            <w:tcW w:w="1276" w:type="dxa"/>
            <w:tcBorders>
              <w:top w:val="single" w:sz="4" w:space="0" w:color="A6A6A6" w:themeColor="background1" w:themeShade="A6"/>
            </w:tcBorders>
          </w:tcPr>
          <w:p w14:paraId="68CC7944" w14:textId="77777777" w:rsidR="0086522A" w:rsidRPr="000B2FB8" w:rsidRDefault="0086522A" w:rsidP="00140558">
            <w:pPr>
              <w:spacing w:before="40" w:after="40"/>
              <w:jc w:val="center"/>
              <w:rPr>
                <w:sz w:val="20"/>
                <w:szCs w:val="20"/>
              </w:rPr>
            </w:pPr>
          </w:p>
        </w:tc>
        <w:tc>
          <w:tcPr>
            <w:tcW w:w="1134" w:type="dxa"/>
            <w:tcBorders>
              <w:top w:val="single" w:sz="4" w:space="0" w:color="A6A6A6" w:themeColor="background1" w:themeShade="A6"/>
            </w:tcBorders>
          </w:tcPr>
          <w:p w14:paraId="07550BD6" w14:textId="77777777" w:rsidR="0086522A" w:rsidRPr="000B2FB8" w:rsidRDefault="0086522A" w:rsidP="00140558">
            <w:pPr>
              <w:spacing w:before="40" w:after="40"/>
              <w:jc w:val="center"/>
              <w:rPr>
                <w:sz w:val="20"/>
                <w:szCs w:val="20"/>
              </w:rPr>
            </w:pPr>
          </w:p>
        </w:tc>
        <w:tc>
          <w:tcPr>
            <w:tcW w:w="1842" w:type="dxa"/>
            <w:tcBorders>
              <w:top w:val="single" w:sz="4" w:space="0" w:color="A6A6A6" w:themeColor="background1" w:themeShade="A6"/>
            </w:tcBorders>
          </w:tcPr>
          <w:p w14:paraId="64B3B3F5" w14:textId="77777777" w:rsidR="0086522A" w:rsidRPr="000B2FB8" w:rsidRDefault="0086522A" w:rsidP="00140558">
            <w:pPr>
              <w:spacing w:before="40" w:after="40"/>
              <w:jc w:val="center"/>
              <w:rPr>
                <w:sz w:val="20"/>
                <w:szCs w:val="20"/>
              </w:rPr>
            </w:pPr>
          </w:p>
        </w:tc>
        <w:tc>
          <w:tcPr>
            <w:tcW w:w="2835" w:type="dxa"/>
            <w:tcBorders>
              <w:top w:val="single" w:sz="4" w:space="0" w:color="A6A6A6" w:themeColor="background1" w:themeShade="A6"/>
            </w:tcBorders>
          </w:tcPr>
          <w:p w14:paraId="5D0BA614" w14:textId="77777777" w:rsidR="0086522A" w:rsidRPr="000B2FB8" w:rsidRDefault="0086522A" w:rsidP="00140558">
            <w:pPr>
              <w:spacing w:before="40" w:after="40"/>
              <w:jc w:val="center"/>
              <w:rPr>
                <w:sz w:val="20"/>
                <w:szCs w:val="20"/>
              </w:rPr>
            </w:pPr>
          </w:p>
        </w:tc>
      </w:tr>
      <w:tr w:rsidR="0086522A" w:rsidRPr="000B2FB8" w14:paraId="44CA610F" w14:textId="77777777" w:rsidTr="00140558">
        <w:trPr>
          <w:trHeight w:val="271"/>
        </w:trPr>
        <w:tc>
          <w:tcPr>
            <w:tcW w:w="1005" w:type="dxa"/>
            <w:tcBorders>
              <w:bottom w:val="nil"/>
            </w:tcBorders>
          </w:tcPr>
          <w:p w14:paraId="4D73D4B1" w14:textId="77777777" w:rsidR="0086522A" w:rsidRPr="000B2FB8" w:rsidRDefault="0086522A" w:rsidP="00140558">
            <w:pPr>
              <w:spacing w:before="40" w:after="40"/>
              <w:jc w:val="right"/>
              <w:rPr>
                <w:sz w:val="20"/>
                <w:szCs w:val="20"/>
              </w:rPr>
            </w:pPr>
          </w:p>
        </w:tc>
        <w:tc>
          <w:tcPr>
            <w:tcW w:w="3811" w:type="dxa"/>
            <w:tcBorders>
              <w:bottom w:val="nil"/>
            </w:tcBorders>
          </w:tcPr>
          <w:p w14:paraId="6FB37958" w14:textId="77777777" w:rsidR="0086522A" w:rsidRPr="000B2FB8" w:rsidRDefault="0086522A" w:rsidP="00140558">
            <w:pPr>
              <w:spacing w:before="40" w:after="40"/>
              <w:rPr>
                <w:sz w:val="20"/>
                <w:szCs w:val="20"/>
              </w:rPr>
            </w:pPr>
            <w:r>
              <w:rPr>
                <w:sz w:val="20"/>
                <w:szCs w:val="20"/>
              </w:rPr>
              <w:t>Unsuccessful</w:t>
            </w:r>
            <w:r w:rsidRPr="000B2FB8">
              <w:rPr>
                <w:sz w:val="20"/>
                <w:szCs w:val="20"/>
              </w:rPr>
              <w:t xml:space="preserve"> promotion attempt</w:t>
            </w:r>
          </w:p>
        </w:tc>
        <w:tc>
          <w:tcPr>
            <w:tcW w:w="1276" w:type="dxa"/>
            <w:tcBorders>
              <w:bottom w:val="nil"/>
            </w:tcBorders>
          </w:tcPr>
          <w:p w14:paraId="53430626" w14:textId="77777777" w:rsidR="0086522A" w:rsidRPr="000B2FB8" w:rsidRDefault="0086522A" w:rsidP="00140558">
            <w:pPr>
              <w:spacing w:before="40" w:after="40"/>
              <w:jc w:val="center"/>
              <w:rPr>
                <w:sz w:val="20"/>
                <w:szCs w:val="20"/>
              </w:rPr>
            </w:pPr>
            <w:r w:rsidRPr="000B2FB8">
              <w:rPr>
                <w:sz w:val="20"/>
                <w:szCs w:val="20"/>
              </w:rPr>
              <w:t>4.2</w:t>
            </w:r>
            <w:r>
              <w:rPr>
                <w:sz w:val="20"/>
                <w:szCs w:val="20"/>
              </w:rPr>
              <w:t>5</w:t>
            </w:r>
            <w:r w:rsidRPr="000B2FB8">
              <w:rPr>
                <w:sz w:val="20"/>
                <w:szCs w:val="20"/>
              </w:rPr>
              <w:t>%</w:t>
            </w:r>
          </w:p>
        </w:tc>
        <w:tc>
          <w:tcPr>
            <w:tcW w:w="1134" w:type="dxa"/>
            <w:tcBorders>
              <w:bottom w:val="nil"/>
            </w:tcBorders>
          </w:tcPr>
          <w:p w14:paraId="4D4FD046" w14:textId="77777777" w:rsidR="0086522A" w:rsidRPr="000B2FB8" w:rsidRDefault="0086522A" w:rsidP="00140558">
            <w:pPr>
              <w:spacing w:before="40" w:after="40"/>
              <w:jc w:val="center"/>
              <w:rPr>
                <w:sz w:val="20"/>
                <w:szCs w:val="20"/>
              </w:rPr>
            </w:pPr>
            <w:r w:rsidRPr="000B2FB8">
              <w:rPr>
                <w:sz w:val="20"/>
                <w:szCs w:val="20"/>
              </w:rPr>
              <w:t>4.</w:t>
            </w:r>
            <w:r>
              <w:rPr>
                <w:sz w:val="20"/>
                <w:szCs w:val="20"/>
              </w:rPr>
              <w:t>90</w:t>
            </w:r>
            <w:r w:rsidRPr="000B2FB8">
              <w:rPr>
                <w:sz w:val="20"/>
                <w:szCs w:val="20"/>
              </w:rPr>
              <w:t>%</w:t>
            </w:r>
          </w:p>
        </w:tc>
        <w:tc>
          <w:tcPr>
            <w:tcW w:w="1842" w:type="dxa"/>
            <w:tcBorders>
              <w:bottom w:val="nil"/>
            </w:tcBorders>
          </w:tcPr>
          <w:p w14:paraId="09F5D98F" w14:textId="77777777" w:rsidR="0086522A" w:rsidRPr="000B2FB8" w:rsidRDefault="0086522A" w:rsidP="00140558">
            <w:pPr>
              <w:spacing w:before="40" w:after="40"/>
              <w:jc w:val="center"/>
              <w:rPr>
                <w:sz w:val="20"/>
                <w:szCs w:val="20"/>
              </w:rPr>
            </w:pPr>
            <w:r w:rsidRPr="000B2FB8">
              <w:rPr>
                <w:sz w:val="20"/>
                <w:szCs w:val="20"/>
              </w:rPr>
              <w:sym w:font="Symbol" w:char="F063"/>
            </w:r>
            <w:r w:rsidRPr="000B2FB8">
              <w:rPr>
                <w:sz w:val="20"/>
                <w:szCs w:val="20"/>
                <w:vertAlign w:val="superscript"/>
              </w:rPr>
              <w:t>2</w:t>
            </w:r>
            <w:r w:rsidRPr="000B2FB8">
              <w:rPr>
                <w:sz w:val="20"/>
                <w:szCs w:val="20"/>
              </w:rPr>
              <w:t xml:space="preserve"> = 0.3</w:t>
            </w:r>
            <w:r>
              <w:rPr>
                <w:sz w:val="20"/>
                <w:szCs w:val="20"/>
              </w:rPr>
              <w:t>9</w:t>
            </w:r>
            <w:r w:rsidRPr="000B2FB8">
              <w:rPr>
                <w:sz w:val="20"/>
                <w:szCs w:val="20"/>
              </w:rPr>
              <w:t xml:space="preserve">, </w:t>
            </w:r>
            <w:r w:rsidRPr="000B2FB8">
              <w:rPr>
                <w:i/>
                <w:iCs/>
                <w:sz w:val="20"/>
                <w:szCs w:val="20"/>
              </w:rPr>
              <w:t>p</w:t>
            </w:r>
            <w:r w:rsidRPr="000B2FB8">
              <w:rPr>
                <w:sz w:val="20"/>
                <w:szCs w:val="20"/>
              </w:rPr>
              <w:t xml:space="preserve"> = .5</w:t>
            </w:r>
            <w:r>
              <w:rPr>
                <w:sz w:val="20"/>
                <w:szCs w:val="20"/>
              </w:rPr>
              <w:t>31</w:t>
            </w:r>
          </w:p>
        </w:tc>
        <w:tc>
          <w:tcPr>
            <w:tcW w:w="2835" w:type="dxa"/>
            <w:tcBorders>
              <w:bottom w:val="nil"/>
            </w:tcBorders>
          </w:tcPr>
          <w:p w14:paraId="37A80B68"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-.05, </w:t>
            </w:r>
            <w:r w:rsidRPr="000B2FB8">
              <w:rPr>
                <w:i/>
                <w:sz w:val="20"/>
                <w:szCs w:val="20"/>
              </w:rPr>
              <w:t>p</w:t>
            </w:r>
            <w:r>
              <w:rPr>
                <w:sz w:val="20"/>
                <w:szCs w:val="20"/>
              </w:rPr>
              <w:t xml:space="preserve"> = .028</w:t>
            </w:r>
          </w:p>
        </w:tc>
      </w:tr>
      <w:tr w:rsidR="0086522A" w:rsidRPr="000B2FB8" w14:paraId="2E655E92" w14:textId="77777777" w:rsidTr="00140558">
        <w:trPr>
          <w:trHeight w:val="271"/>
        </w:trPr>
        <w:tc>
          <w:tcPr>
            <w:tcW w:w="1005" w:type="dxa"/>
            <w:tcBorders>
              <w:top w:val="nil"/>
              <w:bottom w:val="single" w:sz="4" w:space="0" w:color="000000" w:themeColor="text1"/>
            </w:tcBorders>
          </w:tcPr>
          <w:p w14:paraId="22FA52D8" w14:textId="77777777" w:rsidR="0086522A" w:rsidRPr="000B2FB8" w:rsidRDefault="0086522A" w:rsidP="00140558">
            <w:pPr>
              <w:spacing w:before="40" w:after="40"/>
              <w:jc w:val="right"/>
              <w:rPr>
                <w:sz w:val="20"/>
                <w:szCs w:val="20"/>
              </w:rPr>
            </w:pPr>
          </w:p>
        </w:tc>
        <w:tc>
          <w:tcPr>
            <w:tcW w:w="3811" w:type="dxa"/>
            <w:tcBorders>
              <w:top w:val="nil"/>
              <w:bottom w:val="single" w:sz="4" w:space="0" w:color="000000" w:themeColor="text1"/>
            </w:tcBorders>
          </w:tcPr>
          <w:p w14:paraId="7848EC80" w14:textId="77777777" w:rsidR="0086522A" w:rsidRPr="000B2FB8" w:rsidRDefault="0086522A" w:rsidP="00140558">
            <w:pPr>
              <w:spacing w:before="40" w:after="40"/>
              <w:rPr>
                <w:sz w:val="20"/>
                <w:szCs w:val="20"/>
              </w:rPr>
            </w:pPr>
            <w:r>
              <w:rPr>
                <w:sz w:val="20"/>
                <w:szCs w:val="20"/>
              </w:rPr>
              <w:t>Unsuccessful</w:t>
            </w:r>
            <w:r w:rsidRPr="000B2FB8">
              <w:rPr>
                <w:sz w:val="20"/>
                <w:szCs w:val="20"/>
              </w:rPr>
              <w:t xml:space="preserve"> negotiation attempt</w:t>
            </w:r>
          </w:p>
        </w:tc>
        <w:tc>
          <w:tcPr>
            <w:tcW w:w="1276" w:type="dxa"/>
            <w:tcBorders>
              <w:top w:val="nil"/>
              <w:bottom w:val="single" w:sz="4" w:space="0" w:color="000000" w:themeColor="text1"/>
            </w:tcBorders>
          </w:tcPr>
          <w:p w14:paraId="20A5E802" w14:textId="77777777" w:rsidR="0086522A" w:rsidRPr="000B2FB8" w:rsidRDefault="0086522A" w:rsidP="00140558">
            <w:pPr>
              <w:spacing w:before="40" w:after="40"/>
              <w:jc w:val="center"/>
              <w:rPr>
                <w:sz w:val="20"/>
                <w:szCs w:val="20"/>
              </w:rPr>
            </w:pPr>
            <w:r w:rsidRPr="000B2FB8">
              <w:rPr>
                <w:sz w:val="20"/>
                <w:szCs w:val="20"/>
              </w:rPr>
              <w:t>3.</w:t>
            </w:r>
            <w:r>
              <w:rPr>
                <w:sz w:val="20"/>
                <w:szCs w:val="20"/>
              </w:rPr>
              <w:t>4</w:t>
            </w:r>
            <w:r w:rsidRPr="000B2FB8">
              <w:rPr>
                <w:sz w:val="20"/>
                <w:szCs w:val="20"/>
              </w:rPr>
              <w:t>6%</w:t>
            </w:r>
          </w:p>
        </w:tc>
        <w:tc>
          <w:tcPr>
            <w:tcW w:w="1134" w:type="dxa"/>
            <w:tcBorders>
              <w:top w:val="nil"/>
              <w:bottom w:val="single" w:sz="4" w:space="0" w:color="000000" w:themeColor="text1"/>
            </w:tcBorders>
          </w:tcPr>
          <w:p w14:paraId="17C251CC" w14:textId="77777777" w:rsidR="0086522A" w:rsidRPr="000B2FB8" w:rsidRDefault="0086522A" w:rsidP="00140558">
            <w:pPr>
              <w:spacing w:before="40" w:after="40"/>
              <w:jc w:val="center"/>
              <w:rPr>
                <w:sz w:val="20"/>
                <w:szCs w:val="20"/>
              </w:rPr>
            </w:pPr>
            <w:r w:rsidRPr="000B2FB8">
              <w:rPr>
                <w:sz w:val="20"/>
                <w:szCs w:val="20"/>
              </w:rPr>
              <w:t>6.</w:t>
            </w:r>
            <w:r>
              <w:rPr>
                <w:sz w:val="20"/>
                <w:szCs w:val="20"/>
              </w:rPr>
              <w:t>90</w:t>
            </w:r>
            <w:r w:rsidRPr="000B2FB8">
              <w:rPr>
                <w:sz w:val="20"/>
                <w:szCs w:val="20"/>
              </w:rPr>
              <w:t>%</w:t>
            </w:r>
          </w:p>
        </w:tc>
        <w:tc>
          <w:tcPr>
            <w:tcW w:w="1842" w:type="dxa"/>
            <w:tcBorders>
              <w:top w:val="nil"/>
              <w:bottom w:val="single" w:sz="4" w:space="0" w:color="000000" w:themeColor="text1"/>
            </w:tcBorders>
          </w:tcPr>
          <w:p w14:paraId="14C8B403" w14:textId="77777777" w:rsidR="0086522A" w:rsidRPr="000B2FB8" w:rsidRDefault="0086522A" w:rsidP="00140558">
            <w:pPr>
              <w:spacing w:before="40" w:after="40"/>
              <w:jc w:val="center"/>
              <w:rPr>
                <w:sz w:val="20"/>
                <w:szCs w:val="20"/>
              </w:rPr>
            </w:pPr>
            <w:r w:rsidRPr="000B2FB8">
              <w:rPr>
                <w:sz w:val="20"/>
                <w:szCs w:val="20"/>
              </w:rPr>
              <w:sym w:font="Symbol" w:char="F063"/>
            </w:r>
            <w:r w:rsidRPr="000B2FB8">
              <w:rPr>
                <w:sz w:val="20"/>
                <w:szCs w:val="20"/>
                <w:vertAlign w:val="superscript"/>
              </w:rPr>
              <w:t>2</w:t>
            </w:r>
            <w:r w:rsidRPr="000B2FB8">
              <w:rPr>
                <w:sz w:val="20"/>
                <w:szCs w:val="20"/>
              </w:rPr>
              <w:t xml:space="preserve"> = </w:t>
            </w:r>
            <w:r>
              <w:rPr>
                <w:sz w:val="20"/>
                <w:szCs w:val="20"/>
              </w:rPr>
              <w:t>11.00</w:t>
            </w:r>
            <w:r w:rsidRPr="000B2FB8">
              <w:rPr>
                <w:sz w:val="20"/>
                <w:szCs w:val="20"/>
              </w:rPr>
              <w:t xml:space="preserve">, </w:t>
            </w:r>
            <w:r w:rsidRPr="000B2FB8">
              <w:rPr>
                <w:i/>
                <w:iCs/>
                <w:sz w:val="20"/>
                <w:szCs w:val="20"/>
              </w:rPr>
              <w:t>p</w:t>
            </w:r>
            <w:r w:rsidRPr="000B2FB8">
              <w:rPr>
                <w:sz w:val="20"/>
                <w:szCs w:val="20"/>
              </w:rPr>
              <w:t xml:space="preserve"> = .00</w:t>
            </w:r>
            <w:r>
              <w:rPr>
                <w:sz w:val="20"/>
                <w:szCs w:val="20"/>
              </w:rPr>
              <w:t>1</w:t>
            </w:r>
          </w:p>
        </w:tc>
        <w:tc>
          <w:tcPr>
            <w:tcW w:w="2835" w:type="dxa"/>
            <w:tcBorders>
              <w:top w:val="nil"/>
              <w:bottom w:val="single" w:sz="4" w:space="0" w:color="000000" w:themeColor="text1"/>
            </w:tcBorders>
          </w:tcPr>
          <w:p w14:paraId="72AE93B4"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-.09, </w:t>
            </w:r>
            <w:r w:rsidRPr="000B2FB8">
              <w:rPr>
                <w:i/>
                <w:sz w:val="20"/>
                <w:szCs w:val="20"/>
              </w:rPr>
              <w:t>p</w:t>
            </w:r>
            <w:r>
              <w:rPr>
                <w:sz w:val="20"/>
                <w:szCs w:val="20"/>
              </w:rPr>
              <w:t xml:space="preserve"> &lt; .001</w:t>
            </w:r>
          </w:p>
        </w:tc>
      </w:tr>
      <w:tr w:rsidR="0086522A" w:rsidRPr="000B2FB8" w14:paraId="16A3CE2B" w14:textId="77777777" w:rsidTr="00140558">
        <w:trPr>
          <w:trHeight w:val="271"/>
        </w:trPr>
        <w:tc>
          <w:tcPr>
            <w:tcW w:w="4816" w:type="dxa"/>
            <w:gridSpan w:val="2"/>
            <w:tcBorders>
              <w:top w:val="single" w:sz="4" w:space="0" w:color="000000" w:themeColor="text1"/>
              <w:bottom w:val="single" w:sz="4" w:space="0" w:color="AEAAAA"/>
            </w:tcBorders>
          </w:tcPr>
          <w:p w14:paraId="01E9DC63" w14:textId="77777777" w:rsidR="0086522A" w:rsidRPr="000B2FB8" w:rsidRDefault="0086522A" w:rsidP="00140558">
            <w:pPr>
              <w:spacing w:before="40" w:after="40"/>
              <w:rPr>
                <w:sz w:val="20"/>
                <w:szCs w:val="20"/>
              </w:rPr>
            </w:pPr>
            <w:r>
              <w:rPr>
                <w:sz w:val="20"/>
                <w:szCs w:val="20"/>
              </w:rPr>
              <w:t>All No Asking Events</w:t>
            </w:r>
            <w:r w:rsidRPr="000B2FB8">
              <w:rPr>
                <w:sz w:val="20"/>
                <w:szCs w:val="20"/>
              </w:rPr>
              <w:t xml:space="preserve"> </w:t>
            </w:r>
          </w:p>
        </w:tc>
        <w:tc>
          <w:tcPr>
            <w:tcW w:w="1276" w:type="dxa"/>
            <w:tcBorders>
              <w:top w:val="single" w:sz="4" w:space="0" w:color="000000" w:themeColor="text1"/>
              <w:bottom w:val="single" w:sz="4" w:space="0" w:color="AEAAAA"/>
            </w:tcBorders>
          </w:tcPr>
          <w:p w14:paraId="03B8712C" w14:textId="77777777" w:rsidR="0086522A" w:rsidRPr="000B2FB8" w:rsidRDefault="0086522A" w:rsidP="00140558">
            <w:pPr>
              <w:spacing w:before="40" w:after="40"/>
              <w:jc w:val="center"/>
              <w:rPr>
                <w:sz w:val="20"/>
                <w:szCs w:val="20"/>
              </w:rPr>
            </w:pPr>
            <w:r w:rsidRPr="000B2FB8">
              <w:rPr>
                <w:sz w:val="20"/>
                <w:szCs w:val="20"/>
              </w:rPr>
              <w:t>55.0</w:t>
            </w:r>
            <w:r>
              <w:rPr>
                <w:sz w:val="20"/>
                <w:szCs w:val="20"/>
              </w:rPr>
              <w:t>4</w:t>
            </w:r>
            <w:r w:rsidRPr="000B2FB8">
              <w:rPr>
                <w:sz w:val="20"/>
                <w:szCs w:val="20"/>
              </w:rPr>
              <w:t>%</w:t>
            </w:r>
          </w:p>
        </w:tc>
        <w:tc>
          <w:tcPr>
            <w:tcW w:w="1134" w:type="dxa"/>
            <w:tcBorders>
              <w:top w:val="single" w:sz="4" w:space="0" w:color="000000" w:themeColor="text1"/>
              <w:bottom w:val="single" w:sz="4" w:space="0" w:color="AEAAAA"/>
            </w:tcBorders>
          </w:tcPr>
          <w:p w14:paraId="55DA6918" w14:textId="77777777" w:rsidR="0086522A" w:rsidRPr="000B2FB8" w:rsidRDefault="0086522A" w:rsidP="00140558">
            <w:pPr>
              <w:spacing w:before="40" w:after="40"/>
              <w:jc w:val="center"/>
              <w:rPr>
                <w:sz w:val="20"/>
                <w:szCs w:val="20"/>
              </w:rPr>
            </w:pPr>
            <w:r w:rsidRPr="000B2FB8">
              <w:rPr>
                <w:sz w:val="20"/>
                <w:szCs w:val="20"/>
              </w:rPr>
              <w:t>5</w:t>
            </w:r>
            <w:r>
              <w:rPr>
                <w:sz w:val="20"/>
                <w:szCs w:val="20"/>
              </w:rPr>
              <w:t>2</w:t>
            </w:r>
            <w:r w:rsidRPr="000B2FB8">
              <w:rPr>
                <w:sz w:val="20"/>
                <w:szCs w:val="20"/>
              </w:rPr>
              <w:t>.</w:t>
            </w:r>
            <w:r>
              <w:rPr>
                <w:sz w:val="20"/>
                <w:szCs w:val="20"/>
              </w:rPr>
              <w:t>6</w:t>
            </w:r>
            <w:r w:rsidRPr="000B2FB8">
              <w:rPr>
                <w:sz w:val="20"/>
                <w:szCs w:val="20"/>
              </w:rPr>
              <w:t>3%</w:t>
            </w:r>
          </w:p>
        </w:tc>
        <w:tc>
          <w:tcPr>
            <w:tcW w:w="1842" w:type="dxa"/>
            <w:tcBorders>
              <w:top w:val="single" w:sz="4" w:space="0" w:color="000000" w:themeColor="text1"/>
              <w:bottom w:val="single" w:sz="4" w:space="0" w:color="AEAAAA"/>
            </w:tcBorders>
          </w:tcPr>
          <w:p w14:paraId="36FEB2D3" w14:textId="77777777" w:rsidR="0086522A" w:rsidRPr="000B2FB8" w:rsidRDefault="0086522A" w:rsidP="00140558">
            <w:pPr>
              <w:spacing w:before="40" w:after="40"/>
              <w:jc w:val="center"/>
              <w:rPr>
                <w:iCs/>
                <w:sz w:val="20"/>
                <w:szCs w:val="20"/>
              </w:rPr>
            </w:pPr>
            <w:r w:rsidRPr="000B2FB8">
              <w:rPr>
                <w:sz w:val="20"/>
                <w:szCs w:val="20"/>
              </w:rPr>
              <w:sym w:font="Symbol" w:char="F063"/>
            </w:r>
            <w:r w:rsidRPr="000B2FB8">
              <w:rPr>
                <w:sz w:val="20"/>
                <w:szCs w:val="20"/>
                <w:vertAlign w:val="superscript"/>
              </w:rPr>
              <w:t xml:space="preserve">2 </w:t>
            </w:r>
            <w:r w:rsidRPr="000B2FB8">
              <w:rPr>
                <w:sz w:val="20"/>
                <w:szCs w:val="20"/>
              </w:rPr>
              <w:t>= 0.</w:t>
            </w:r>
            <w:r>
              <w:rPr>
                <w:sz w:val="20"/>
                <w:szCs w:val="20"/>
              </w:rPr>
              <w:t>92</w:t>
            </w:r>
            <w:r w:rsidRPr="000B2FB8">
              <w:rPr>
                <w:sz w:val="20"/>
                <w:szCs w:val="20"/>
              </w:rPr>
              <w:t xml:space="preserve">, </w:t>
            </w:r>
            <w:r w:rsidRPr="000B2FB8">
              <w:rPr>
                <w:i/>
                <w:sz w:val="20"/>
                <w:szCs w:val="20"/>
              </w:rPr>
              <w:t xml:space="preserve">p = </w:t>
            </w:r>
            <w:r w:rsidRPr="000B2FB8">
              <w:rPr>
                <w:sz w:val="20"/>
                <w:szCs w:val="20"/>
              </w:rPr>
              <w:t>.</w:t>
            </w:r>
            <w:r>
              <w:rPr>
                <w:sz w:val="20"/>
                <w:szCs w:val="20"/>
              </w:rPr>
              <w:t>33</w:t>
            </w:r>
            <w:r w:rsidRPr="000B2FB8">
              <w:rPr>
                <w:sz w:val="20"/>
                <w:szCs w:val="20"/>
              </w:rPr>
              <w:t>6</w:t>
            </w:r>
          </w:p>
        </w:tc>
        <w:tc>
          <w:tcPr>
            <w:tcW w:w="2835" w:type="dxa"/>
            <w:tcBorders>
              <w:top w:val="single" w:sz="4" w:space="0" w:color="000000" w:themeColor="text1"/>
              <w:bottom w:val="single" w:sz="4" w:space="0" w:color="AEAAAA"/>
            </w:tcBorders>
          </w:tcPr>
          <w:p w14:paraId="641F0F88"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-.02, </w:t>
            </w:r>
            <w:r w:rsidRPr="000B2FB8">
              <w:rPr>
                <w:i/>
                <w:sz w:val="20"/>
                <w:szCs w:val="20"/>
              </w:rPr>
              <w:t>p</w:t>
            </w:r>
            <w:r>
              <w:rPr>
                <w:sz w:val="20"/>
                <w:szCs w:val="20"/>
              </w:rPr>
              <w:t xml:space="preserve"> = .364</w:t>
            </w:r>
          </w:p>
        </w:tc>
      </w:tr>
      <w:tr w:rsidR="0086522A" w:rsidRPr="000B2FB8" w14:paraId="015067FC" w14:textId="77777777" w:rsidTr="00140558">
        <w:trPr>
          <w:trHeight w:val="271"/>
        </w:trPr>
        <w:tc>
          <w:tcPr>
            <w:tcW w:w="1005" w:type="dxa"/>
            <w:tcBorders>
              <w:top w:val="single" w:sz="4" w:space="0" w:color="AEAAAA"/>
            </w:tcBorders>
          </w:tcPr>
          <w:p w14:paraId="25290178" w14:textId="77777777" w:rsidR="0086522A" w:rsidRPr="000B2FB8" w:rsidRDefault="0086522A" w:rsidP="00140558">
            <w:pPr>
              <w:spacing w:before="40" w:after="40"/>
              <w:ind w:right="-18"/>
              <w:jc w:val="right"/>
              <w:rPr>
                <w:sz w:val="20"/>
                <w:szCs w:val="20"/>
              </w:rPr>
            </w:pPr>
          </w:p>
        </w:tc>
        <w:tc>
          <w:tcPr>
            <w:tcW w:w="3811" w:type="dxa"/>
            <w:tcBorders>
              <w:top w:val="single" w:sz="4" w:space="0" w:color="AEAAAA"/>
              <w:bottom w:val="single" w:sz="4" w:space="0" w:color="A6A6A6" w:themeColor="background1" w:themeShade="A6"/>
            </w:tcBorders>
          </w:tcPr>
          <w:p w14:paraId="312A14C3" w14:textId="77777777" w:rsidR="0086522A" w:rsidRPr="000B2FB8" w:rsidRDefault="0086522A" w:rsidP="00140558">
            <w:pPr>
              <w:spacing w:before="40" w:after="40"/>
              <w:rPr>
                <w:sz w:val="20"/>
                <w:szCs w:val="20"/>
              </w:rPr>
            </w:pPr>
            <w:r>
              <w:rPr>
                <w:b/>
                <w:bCs/>
                <w:i/>
                <w:iCs/>
                <w:sz w:val="20"/>
                <w:szCs w:val="20"/>
              </w:rPr>
              <w:t xml:space="preserve">Positive Outcome from No Asking Event </w:t>
            </w:r>
            <w:r>
              <w:rPr>
                <w:sz w:val="20"/>
                <w:szCs w:val="20"/>
              </w:rPr>
              <w:br/>
            </w:r>
            <w:r w:rsidRPr="000B2FB8">
              <w:rPr>
                <w:sz w:val="20"/>
                <w:szCs w:val="20"/>
              </w:rPr>
              <w:t>Given better wage</w:t>
            </w:r>
          </w:p>
        </w:tc>
        <w:tc>
          <w:tcPr>
            <w:tcW w:w="1276" w:type="dxa"/>
            <w:tcBorders>
              <w:top w:val="single" w:sz="4" w:space="0" w:color="AEAAAA"/>
              <w:bottom w:val="single" w:sz="4" w:space="0" w:color="A6A6A6" w:themeColor="background1" w:themeShade="A6"/>
            </w:tcBorders>
          </w:tcPr>
          <w:p w14:paraId="366B5136" w14:textId="77777777" w:rsidR="0086522A" w:rsidRDefault="0086522A" w:rsidP="00140558">
            <w:pPr>
              <w:spacing w:before="40" w:after="40"/>
              <w:rPr>
                <w:sz w:val="20"/>
                <w:szCs w:val="20"/>
              </w:rPr>
            </w:pPr>
          </w:p>
          <w:p w14:paraId="4E174C53" w14:textId="77777777" w:rsidR="0086522A" w:rsidRPr="000B2FB8" w:rsidRDefault="0086522A" w:rsidP="00140558">
            <w:pPr>
              <w:spacing w:before="40" w:after="40"/>
              <w:jc w:val="center"/>
              <w:rPr>
                <w:sz w:val="20"/>
                <w:szCs w:val="20"/>
              </w:rPr>
            </w:pPr>
            <w:r w:rsidRPr="000B2FB8">
              <w:rPr>
                <w:sz w:val="20"/>
                <w:szCs w:val="20"/>
              </w:rPr>
              <w:t>32.8</w:t>
            </w:r>
            <w:r>
              <w:rPr>
                <w:sz w:val="20"/>
                <w:szCs w:val="20"/>
              </w:rPr>
              <w:t>5</w:t>
            </w:r>
            <w:r w:rsidRPr="000B2FB8">
              <w:rPr>
                <w:sz w:val="20"/>
                <w:szCs w:val="20"/>
              </w:rPr>
              <w:t>%</w:t>
            </w:r>
          </w:p>
        </w:tc>
        <w:tc>
          <w:tcPr>
            <w:tcW w:w="1134" w:type="dxa"/>
            <w:tcBorders>
              <w:top w:val="single" w:sz="4" w:space="0" w:color="AEAAAA"/>
              <w:bottom w:val="single" w:sz="4" w:space="0" w:color="A6A6A6" w:themeColor="background1" w:themeShade="A6"/>
            </w:tcBorders>
          </w:tcPr>
          <w:p w14:paraId="6ED7DF78" w14:textId="77777777" w:rsidR="0086522A" w:rsidRDefault="0086522A" w:rsidP="00140558">
            <w:pPr>
              <w:spacing w:before="40" w:after="40"/>
              <w:rPr>
                <w:sz w:val="20"/>
                <w:szCs w:val="20"/>
              </w:rPr>
            </w:pPr>
          </w:p>
          <w:p w14:paraId="6AA4FE32" w14:textId="77777777" w:rsidR="0086522A" w:rsidRPr="000B2FB8" w:rsidRDefault="0086522A" w:rsidP="00140558">
            <w:pPr>
              <w:spacing w:before="40" w:after="40"/>
              <w:jc w:val="center"/>
              <w:rPr>
                <w:sz w:val="20"/>
                <w:szCs w:val="20"/>
              </w:rPr>
            </w:pPr>
            <w:r w:rsidRPr="000B2FB8">
              <w:rPr>
                <w:sz w:val="20"/>
                <w:szCs w:val="20"/>
              </w:rPr>
              <w:t>32.</w:t>
            </w:r>
            <w:r>
              <w:rPr>
                <w:sz w:val="20"/>
                <w:szCs w:val="20"/>
              </w:rPr>
              <w:t>67</w:t>
            </w:r>
            <w:r w:rsidRPr="000B2FB8">
              <w:rPr>
                <w:sz w:val="20"/>
                <w:szCs w:val="20"/>
              </w:rPr>
              <w:t>%</w:t>
            </w:r>
          </w:p>
        </w:tc>
        <w:tc>
          <w:tcPr>
            <w:tcW w:w="1842" w:type="dxa"/>
            <w:tcBorders>
              <w:top w:val="single" w:sz="4" w:space="0" w:color="AEAAAA"/>
              <w:bottom w:val="single" w:sz="4" w:space="0" w:color="A6A6A6" w:themeColor="background1" w:themeShade="A6"/>
            </w:tcBorders>
          </w:tcPr>
          <w:p w14:paraId="56B8AAE4" w14:textId="77777777" w:rsidR="0086522A" w:rsidRDefault="0086522A" w:rsidP="00140558">
            <w:pPr>
              <w:spacing w:before="40" w:after="40"/>
              <w:jc w:val="center"/>
              <w:rPr>
                <w:sz w:val="20"/>
                <w:szCs w:val="20"/>
              </w:rPr>
            </w:pPr>
          </w:p>
          <w:p w14:paraId="0580C7CC" w14:textId="77777777" w:rsidR="0086522A" w:rsidRPr="000B2FB8" w:rsidRDefault="0086522A" w:rsidP="00140558">
            <w:pPr>
              <w:spacing w:before="40" w:after="40"/>
              <w:jc w:val="center"/>
              <w:rPr>
                <w:iCs/>
                <w:sz w:val="20"/>
                <w:szCs w:val="20"/>
              </w:rPr>
            </w:pPr>
            <w:r w:rsidRPr="000B2FB8">
              <w:rPr>
                <w:sz w:val="20"/>
                <w:szCs w:val="20"/>
              </w:rPr>
              <w:sym w:font="Symbol" w:char="F063"/>
            </w:r>
            <w:r w:rsidRPr="000B2FB8">
              <w:rPr>
                <w:sz w:val="20"/>
                <w:szCs w:val="20"/>
                <w:vertAlign w:val="superscript"/>
              </w:rPr>
              <w:t xml:space="preserve">2 </w:t>
            </w:r>
            <w:r w:rsidRPr="000B2FB8">
              <w:rPr>
                <w:sz w:val="20"/>
                <w:szCs w:val="20"/>
              </w:rPr>
              <w:t>= 0.0</w:t>
            </w:r>
            <w:r>
              <w:rPr>
                <w:sz w:val="20"/>
                <w:szCs w:val="20"/>
              </w:rPr>
              <w:t>1</w:t>
            </w:r>
            <w:r w:rsidRPr="000B2FB8">
              <w:rPr>
                <w:sz w:val="20"/>
                <w:szCs w:val="20"/>
              </w:rPr>
              <w:t xml:space="preserve">, </w:t>
            </w:r>
            <w:r w:rsidRPr="000B2FB8">
              <w:rPr>
                <w:i/>
                <w:sz w:val="20"/>
                <w:szCs w:val="20"/>
              </w:rPr>
              <w:t>p</w:t>
            </w:r>
            <w:r w:rsidRPr="000B2FB8">
              <w:rPr>
                <w:sz w:val="20"/>
                <w:szCs w:val="20"/>
              </w:rPr>
              <w:t xml:space="preserve"> = .</w:t>
            </w:r>
            <w:r>
              <w:rPr>
                <w:sz w:val="20"/>
                <w:szCs w:val="20"/>
              </w:rPr>
              <w:t>93</w:t>
            </w:r>
            <w:r w:rsidRPr="000B2FB8">
              <w:rPr>
                <w:sz w:val="20"/>
                <w:szCs w:val="20"/>
              </w:rPr>
              <w:t>8</w:t>
            </w:r>
          </w:p>
        </w:tc>
        <w:tc>
          <w:tcPr>
            <w:tcW w:w="2835" w:type="dxa"/>
            <w:tcBorders>
              <w:top w:val="single" w:sz="4" w:space="0" w:color="AEAAAA"/>
              <w:bottom w:val="single" w:sz="4" w:space="0" w:color="A6A6A6" w:themeColor="background1" w:themeShade="A6"/>
            </w:tcBorders>
          </w:tcPr>
          <w:p w14:paraId="387D7DDB" w14:textId="77777777" w:rsidR="0086522A" w:rsidRDefault="0086522A" w:rsidP="00140558">
            <w:pPr>
              <w:spacing w:before="40" w:after="40"/>
              <w:jc w:val="center"/>
              <w:rPr>
                <w:i/>
                <w:sz w:val="20"/>
                <w:szCs w:val="20"/>
              </w:rPr>
            </w:pPr>
          </w:p>
          <w:p w14:paraId="4151FC7F"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.06, </w:t>
            </w:r>
            <w:r w:rsidRPr="000B2FB8">
              <w:rPr>
                <w:i/>
                <w:sz w:val="20"/>
                <w:szCs w:val="20"/>
              </w:rPr>
              <w:t>p</w:t>
            </w:r>
            <w:r>
              <w:rPr>
                <w:sz w:val="20"/>
                <w:szCs w:val="20"/>
              </w:rPr>
              <w:t xml:space="preserve"> = .008</w:t>
            </w:r>
          </w:p>
        </w:tc>
      </w:tr>
      <w:tr w:rsidR="0086522A" w:rsidRPr="000B2FB8" w14:paraId="2BA23DD0" w14:textId="77777777" w:rsidTr="00140558">
        <w:trPr>
          <w:trHeight w:val="281"/>
        </w:trPr>
        <w:tc>
          <w:tcPr>
            <w:tcW w:w="1005" w:type="dxa"/>
          </w:tcPr>
          <w:p w14:paraId="04B1EBD8" w14:textId="77777777" w:rsidR="0086522A" w:rsidRPr="000B2FB8" w:rsidRDefault="0086522A" w:rsidP="00140558">
            <w:pPr>
              <w:spacing w:before="40" w:after="40"/>
              <w:ind w:left="-332" w:right="-509" w:firstLine="12"/>
              <w:jc w:val="right"/>
              <w:rPr>
                <w:sz w:val="20"/>
                <w:szCs w:val="20"/>
              </w:rPr>
            </w:pPr>
            <w:r w:rsidRPr="000B2FB8">
              <w:rPr>
                <w:sz w:val="20"/>
                <w:szCs w:val="20"/>
              </w:rPr>
              <w:t xml:space="preserve"> Ask</w:t>
            </w:r>
          </w:p>
        </w:tc>
        <w:tc>
          <w:tcPr>
            <w:tcW w:w="3811" w:type="dxa"/>
            <w:tcBorders>
              <w:top w:val="single" w:sz="4" w:space="0" w:color="A6A6A6" w:themeColor="background1" w:themeShade="A6"/>
            </w:tcBorders>
          </w:tcPr>
          <w:p w14:paraId="38B160E9" w14:textId="77777777" w:rsidR="0086522A" w:rsidRPr="00E21EFC" w:rsidRDefault="0086522A" w:rsidP="00140558">
            <w:pPr>
              <w:spacing w:before="40" w:after="40"/>
              <w:rPr>
                <w:b/>
                <w:bCs/>
                <w:i/>
                <w:iCs/>
                <w:sz w:val="20"/>
                <w:szCs w:val="20"/>
              </w:rPr>
            </w:pPr>
            <w:r>
              <w:rPr>
                <w:b/>
                <w:bCs/>
                <w:i/>
                <w:iCs/>
                <w:sz w:val="20"/>
                <w:szCs w:val="20"/>
              </w:rPr>
              <w:t>Negative Outcome from No Asking Events</w:t>
            </w:r>
          </w:p>
        </w:tc>
        <w:tc>
          <w:tcPr>
            <w:tcW w:w="1276" w:type="dxa"/>
            <w:tcBorders>
              <w:top w:val="single" w:sz="4" w:space="0" w:color="A6A6A6" w:themeColor="background1" w:themeShade="A6"/>
              <w:bottom w:val="nil"/>
            </w:tcBorders>
          </w:tcPr>
          <w:p w14:paraId="07DFACC3" w14:textId="77777777" w:rsidR="0086522A" w:rsidRPr="000B2FB8" w:rsidRDefault="0086522A" w:rsidP="00140558">
            <w:pPr>
              <w:spacing w:before="40" w:after="40"/>
              <w:jc w:val="center"/>
              <w:rPr>
                <w:sz w:val="20"/>
                <w:szCs w:val="20"/>
              </w:rPr>
            </w:pPr>
          </w:p>
        </w:tc>
        <w:tc>
          <w:tcPr>
            <w:tcW w:w="1134" w:type="dxa"/>
            <w:tcBorders>
              <w:top w:val="single" w:sz="4" w:space="0" w:color="A6A6A6" w:themeColor="background1" w:themeShade="A6"/>
              <w:bottom w:val="nil"/>
            </w:tcBorders>
          </w:tcPr>
          <w:p w14:paraId="2AF36E76" w14:textId="77777777" w:rsidR="0086522A" w:rsidRPr="000B2FB8" w:rsidRDefault="0086522A" w:rsidP="00140558">
            <w:pPr>
              <w:spacing w:before="40" w:after="40"/>
              <w:jc w:val="center"/>
              <w:rPr>
                <w:sz w:val="20"/>
                <w:szCs w:val="20"/>
              </w:rPr>
            </w:pPr>
          </w:p>
        </w:tc>
        <w:tc>
          <w:tcPr>
            <w:tcW w:w="1842" w:type="dxa"/>
            <w:tcBorders>
              <w:top w:val="single" w:sz="4" w:space="0" w:color="A6A6A6" w:themeColor="background1" w:themeShade="A6"/>
              <w:bottom w:val="nil"/>
            </w:tcBorders>
          </w:tcPr>
          <w:p w14:paraId="57E1727E" w14:textId="77777777" w:rsidR="0086522A" w:rsidRPr="000B2FB8" w:rsidRDefault="0086522A" w:rsidP="00140558">
            <w:pPr>
              <w:spacing w:before="40" w:after="40"/>
              <w:jc w:val="center"/>
              <w:rPr>
                <w:iCs/>
                <w:sz w:val="20"/>
                <w:szCs w:val="20"/>
              </w:rPr>
            </w:pPr>
          </w:p>
        </w:tc>
        <w:tc>
          <w:tcPr>
            <w:tcW w:w="2835" w:type="dxa"/>
            <w:tcBorders>
              <w:top w:val="single" w:sz="4" w:space="0" w:color="A6A6A6" w:themeColor="background1" w:themeShade="A6"/>
              <w:bottom w:val="nil"/>
            </w:tcBorders>
          </w:tcPr>
          <w:p w14:paraId="7EF22C81" w14:textId="77777777" w:rsidR="0086522A" w:rsidRPr="000B2FB8" w:rsidRDefault="0086522A" w:rsidP="00140558">
            <w:pPr>
              <w:spacing w:before="40" w:after="40"/>
              <w:jc w:val="center"/>
              <w:rPr>
                <w:sz w:val="20"/>
                <w:szCs w:val="20"/>
              </w:rPr>
            </w:pPr>
          </w:p>
        </w:tc>
      </w:tr>
      <w:tr w:rsidR="0086522A" w:rsidRPr="000B2FB8" w14:paraId="6231F9DF" w14:textId="77777777" w:rsidTr="00140558">
        <w:trPr>
          <w:trHeight w:val="281"/>
        </w:trPr>
        <w:tc>
          <w:tcPr>
            <w:tcW w:w="1005" w:type="dxa"/>
          </w:tcPr>
          <w:p w14:paraId="0A2A0C3D" w14:textId="77777777" w:rsidR="0086522A" w:rsidRPr="000B2FB8" w:rsidRDefault="0086522A" w:rsidP="00140558">
            <w:pPr>
              <w:spacing w:before="40" w:after="40"/>
              <w:jc w:val="right"/>
              <w:rPr>
                <w:sz w:val="20"/>
                <w:szCs w:val="20"/>
              </w:rPr>
            </w:pPr>
          </w:p>
        </w:tc>
        <w:tc>
          <w:tcPr>
            <w:tcW w:w="3811" w:type="dxa"/>
          </w:tcPr>
          <w:p w14:paraId="0A243211" w14:textId="77777777" w:rsidR="0086522A" w:rsidRPr="000B2FB8" w:rsidRDefault="0086522A" w:rsidP="00140558">
            <w:pPr>
              <w:spacing w:before="40" w:after="40"/>
              <w:rPr>
                <w:sz w:val="20"/>
                <w:szCs w:val="20"/>
              </w:rPr>
            </w:pPr>
            <w:r w:rsidRPr="000B2FB8">
              <w:rPr>
                <w:sz w:val="20"/>
                <w:szCs w:val="20"/>
              </w:rPr>
              <w:t>No attempt at promotion</w:t>
            </w:r>
          </w:p>
        </w:tc>
        <w:tc>
          <w:tcPr>
            <w:tcW w:w="1276" w:type="dxa"/>
            <w:tcBorders>
              <w:top w:val="nil"/>
            </w:tcBorders>
          </w:tcPr>
          <w:p w14:paraId="29A1689B" w14:textId="77777777" w:rsidR="0086522A" w:rsidRPr="000B2FB8" w:rsidRDefault="0086522A" w:rsidP="00140558">
            <w:pPr>
              <w:spacing w:before="40" w:after="40"/>
              <w:jc w:val="center"/>
              <w:rPr>
                <w:sz w:val="20"/>
                <w:szCs w:val="20"/>
              </w:rPr>
            </w:pPr>
            <w:r w:rsidRPr="000B2FB8">
              <w:rPr>
                <w:sz w:val="20"/>
                <w:szCs w:val="20"/>
              </w:rPr>
              <w:t>10.</w:t>
            </w:r>
            <w:r>
              <w:rPr>
                <w:sz w:val="20"/>
                <w:szCs w:val="20"/>
              </w:rPr>
              <w:t>4</w:t>
            </w:r>
            <w:r w:rsidRPr="000B2FB8">
              <w:rPr>
                <w:sz w:val="20"/>
                <w:szCs w:val="20"/>
              </w:rPr>
              <w:t>5%</w:t>
            </w:r>
          </w:p>
        </w:tc>
        <w:tc>
          <w:tcPr>
            <w:tcW w:w="1134" w:type="dxa"/>
            <w:tcBorders>
              <w:top w:val="nil"/>
            </w:tcBorders>
          </w:tcPr>
          <w:p w14:paraId="3036BF27" w14:textId="77777777" w:rsidR="0086522A" w:rsidRPr="000B2FB8" w:rsidRDefault="0086522A" w:rsidP="00140558">
            <w:pPr>
              <w:spacing w:before="40" w:after="40"/>
              <w:jc w:val="center"/>
              <w:rPr>
                <w:sz w:val="20"/>
                <w:szCs w:val="20"/>
              </w:rPr>
            </w:pPr>
            <w:r w:rsidRPr="000B2FB8">
              <w:rPr>
                <w:sz w:val="20"/>
                <w:szCs w:val="20"/>
              </w:rPr>
              <w:t>11.</w:t>
            </w:r>
            <w:r>
              <w:rPr>
                <w:sz w:val="20"/>
                <w:szCs w:val="20"/>
              </w:rPr>
              <w:t>25</w:t>
            </w:r>
            <w:r w:rsidRPr="000B2FB8">
              <w:rPr>
                <w:sz w:val="20"/>
                <w:szCs w:val="20"/>
              </w:rPr>
              <w:t>%</w:t>
            </w:r>
          </w:p>
        </w:tc>
        <w:tc>
          <w:tcPr>
            <w:tcW w:w="1842" w:type="dxa"/>
            <w:tcBorders>
              <w:top w:val="nil"/>
            </w:tcBorders>
          </w:tcPr>
          <w:p w14:paraId="3F500187" w14:textId="77777777" w:rsidR="0086522A" w:rsidRPr="000B2FB8" w:rsidRDefault="0086522A" w:rsidP="00140558">
            <w:pPr>
              <w:spacing w:before="40" w:after="40"/>
              <w:jc w:val="center"/>
              <w:rPr>
                <w:sz w:val="20"/>
                <w:szCs w:val="20"/>
              </w:rPr>
            </w:pPr>
            <w:r w:rsidRPr="000B2FB8">
              <w:rPr>
                <w:sz w:val="20"/>
                <w:szCs w:val="20"/>
              </w:rPr>
              <w:sym w:font="Symbol" w:char="F063"/>
            </w:r>
            <w:r w:rsidRPr="000B2FB8">
              <w:rPr>
                <w:sz w:val="20"/>
                <w:szCs w:val="20"/>
                <w:vertAlign w:val="superscript"/>
              </w:rPr>
              <w:t>2</w:t>
            </w:r>
            <w:r>
              <w:rPr>
                <w:sz w:val="20"/>
                <w:szCs w:val="20"/>
                <w:vertAlign w:val="superscript"/>
              </w:rPr>
              <w:t xml:space="preserve"> </w:t>
            </w:r>
            <w:r w:rsidRPr="000B2FB8">
              <w:rPr>
                <w:sz w:val="20"/>
                <w:szCs w:val="20"/>
              </w:rPr>
              <w:t>= 0.</w:t>
            </w:r>
            <w:r>
              <w:rPr>
                <w:sz w:val="20"/>
                <w:szCs w:val="20"/>
              </w:rPr>
              <w:t>2</w:t>
            </w:r>
            <w:r w:rsidRPr="000B2FB8">
              <w:rPr>
                <w:sz w:val="20"/>
                <w:szCs w:val="20"/>
              </w:rPr>
              <w:t xml:space="preserve">7, </w:t>
            </w:r>
            <w:r w:rsidRPr="000B2FB8">
              <w:rPr>
                <w:i/>
                <w:iCs/>
                <w:sz w:val="20"/>
                <w:szCs w:val="20"/>
              </w:rPr>
              <w:t>p</w:t>
            </w:r>
            <w:r w:rsidRPr="000B2FB8">
              <w:rPr>
                <w:sz w:val="20"/>
                <w:szCs w:val="20"/>
              </w:rPr>
              <w:t xml:space="preserve"> = .</w:t>
            </w:r>
            <w:r>
              <w:rPr>
                <w:sz w:val="20"/>
                <w:szCs w:val="20"/>
              </w:rPr>
              <w:t>6</w:t>
            </w:r>
            <w:r w:rsidRPr="000B2FB8">
              <w:rPr>
                <w:sz w:val="20"/>
                <w:szCs w:val="20"/>
              </w:rPr>
              <w:t>04</w:t>
            </w:r>
          </w:p>
        </w:tc>
        <w:tc>
          <w:tcPr>
            <w:tcW w:w="2835" w:type="dxa"/>
            <w:tcBorders>
              <w:top w:val="nil"/>
            </w:tcBorders>
          </w:tcPr>
          <w:p w14:paraId="7B576105"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-.07, </w:t>
            </w:r>
            <w:r w:rsidRPr="000B2FB8">
              <w:rPr>
                <w:i/>
                <w:sz w:val="20"/>
                <w:szCs w:val="20"/>
              </w:rPr>
              <w:t>p</w:t>
            </w:r>
            <w:r>
              <w:rPr>
                <w:sz w:val="20"/>
                <w:szCs w:val="20"/>
              </w:rPr>
              <w:t xml:space="preserve"> &lt; .001</w:t>
            </w:r>
          </w:p>
        </w:tc>
      </w:tr>
      <w:tr w:rsidR="0086522A" w:rsidRPr="000B2FB8" w14:paraId="2BB08EDB" w14:textId="77777777" w:rsidTr="00140558">
        <w:trPr>
          <w:trHeight w:val="271"/>
        </w:trPr>
        <w:tc>
          <w:tcPr>
            <w:tcW w:w="1005" w:type="dxa"/>
          </w:tcPr>
          <w:p w14:paraId="324BBFFF" w14:textId="77777777" w:rsidR="0086522A" w:rsidRPr="000B2FB8" w:rsidRDefault="0086522A" w:rsidP="00140558">
            <w:pPr>
              <w:spacing w:before="40" w:after="40"/>
              <w:jc w:val="right"/>
              <w:rPr>
                <w:sz w:val="20"/>
                <w:szCs w:val="20"/>
              </w:rPr>
            </w:pPr>
          </w:p>
        </w:tc>
        <w:tc>
          <w:tcPr>
            <w:tcW w:w="3811" w:type="dxa"/>
          </w:tcPr>
          <w:p w14:paraId="1F116744" w14:textId="77777777" w:rsidR="0086522A" w:rsidRPr="000B2FB8" w:rsidRDefault="0086522A" w:rsidP="00140558">
            <w:pPr>
              <w:spacing w:before="40" w:after="40"/>
              <w:rPr>
                <w:sz w:val="20"/>
                <w:szCs w:val="20"/>
              </w:rPr>
            </w:pPr>
            <w:r w:rsidRPr="000B2FB8">
              <w:rPr>
                <w:sz w:val="20"/>
                <w:szCs w:val="20"/>
              </w:rPr>
              <w:t>No attempt at negotiation</w:t>
            </w:r>
          </w:p>
        </w:tc>
        <w:tc>
          <w:tcPr>
            <w:tcW w:w="1276" w:type="dxa"/>
          </w:tcPr>
          <w:p w14:paraId="79B35612" w14:textId="77777777" w:rsidR="0086522A" w:rsidRPr="000B2FB8" w:rsidRDefault="0086522A" w:rsidP="00140558">
            <w:pPr>
              <w:spacing w:before="40" w:after="40"/>
              <w:jc w:val="center"/>
              <w:rPr>
                <w:sz w:val="20"/>
                <w:szCs w:val="20"/>
              </w:rPr>
            </w:pPr>
            <w:r w:rsidRPr="000B2FB8">
              <w:rPr>
                <w:sz w:val="20"/>
                <w:szCs w:val="20"/>
              </w:rPr>
              <w:t>1</w:t>
            </w:r>
            <w:r>
              <w:rPr>
                <w:sz w:val="20"/>
                <w:szCs w:val="20"/>
              </w:rPr>
              <w:t>8</w:t>
            </w:r>
            <w:r w:rsidRPr="000B2FB8">
              <w:rPr>
                <w:sz w:val="20"/>
                <w:szCs w:val="20"/>
              </w:rPr>
              <w:t>.</w:t>
            </w:r>
            <w:r>
              <w:rPr>
                <w:sz w:val="20"/>
                <w:szCs w:val="20"/>
              </w:rPr>
              <w:t>16</w:t>
            </w:r>
            <w:r w:rsidRPr="000B2FB8">
              <w:rPr>
                <w:sz w:val="20"/>
                <w:szCs w:val="20"/>
              </w:rPr>
              <w:t>%</w:t>
            </w:r>
          </w:p>
        </w:tc>
        <w:tc>
          <w:tcPr>
            <w:tcW w:w="1134" w:type="dxa"/>
          </w:tcPr>
          <w:p w14:paraId="6FF9DD7B" w14:textId="77777777" w:rsidR="0086522A" w:rsidRPr="000B2FB8" w:rsidRDefault="0086522A" w:rsidP="00140558">
            <w:pPr>
              <w:spacing w:before="40" w:after="40"/>
              <w:jc w:val="center"/>
              <w:rPr>
                <w:sz w:val="20"/>
                <w:szCs w:val="20"/>
              </w:rPr>
            </w:pPr>
            <w:r w:rsidRPr="000B2FB8">
              <w:rPr>
                <w:sz w:val="20"/>
                <w:szCs w:val="20"/>
              </w:rPr>
              <w:t>1</w:t>
            </w:r>
            <w:r>
              <w:rPr>
                <w:sz w:val="20"/>
                <w:szCs w:val="20"/>
              </w:rPr>
              <w:t>6</w:t>
            </w:r>
            <w:r w:rsidRPr="000B2FB8">
              <w:rPr>
                <w:sz w:val="20"/>
                <w:szCs w:val="20"/>
              </w:rPr>
              <w:t>.</w:t>
            </w:r>
            <w:r>
              <w:rPr>
                <w:sz w:val="20"/>
                <w:szCs w:val="20"/>
              </w:rPr>
              <w:t>7</w:t>
            </w:r>
            <w:r w:rsidRPr="000B2FB8">
              <w:rPr>
                <w:sz w:val="20"/>
                <w:szCs w:val="20"/>
              </w:rPr>
              <w:t>0%</w:t>
            </w:r>
          </w:p>
        </w:tc>
        <w:tc>
          <w:tcPr>
            <w:tcW w:w="1842" w:type="dxa"/>
          </w:tcPr>
          <w:p w14:paraId="5FB2BC15" w14:textId="77777777" w:rsidR="0086522A" w:rsidRPr="000B2FB8" w:rsidRDefault="0086522A" w:rsidP="00140558">
            <w:pPr>
              <w:spacing w:before="40" w:after="40"/>
              <w:jc w:val="center"/>
              <w:rPr>
                <w:sz w:val="20"/>
                <w:szCs w:val="20"/>
                <w:lang w:eastAsia="ko-KR"/>
              </w:rPr>
            </w:pPr>
            <w:r w:rsidRPr="000B2FB8">
              <w:rPr>
                <w:sz w:val="20"/>
                <w:szCs w:val="20"/>
              </w:rPr>
              <w:sym w:font="Symbol" w:char="F063"/>
            </w:r>
            <w:r w:rsidRPr="000B2FB8">
              <w:rPr>
                <w:sz w:val="20"/>
                <w:szCs w:val="20"/>
                <w:vertAlign w:val="superscript"/>
              </w:rPr>
              <w:t>2</w:t>
            </w:r>
            <w:r w:rsidRPr="000B2FB8">
              <w:rPr>
                <w:sz w:val="20"/>
                <w:szCs w:val="20"/>
              </w:rPr>
              <w:t xml:space="preserve"> = 0.</w:t>
            </w:r>
            <w:r>
              <w:rPr>
                <w:sz w:val="20"/>
                <w:szCs w:val="20"/>
              </w:rPr>
              <w:t>58</w:t>
            </w:r>
            <w:r w:rsidRPr="000B2FB8">
              <w:rPr>
                <w:sz w:val="20"/>
                <w:szCs w:val="20"/>
              </w:rPr>
              <w:t xml:space="preserve">, </w:t>
            </w:r>
            <w:r w:rsidRPr="000B2FB8">
              <w:rPr>
                <w:i/>
                <w:iCs/>
                <w:sz w:val="20"/>
                <w:szCs w:val="20"/>
              </w:rPr>
              <w:t>p</w:t>
            </w:r>
            <w:r w:rsidRPr="000B2FB8">
              <w:rPr>
                <w:sz w:val="20"/>
                <w:szCs w:val="20"/>
              </w:rPr>
              <w:t xml:space="preserve"> = .</w:t>
            </w:r>
            <w:r>
              <w:rPr>
                <w:sz w:val="20"/>
                <w:szCs w:val="20"/>
              </w:rPr>
              <w:t>448</w:t>
            </w:r>
          </w:p>
        </w:tc>
        <w:tc>
          <w:tcPr>
            <w:tcW w:w="2835" w:type="dxa"/>
          </w:tcPr>
          <w:p w14:paraId="66E649F8" w14:textId="77777777" w:rsidR="0086522A" w:rsidRPr="000B2FB8" w:rsidRDefault="0086522A" w:rsidP="00140558">
            <w:pPr>
              <w:spacing w:before="40" w:after="40"/>
              <w:jc w:val="center"/>
              <w:rPr>
                <w:sz w:val="20"/>
                <w:szCs w:val="20"/>
              </w:rPr>
            </w:pPr>
            <w:proofErr w:type="gramStart"/>
            <w:r w:rsidRPr="000B2FB8">
              <w:rPr>
                <w:i/>
                <w:sz w:val="20"/>
                <w:szCs w:val="20"/>
              </w:rPr>
              <w:t>r</w:t>
            </w:r>
            <w:r>
              <w:rPr>
                <w:sz w:val="20"/>
                <w:szCs w:val="20"/>
              </w:rPr>
              <w:t>(</w:t>
            </w:r>
            <w:proofErr w:type="gramEnd"/>
            <w:r>
              <w:rPr>
                <w:sz w:val="20"/>
                <w:szCs w:val="20"/>
              </w:rPr>
              <w:t xml:space="preserve">1937) = -.11, </w:t>
            </w:r>
            <w:r w:rsidRPr="000B2FB8">
              <w:rPr>
                <w:i/>
                <w:sz w:val="20"/>
                <w:szCs w:val="20"/>
              </w:rPr>
              <w:t>p</w:t>
            </w:r>
            <w:r>
              <w:rPr>
                <w:sz w:val="20"/>
                <w:szCs w:val="20"/>
              </w:rPr>
              <w:t xml:space="preserve"> &lt; .001</w:t>
            </w:r>
          </w:p>
        </w:tc>
      </w:tr>
    </w:tbl>
    <w:p w14:paraId="2F652048" w14:textId="77777777" w:rsidR="0086522A" w:rsidRPr="000B2FB8" w:rsidRDefault="0086522A" w:rsidP="00140558">
      <w:pPr>
        <w:rPr>
          <w:sz w:val="20"/>
          <w:szCs w:val="20"/>
        </w:rPr>
      </w:pPr>
      <w:r w:rsidRPr="000B2FB8">
        <w:rPr>
          <w:i/>
          <w:sz w:val="20"/>
          <w:szCs w:val="20"/>
        </w:rPr>
        <w:t>Note</w:t>
      </w:r>
      <w:r w:rsidRPr="000B2FB8">
        <w:rPr>
          <w:sz w:val="20"/>
          <w:szCs w:val="20"/>
        </w:rPr>
        <w:t xml:space="preserve">. Collapsed categories were coded 0 and 1. </w:t>
      </w:r>
      <w:r>
        <w:rPr>
          <w:sz w:val="20"/>
          <w:szCs w:val="20"/>
        </w:rPr>
        <w:t>The compensation measure was a combination of base salary and bonus.</w:t>
      </w:r>
    </w:p>
    <w:p w14:paraId="559430E3" w14:textId="77777777" w:rsidR="0086522A" w:rsidRDefault="0086522A">
      <w:pPr>
        <w:rPr>
          <w:b/>
          <w:bCs/>
        </w:rPr>
        <w:sectPr w:rsidR="0086522A" w:rsidSect="00140558">
          <w:endnotePr>
            <w:numFmt w:val="decimal"/>
          </w:endnotePr>
          <w:pgSz w:w="15840" w:h="12240" w:orient="landscape"/>
          <w:pgMar w:top="1440" w:right="1440" w:bottom="1440" w:left="1440" w:header="720" w:footer="720" w:gutter="0"/>
          <w:cols w:space="720"/>
          <w:docGrid w:linePitch="326"/>
        </w:sectPr>
      </w:pPr>
    </w:p>
    <w:p w14:paraId="3124604A" w14:textId="54695614" w:rsidR="0086522A" w:rsidRDefault="0086522A" w:rsidP="00140558">
      <w:pPr>
        <w:spacing w:line="480" w:lineRule="auto"/>
        <w:jc w:val="center"/>
        <w:rPr>
          <w:b/>
          <w:bCs/>
        </w:rPr>
      </w:pPr>
      <w:r>
        <w:rPr>
          <w:b/>
          <w:bCs/>
        </w:rPr>
        <w:lastRenderedPageBreak/>
        <w:t>TABLE 3</w:t>
      </w:r>
    </w:p>
    <w:p w14:paraId="1E520D6E" w14:textId="503C79D5" w:rsidR="00722AB0" w:rsidRDefault="00722AB0" w:rsidP="00722AB0">
      <w:pPr>
        <w:spacing w:line="360" w:lineRule="auto"/>
        <w:jc w:val="center"/>
        <w:rPr>
          <w:b/>
          <w:bCs/>
        </w:rPr>
      </w:pPr>
      <w:r>
        <w:rPr>
          <w:b/>
          <w:bCs/>
        </w:rPr>
        <w:t xml:space="preserve">SUMMARY OF STUDIES INCLUDED IN RE-ANALYSIS OF KUGLER ET AL. (2018) </w:t>
      </w:r>
    </w:p>
    <w:p w14:paraId="4CD9F7F2" w14:textId="77777777" w:rsidR="00722AB0" w:rsidRDefault="00722AB0" w:rsidP="00722AB0">
      <w:pPr>
        <w:spacing w:line="360" w:lineRule="auto"/>
        <w:jc w:val="center"/>
        <w:rPr>
          <w:b/>
          <w:bCs/>
        </w:rPr>
      </w:pPr>
      <w:r>
        <w:rPr>
          <w:b/>
          <w:bCs/>
        </w:rPr>
        <w:t>META-ANALYSIS WITH SELF-REPORTED INITIATION OF SALARY NEGOTIATION IN STUDY 2C</w:t>
      </w:r>
    </w:p>
    <w:p w14:paraId="1BACBF0A" w14:textId="4D299E80" w:rsidR="00FA386B" w:rsidRDefault="00FA386B" w:rsidP="00FB4CD5">
      <w:pPr>
        <w:spacing w:line="360" w:lineRule="auto"/>
        <w:jc w:val="center"/>
        <w:rPr>
          <w:b/>
          <w:bCs/>
        </w:rPr>
      </w:pPr>
    </w:p>
    <w:tbl>
      <w:tblPr>
        <w:tblStyle w:val="TableGrid"/>
        <w:tblW w:w="134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2070"/>
        <w:gridCol w:w="1687"/>
        <w:gridCol w:w="1244"/>
        <w:gridCol w:w="978"/>
        <w:gridCol w:w="1067"/>
        <w:gridCol w:w="1249"/>
        <w:gridCol w:w="1122"/>
        <w:gridCol w:w="630"/>
        <w:gridCol w:w="810"/>
      </w:tblGrid>
      <w:tr w:rsidR="000F1D67" w:rsidRPr="000F1D67" w14:paraId="37F87158" w14:textId="1A856049" w:rsidTr="000F1D67">
        <w:tc>
          <w:tcPr>
            <w:tcW w:w="2610" w:type="dxa"/>
            <w:tcBorders>
              <w:top w:val="single" w:sz="4" w:space="0" w:color="auto"/>
              <w:bottom w:val="single" w:sz="4" w:space="0" w:color="auto"/>
            </w:tcBorders>
          </w:tcPr>
          <w:p w14:paraId="00EAB599" w14:textId="0AE4378F" w:rsidR="000F1D67" w:rsidRPr="000F1D67" w:rsidRDefault="000F1D67" w:rsidP="000F1D67">
            <w:pPr>
              <w:spacing w:before="40" w:after="40"/>
              <w:rPr>
                <w:sz w:val="18"/>
                <w:szCs w:val="18"/>
              </w:rPr>
            </w:pPr>
            <w:r w:rsidRPr="000F1D67">
              <w:rPr>
                <w:b/>
                <w:bCs/>
                <w:sz w:val="18"/>
                <w:szCs w:val="18"/>
              </w:rPr>
              <w:br/>
            </w:r>
            <w:r w:rsidRPr="000F1D67">
              <w:rPr>
                <w:b/>
                <w:bCs/>
                <w:sz w:val="18"/>
                <w:szCs w:val="18"/>
              </w:rPr>
              <w:br/>
              <w:t>Study</w:t>
            </w:r>
          </w:p>
        </w:tc>
        <w:tc>
          <w:tcPr>
            <w:tcW w:w="2070" w:type="dxa"/>
            <w:tcBorders>
              <w:top w:val="single" w:sz="4" w:space="0" w:color="auto"/>
              <w:bottom w:val="single" w:sz="4" w:space="0" w:color="auto"/>
            </w:tcBorders>
            <w:vAlign w:val="bottom"/>
          </w:tcPr>
          <w:p w14:paraId="4F360053" w14:textId="4DB7A6C3" w:rsidR="000F1D67" w:rsidRPr="000F1D67" w:rsidRDefault="000F1D67" w:rsidP="000F1D67">
            <w:pPr>
              <w:spacing w:before="40" w:after="40"/>
              <w:jc w:val="center"/>
              <w:rPr>
                <w:b/>
                <w:bCs/>
                <w:sz w:val="18"/>
                <w:szCs w:val="18"/>
              </w:rPr>
            </w:pPr>
            <w:r w:rsidRPr="000F1D67">
              <w:rPr>
                <w:b/>
                <w:bCs/>
                <w:color w:val="000000"/>
                <w:sz w:val="18"/>
                <w:szCs w:val="18"/>
              </w:rPr>
              <w:t>Journal</w:t>
            </w:r>
          </w:p>
        </w:tc>
        <w:tc>
          <w:tcPr>
            <w:tcW w:w="1687" w:type="dxa"/>
            <w:tcBorders>
              <w:top w:val="single" w:sz="4" w:space="0" w:color="auto"/>
              <w:bottom w:val="single" w:sz="4" w:space="0" w:color="auto"/>
            </w:tcBorders>
          </w:tcPr>
          <w:p w14:paraId="61AE7D26" w14:textId="016F9A39" w:rsidR="000F1D67" w:rsidRPr="000F1D67" w:rsidRDefault="000F1D67" w:rsidP="000F1D67">
            <w:pPr>
              <w:spacing w:before="40" w:after="40"/>
              <w:jc w:val="center"/>
              <w:rPr>
                <w:b/>
                <w:bCs/>
                <w:sz w:val="18"/>
                <w:szCs w:val="18"/>
              </w:rPr>
            </w:pPr>
            <w:r w:rsidRPr="000F1D67">
              <w:rPr>
                <w:b/>
                <w:bCs/>
                <w:sz w:val="18"/>
                <w:szCs w:val="18"/>
              </w:rPr>
              <w:br/>
            </w:r>
            <w:r w:rsidRPr="000F1D67">
              <w:rPr>
                <w:b/>
                <w:bCs/>
                <w:sz w:val="18"/>
                <w:szCs w:val="18"/>
              </w:rPr>
              <w:br/>
              <w:t>Sample</w:t>
            </w:r>
          </w:p>
        </w:tc>
        <w:tc>
          <w:tcPr>
            <w:tcW w:w="1244" w:type="dxa"/>
            <w:tcBorders>
              <w:top w:val="single" w:sz="4" w:space="0" w:color="auto"/>
              <w:bottom w:val="single" w:sz="4" w:space="0" w:color="auto"/>
            </w:tcBorders>
          </w:tcPr>
          <w:p w14:paraId="3A1CFAFB" w14:textId="317C3BB9" w:rsidR="000F1D67" w:rsidRPr="000F1D67" w:rsidRDefault="000F1D67" w:rsidP="000F1D67">
            <w:pPr>
              <w:spacing w:before="40" w:after="40"/>
              <w:jc w:val="center"/>
              <w:rPr>
                <w:b/>
                <w:bCs/>
                <w:sz w:val="18"/>
                <w:szCs w:val="18"/>
              </w:rPr>
            </w:pPr>
            <w:r w:rsidRPr="000F1D67">
              <w:rPr>
                <w:b/>
                <w:bCs/>
                <w:sz w:val="18"/>
                <w:szCs w:val="18"/>
              </w:rPr>
              <w:br/>
              <w:t>Negotiation</w:t>
            </w:r>
            <w:r w:rsidRPr="000F1D67">
              <w:rPr>
                <w:b/>
                <w:bCs/>
                <w:sz w:val="18"/>
                <w:szCs w:val="18"/>
              </w:rPr>
              <w:br/>
              <w:t>Type</w:t>
            </w:r>
          </w:p>
        </w:tc>
        <w:tc>
          <w:tcPr>
            <w:tcW w:w="978" w:type="dxa"/>
            <w:tcBorders>
              <w:top w:val="single" w:sz="4" w:space="0" w:color="auto"/>
              <w:bottom w:val="single" w:sz="4" w:space="0" w:color="auto"/>
            </w:tcBorders>
          </w:tcPr>
          <w:p w14:paraId="180218C8" w14:textId="060BF8D6" w:rsidR="000F1D67" w:rsidRPr="000F1D67" w:rsidRDefault="000F1D67" w:rsidP="000F1D67">
            <w:pPr>
              <w:spacing w:before="40" w:after="40"/>
              <w:jc w:val="center"/>
              <w:rPr>
                <w:b/>
                <w:bCs/>
                <w:sz w:val="18"/>
                <w:szCs w:val="18"/>
              </w:rPr>
            </w:pPr>
            <w:r w:rsidRPr="000F1D67">
              <w:rPr>
                <w:b/>
                <w:bCs/>
                <w:sz w:val="18"/>
                <w:szCs w:val="18"/>
              </w:rPr>
              <w:br/>
              <w:t xml:space="preserve">Study </w:t>
            </w:r>
            <w:r w:rsidRPr="000F1D67">
              <w:rPr>
                <w:b/>
                <w:bCs/>
                <w:sz w:val="18"/>
                <w:szCs w:val="18"/>
              </w:rPr>
              <w:br/>
              <w:t>Total N</w:t>
            </w:r>
          </w:p>
        </w:tc>
        <w:tc>
          <w:tcPr>
            <w:tcW w:w="1067" w:type="dxa"/>
            <w:tcBorders>
              <w:top w:val="single" w:sz="4" w:space="0" w:color="auto"/>
              <w:bottom w:val="single" w:sz="4" w:space="0" w:color="auto"/>
            </w:tcBorders>
          </w:tcPr>
          <w:p w14:paraId="7A679DE9" w14:textId="78E5925D" w:rsidR="000F1D67" w:rsidRPr="000F1D67" w:rsidRDefault="000F1D67" w:rsidP="000F1D67">
            <w:pPr>
              <w:spacing w:before="40" w:after="40"/>
              <w:jc w:val="center"/>
              <w:rPr>
                <w:b/>
                <w:bCs/>
                <w:sz w:val="18"/>
                <w:szCs w:val="18"/>
              </w:rPr>
            </w:pPr>
            <w:r w:rsidRPr="000F1D67">
              <w:rPr>
                <w:b/>
                <w:bCs/>
                <w:sz w:val="18"/>
                <w:szCs w:val="18"/>
              </w:rPr>
              <w:t>Men Who Negot. / Total</w:t>
            </w:r>
          </w:p>
        </w:tc>
        <w:tc>
          <w:tcPr>
            <w:tcW w:w="1249" w:type="dxa"/>
            <w:tcBorders>
              <w:top w:val="single" w:sz="4" w:space="0" w:color="auto"/>
              <w:bottom w:val="single" w:sz="4" w:space="0" w:color="auto"/>
            </w:tcBorders>
          </w:tcPr>
          <w:p w14:paraId="0C8AE04F" w14:textId="5CB09F67" w:rsidR="000F1D67" w:rsidRPr="000F1D67" w:rsidRDefault="000F1D67" w:rsidP="000F1D67">
            <w:pPr>
              <w:spacing w:before="40" w:after="40"/>
              <w:jc w:val="center"/>
              <w:rPr>
                <w:b/>
                <w:bCs/>
                <w:sz w:val="18"/>
                <w:szCs w:val="18"/>
              </w:rPr>
            </w:pPr>
            <w:r w:rsidRPr="000F1D67">
              <w:rPr>
                <w:b/>
                <w:bCs/>
                <w:sz w:val="18"/>
                <w:szCs w:val="18"/>
              </w:rPr>
              <w:t>Women Who Negot. / Total</w:t>
            </w:r>
          </w:p>
        </w:tc>
        <w:tc>
          <w:tcPr>
            <w:tcW w:w="1122" w:type="dxa"/>
            <w:tcBorders>
              <w:top w:val="single" w:sz="4" w:space="0" w:color="auto"/>
              <w:bottom w:val="single" w:sz="4" w:space="0" w:color="auto"/>
            </w:tcBorders>
          </w:tcPr>
          <w:p w14:paraId="54A24359" w14:textId="4EF869B2" w:rsidR="000F1D67" w:rsidRPr="000F1D67" w:rsidRDefault="000F1D67" w:rsidP="000F1D67">
            <w:pPr>
              <w:spacing w:before="40" w:after="40"/>
              <w:jc w:val="center"/>
              <w:rPr>
                <w:b/>
                <w:bCs/>
                <w:sz w:val="18"/>
                <w:szCs w:val="18"/>
              </w:rPr>
            </w:pPr>
            <w:r w:rsidRPr="000F1D67">
              <w:rPr>
                <w:b/>
                <w:bCs/>
                <w:sz w:val="18"/>
                <w:szCs w:val="18"/>
              </w:rPr>
              <w:br/>
            </w:r>
            <w:r w:rsidRPr="000F1D67">
              <w:rPr>
                <w:b/>
                <w:bCs/>
                <w:sz w:val="18"/>
                <w:szCs w:val="18"/>
              </w:rPr>
              <w:br/>
              <w:t>Direction</w:t>
            </w:r>
          </w:p>
        </w:tc>
        <w:tc>
          <w:tcPr>
            <w:tcW w:w="630" w:type="dxa"/>
            <w:tcBorders>
              <w:top w:val="single" w:sz="4" w:space="0" w:color="auto"/>
              <w:bottom w:val="single" w:sz="4" w:space="0" w:color="auto"/>
            </w:tcBorders>
          </w:tcPr>
          <w:p w14:paraId="30CB3D0F" w14:textId="6C0398F2" w:rsidR="000F1D67" w:rsidRPr="000F1D67" w:rsidRDefault="000F1D67" w:rsidP="000F1D67">
            <w:pPr>
              <w:spacing w:before="40" w:after="40"/>
              <w:jc w:val="center"/>
              <w:rPr>
                <w:b/>
                <w:bCs/>
                <w:sz w:val="18"/>
                <w:szCs w:val="18"/>
              </w:rPr>
            </w:pPr>
            <w:r w:rsidRPr="000F1D67">
              <w:rPr>
                <w:b/>
                <w:bCs/>
                <w:sz w:val="18"/>
                <w:szCs w:val="18"/>
              </w:rPr>
              <w:br/>
            </w:r>
            <w:r w:rsidRPr="000F1D67">
              <w:rPr>
                <w:b/>
                <w:bCs/>
                <w:sz w:val="18"/>
                <w:szCs w:val="18"/>
              </w:rPr>
              <w:br/>
              <w:t>χ</w:t>
            </w:r>
            <w:r w:rsidRPr="000F1D67">
              <w:rPr>
                <w:rFonts w:ascii="Times New Roman Bold" w:hAnsi="Times New Roman Bold"/>
                <w:b/>
                <w:bCs/>
                <w:sz w:val="18"/>
                <w:szCs w:val="18"/>
                <w:vertAlign w:val="superscript"/>
              </w:rPr>
              <w:t>2</w:t>
            </w:r>
          </w:p>
        </w:tc>
        <w:tc>
          <w:tcPr>
            <w:tcW w:w="810" w:type="dxa"/>
            <w:tcBorders>
              <w:top w:val="single" w:sz="4" w:space="0" w:color="auto"/>
              <w:bottom w:val="single" w:sz="4" w:space="0" w:color="auto"/>
            </w:tcBorders>
          </w:tcPr>
          <w:p w14:paraId="09CB9130" w14:textId="1E5AF802" w:rsidR="000F1D67" w:rsidRPr="000F1D67" w:rsidRDefault="000F1D67" w:rsidP="000F1D67">
            <w:pPr>
              <w:spacing w:before="40" w:after="40"/>
              <w:jc w:val="center"/>
              <w:rPr>
                <w:b/>
                <w:bCs/>
                <w:sz w:val="18"/>
                <w:szCs w:val="18"/>
              </w:rPr>
            </w:pPr>
            <w:r w:rsidRPr="000F1D67">
              <w:rPr>
                <w:b/>
                <w:bCs/>
                <w:sz w:val="18"/>
                <w:szCs w:val="18"/>
              </w:rPr>
              <w:br/>
            </w:r>
            <w:r w:rsidRPr="000F1D67">
              <w:rPr>
                <w:b/>
                <w:bCs/>
                <w:i/>
                <w:iCs/>
                <w:sz w:val="18"/>
                <w:szCs w:val="18"/>
              </w:rPr>
              <w:t>p</w:t>
            </w:r>
            <w:r w:rsidRPr="000F1D67">
              <w:rPr>
                <w:b/>
                <w:bCs/>
                <w:sz w:val="18"/>
                <w:szCs w:val="18"/>
              </w:rPr>
              <w:t>-value</w:t>
            </w:r>
          </w:p>
        </w:tc>
      </w:tr>
      <w:tr w:rsidR="000F1D67" w:rsidRPr="000F1D67" w14:paraId="3C7C9FA6" w14:textId="618D888C" w:rsidTr="000F1D67">
        <w:tc>
          <w:tcPr>
            <w:tcW w:w="2610" w:type="dxa"/>
            <w:tcBorders>
              <w:top w:val="nil"/>
            </w:tcBorders>
          </w:tcPr>
          <w:p w14:paraId="51210978" w14:textId="5A7D61D8" w:rsidR="000F1D67" w:rsidRPr="000F1D67" w:rsidRDefault="000F1D67" w:rsidP="000F1D67">
            <w:pPr>
              <w:spacing w:before="40" w:after="40"/>
              <w:rPr>
                <w:b/>
                <w:bCs/>
                <w:sz w:val="18"/>
                <w:szCs w:val="18"/>
              </w:rPr>
            </w:pPr>
            <w:r w:rsidRPr="000F1D67">
              <w:rPr>
                <w:sz w:val="18"/>
                <w:szCs w:val="18"/>
              </w:rPr>
              <w:t>1. Crothers et al. (2010)</w:t>
            </w:r>
          </w:p>
        </w:tc>
        <w:tc>
          <w:tcPr>
            <w:tcW w:w="2070" w:type="dxa"/>
            <w:tcBorders>
              <w:top w:val="nil"/>
            </w:tcBorders>
            <w:vAlign w:val="bottom"/>
          </w:tcPr>
          <w:p w14:paraId="44EEB7D0" w14:textId="2EB50F8C" w:rsidR="000F1D67" w:rsidRPr="000F1D67" w:rsidRDefault="000F1D67" w:rsidP="000F1D67">
            <w:pPr>
              <w:tabs>
                <w:tab w:val="decimal" w:pos="383"/>
              </w:tabs>
              <w:spacing w:before="40" w:after="40"/>
              <w:rPr>
                <w:sz w:val="18"/>
                <w:szCs w:val="18"/>
              </w:rPr>
            </w:pPr>
            <w:r w:rsidRPr="000F1D67">
              <w:rPr>
                <w:color w:val="000000"/>
                <w:sz w:val="18"/>
                <w:szCs w:val="18"/>
              </w:rPr>
              <w:t>The Psychologist-Manager Journal</w:t>
            </w:r>
          </w:p>
        </w:tc>
        <w:tc>
          <w:tcPr>
            <w:tcW w:w="1687" w:type="dxa"/>
            <w:tcBorders>
              <w:top w:val="nil"/>
            </w:tcBorders>
          </w:tcPr>
          <w:p w14:paraId="7D4AFBE1" w14:textId="0E7B83B8" w:rsidR="000F1D67" w:rsidRPr="000F1D67" w:rsidRDefault="000F1D67" w:rsidP="000F1D67">
            <w:pPr>
              <w:tabs>
                <w:tab w:val="decimal" w:pos="383"/>
              </w:tabs>
              <w:spacing w:before="40" w:after="40"/>
              <w:jc w:val="center"/>
              <w:rPr>
                <w:sz w:val="18"/>
                <w:szCs w:val="18"/>
              </w:rPr>
            </w:pPr>
            <w:r w:rsidRPr="000F1D67">
              <w:rPr>
                <w:sz w:val="18"/>
                <w:szCs w:val="18"/>
              </w:rPr>
              <w:t>Employees</w:t>
            </w:r>
          </w:p>
        </w:tc>
        <w:tc>
          <w:tcPr>
            <w:tcW w:w="1244" w:type="dxa"/>
            <w:tcBorders>
              <w:top w:val="nil"/>
            </w:tcBorders>
          </w:tcPr>
          <w:p w14:paraId="0490462B" w14:textId="752F6D86"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Borders>
              <w:top w:val="nil"/>
            </w:tcBorders>
          </w:tcPr>
          <w:p w14:paraId="2017B441" w14:textId="32CD5068" w:rsidR="000F1D67" w:rsidRPr="000F1D67" w:rsidRDefault="000F1D67" w:rsidP="000F1D67">
            <w:pPr>
              <w:tabs>
                <w:tab w:val="decimal" w:pos="383"/>
              </w:tabs>
              <w:spacing w:before="40" w:after="40"/>
              <w:jc w:val="center"/>
              <w:rPr>
                <w:sz w:val="18"/>
                <w:szCs w:val="18"/>
              </w:rPr>
            </w:pPr>
            <w:r w:rsidRPr="000F1D67">
              <w:rPr>
                <w:sz w:val="18"/>
                <w:szCs w:val="18"/>
              </w:rPr>
              <w:t>303</w:t>
            </w:r>
          </w:p>
        </w:tc>
        <w:tc>
          <w:tcPr>
            <w:tcW w:w="1067" w:type="dxa"/>
            <w:tcBorders>
              <w:top w:val="nil"/>
            </w:tcBorders>
          </w:tcPr>
          <w:p w14:paraId="560D5825" w14:textId="3741BABB" w:rsidR="000F1D67" w:rsidRPr="000F1D67" w:rsidRDefault="000F1D67" w:rsidP="000F1D67">
            <w:pPr>
              <w:tabs>
                <w:tab w:val="decimal" w:pos="383"/>
              </w:tabs>
              <w:spacing w:before="40" w:after="40"/>
              <w:jc w:val="center"/>
              <w:rPr>
                <w:sz w:val="18"/>
                <w:szCs w:val="18"/>
              </w:rPr>
            </w:pPr>
            <w:r w:rsidRPr="000F1D67">
              <w:rPr>
                <w:sz w:val="18"/>
                <w:szCs w:val="18"/>
              </w:rPr>
              <w:t>78/114</w:t>
            </w:r>
          </w:p>
        </w:tc>
        <w:tc>
          <w:tcPr>
            <w:tcW w:w="1249" w:type="dxa"/>
            <w:tcBorders>
              <w:top w:val="nil"/>
            </w:tcBorders>
          </w:tcPr>
          <w:p w14:paraId="1B532A73" w14:textId="0298B1EA" w:rsidR="000F1D67" w:rsidRPr="000F1D67" w:rsidRDefault="000F1D67" w:rsidP="000F1D67">
            <w:pPr>
              <w:tabs>
                <w:tab w:val="decimal" w:pos="383"/>
              </w:tabs>
              <w:spacing w:before="40" w:after="40"/>
              <w:jc w:val="center"/>
              <w:rPr>
                <w:sz w:val="18"/>
                <w:szCs w:val="18"/>
              </w:rPr>
            </w:pPr>
            <w:r w:rsidRPr="000F1D67">
              <w:rPr>
                <w:sz w:val="18"/>
                <w:szCs w:val="18"/>
              </w:rPr>
              <w:t>123/189</w:t>
            </w:r>
          </w:p>
        </w:tc>
        <w:tc>
          <w:tcPr>
            <w:tcW w:w="1122" w:type="dxa"/>
            <w:tcBorders>
              <w:top w:val="nil"/>
            </w:tcBorders>
          </w:tcPr>
          <w:p w14:paraId="147D1EAC" w14:textId="262B4320" w:rsidR="000F1D67" w:rsidRPr="000F1D67" w:rsidRDefault="000F1D67" w:rsidP="000F1D67">
            <w:pPr>
              <w:tabs>
                <w:tab w:val="decimal" w:pos="383"/>
              </w:tabs>
              <w:spacing w:before="40" w:after="40"/>
              <w:jc w:val="center"/>
              <w:rPr>
                <w:sz w:val="18"/>
                <w:szCs w:val="18"/>
              </w:rPr>
            </w:pPr>
            <w:r w:rsidRPr="000F1D67">
              <w:rPr>
                <w:sz w:val="18"/>
                <w:szCs w:val="18"/>
              </w:rPr>
              <w:t>M &gt; W</w:t>
            </w:r>
          </w:p>
        </w:tc>
        <w:tc>
          <w:tcPr>
            <w:tcW w:w="630" w:type="dxa"/>
            <w:tcBorders>
              <w:top w:val="nil"/>
            </w:tcBorders>
          </w:tcPr>
          <w:p w14:paraId="07A75372" w14:textId="002A91EF" w:rsidR="000F1D67" w:rsidRPr="000F1D67" w:rsidRDefault="000F1D67" w:rsidP="000F1D67">
            <w:pPr>
              <w:tabs>
                <w:tab w:val="decimal" w:pos="340"/>
              </w:tabs>
              <w:spacing w:before="40" w:after="40"/>
              <w:jc w:val="center"/>
              <w:rPr>
                <w:sz w:val="18"/>
                <w:szCs w:val="18"/>
              </w:rPr>
            </w:pPr>
            <w:r w:rsidRPr="000F1D67">
              <w:rPr>
                <w:sz w:val="18"/>
                <w:szCs w:val="18"/>
              </w:rPr>
              <w:t>0.36</w:t>
            </w:r>
          </w:p>
        </w:tc>
        <w:tc>
          <w:tcPr>
            <w:tcW w:w="810" w:type="dxa"/>
            <w:tcBorders>
              <w:top w:val="nil"/>
            </w:tcBorders>
          </w:tcPr>
          <w:p w14:paraId="0DBC3FD9" w14:textId="2D0156D3" w:rsidR="000F1D67" w:rsidRPr="000F1D67" w:rsidRDefault="000F1D67" w:rsidP="000F1D67">
            <w:pPr>
              <w:tabs>
                <w:tab w:val="decimal" w:pos="70"/>
              </w:tabs>
              <w:spacing w:before="40" w:after="40"/>
              <w:jc w:val="center"/>
              <w:rPr>
                <w:sz w:val="18"/>
                <w:szCs w:val="18"/>
              </w:rPr>
            </w:pPr>
            <w:r w:rsidRPr="000F1D67">
              <w:rPr>
                <w:sz w:val="18"/>
                <w:szCs w:val="18"/>
              </w:rPr>
              <w:t>.55</w:t>
            </w:r>
          </w:p>
        </w:tc>
      </w:tr>
      <w:tr w:rsidR="000F1D67" w:rsidRPr="000F1D67" w14:paraId="011C841B" w14:textId="09EA2B45" w:rsidTr="000F1D67">
        <w:tc>
          <w:tcPr>
            <w:tcW w:w="2610" w:type="dxa"/>
          </w:tcPr>
          <w:p w14:paraId="140575F4" w14:textId="796FBDB7" w:rsidR="000F1D67" w:rsidRPr="000F1D67" w:rsidRDefault="000F1D67" w:rsidP="000F1D67">
            <w:pPr>
              <w:spacing w:before="40" w:after="40"/>
              <w:rPr>
                <w:sz w:val="18"/>
                <w:szCs w:val="18"/>
              </w:rPr>
            </w:pPr>
            <w:r w:rsidRPr="000F1D67">
              <w:rPr>
                <w:sz w:val="18"/>
                <w:szCs w:val="18"/>
              </w:rPr>
              <w:t>2. De Riemer et al. (1982)</w:t>
            </w:r>
          </w:p>
        </w:tc>
        <w:tc>
          <w:tcPr>
            <w:tcW w:w="2070" w:type="dxa"/>
            <w:vAlign w:val="bottom"/>
          </w:tcPr>
          <w:p w14:paraId="6ACAC548" w14:textId="00E9C076" w:rsidR="000F1D67" w:rsidRPr="000F1D67" w:rsidRDefault="000F1D67" w:rsidP="000F1D67">
            <w:pPr>
              <w:tabs>
                <w:tab w:val="decimal" w:pos="383"/>
              </w:tabs>
              <w:spacing w:before="40" w:after="40"/>
              <w:rPr>
                <w:sz w:val="18"/>
                <w:szCs w:val="18"/>
              </w:rPr>
            </w:pPr>
            <w:r w:rsidRPr="000F1D67">
              <w:rPr>
                <w:color w:val="000000"/>
                <w:sz w:val="18"/>
                <w:szCs w:val="18"/>
              </w:rPr>
              <w:t>Research in Higher Education</w:t>
            </w:r>
          </w:p>
        </w:tc>
        <w:tc>
          <w:tcPr>
            <w:tcW w:w="1687" w:type="dxa"/>
          </w:tcPr>
          <w:p w14:paraId="6AA3FBBE" w14:textId="27AE4B3E" w:rsidR="000F1D67" w:rsidRPr="000F1D67" w:rsidRDefault="000F1D67" w:rsidP="000F1D67">
            <w:pPr>
              <w:tabs>
                <w:tab w:val="decimal" w:pos="383"/>
              </w:tabs>
              <w:spacing w:before="40" w:after="40"/>
              <w:jc w:val="center"/>
              <w:rPr>
                <w:sz w:val="18"/>
                <w:szCs w:val="18"/>
              </w:rPr>
            </w:pPr>
            <w:r w:rsidRPr="000F1D67">
              <w:rPr>
                <w:sz w:val="18"/>
                <w:szCs w:val="18"/>
              </w:rPr>
              <w:t>Employees</w:t>
            </w:r>
          </w:p>
        </w:tc>
        <w:tc>
          <w:tcPr>
            <w:tcW w:w="1244" w:type="dxa"/>
          </w:tcPr>
          <w:p w14:paraId="19DFCA1F" w14:textId="36035E51"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4729F1C2" w14:textId="3958FC2E" w:rsidR="000F1D67" w:rsidRPr="000F1D67" w:rsidRDefault="000F1D67" w:rsidP="000F1D67">
            <w:pPr>
              <w:tabs>
                <w:tab w:val="decimal" w:pos="383"/>
              </w:tabs>
              <w:spacing w:before="40" w:after="40"/>
              <w:jc w:val="center"/>
              <w:rPr>
                <w:sz w:val="18"/>
                <w:szCs w:val="18"/>
              </w:rPr>
            </w:pPr>
            <w:r w:rsidRPr="000F1D67">
              <w:rPr>
                <w:sz w:val="18"/>
                <w:szCs w:val="18"/>
              </w:rPr>
              <w:t>444</w:t>
            </w:r>
          </w:p>
        </w:tc>
        <w:tc>
          <w:tcPr>
            <w:tcW w:w="1067" w:type="dxa"/>
          </w:tcPr>
          <w:p w14:paraId="4201F91E" w14:textId="7586F244" w:rsidR="000F1D67" w:rsidRPr="000F1D67" w:rsidRDefault="000F1D67" w:rsidP="000F1D67">
            <w:pPr>
              <w:tabs>
                <w:tab w:val="decimal" w:pos="383"/>
              </w:tabs>
              <w:spacing w:before="40" w:after="40"/>
              <w:jc w:val="center"/>
              <w:rPr>
                <w:sz w:val="18"/>
                <w:szCs w:val="18"/>
              </w:rPr>
            </w:pPr>
            <w:r w:rsidRPr="000F1D67">
              <w:rPr>
                <w:sz w:val="18"/>
                <w:szCs w:val="18"/>
              </w:rPr>
              <w:t>125/337</w:t>
            </w:r>
          </w:p>
        </w:tc>
        <w:tc>
          <w:tcPr>
            <w:tcW w:w="1249" w:type="dxa"/>
          </w:tcPr>
          <w:p w14:paraId="176AD487" w14:textId="53112662" w:rsidR="000F1D67" w:rsidRPr="000F1D67" w:rsidRDefault="000F1D67" w:rsidP="000F1D67">
            <w:pPr>
              <w:tabs>
                <w:tab w:val="decimal" w:pos="383"/>
              </w:tabs>
              <w:spacing w:before="40" w:after="40"/>
              <w:jc w:val="center"/>
              <w:rPr>
                <w:sz w:val="18"/>
                <w:szCs w:val="18"/>
              </w:rPr>
            </w:pPr>
            <w:r w:rsidRPr="000F1D67">
              <w:rPr>
                <w:sz w:val="18"/>
                <w:szCs w:val="18"/>
              </w:rPr>
              <w:t>34/107</w:t>
            </w:r>
          </w:p>
        </w:tc>
        <w:tc>
          <w:tcPr>
            <w:tcW w:w="1122" w:type="dxa"/>
          </w:tcPr>
          <w:p w14:paraId="09B181EF" w14:textId="31F78207" w:rsidR="000F1D67" w:rsidRPr="000F1D67" w:rsidRDefault="000F1D67" w:rsidP="000F1D67">
            <w:pPr>
              <w:tabs>
                <w:tab w:val="decimal" w:pos="383"/>
              </w:tabs>
              <w:spacing w:before="40" w:after="40"/>
              <w:jc w:val="center"/>
              <w:rPr>
                <w:sz w:val="18"/>
                <w:szCs w:val="18"/>
              </w:rPr>
            </w:pPr>
            <w:r w:rsidRPr="000F1D67">
              <w:rPr>
                <w:sz w:val="18"/>
                <w:szCs w:val="18"/>
              </w:rPr>
              <w:t>M &gt; W</w:t>
            </w:r>
          </w:p>
        </w:tc>
        <w:tc>
          <w:tcPr>
            <w:tcW w:w="630" w:type="dxa"/>
          </w:tcPr>
          <w:p w14:paraId="5601EA66" w14:textId="73FBB3D1" w:rsidR="000F1D67" w:rsidRPr="000F1D67" w:rsidRDefault="000F1D67" w:rsidP="000F1D67">
            <w:pPr>
              <w:tabs>
                <w:tab w:val="decimal" w:pos="340"/>
              </w:tabs>
              <w:spacing w:before="40" w:after="40"/>
              <w:jc w:val="center"/>
              <w:rPr>
                <w:sz w:val="18"/>
                <w:szCs w:val="18"/>
              </w:rPr>
            </w:pPr>
            <w:r w:rsidRPr="000F1D67">
              <w:rPr>
                <w:sz w:val="18"/>
                <w:szCs w:val="18"/>
              </w:rPr>
              <w:t>1.00</w:t>
            </w:r>
          </w:p>
        </w:tc>
        <w:tc>
          <w:tcPr>
            <w:tcW w:w="810" w:type="dxa"/>
          </w:tcPr>
          <w:p w14:paraId="778ABBD2" w14:textId="276CA46F" w:rsidR="000F1D67" w:rsidRPr="000F1D67" w:rsidRDefault="000F1D67" w:rsidP="000F1D67">
            <w:pPr>
              <w:tabs>
                <w:tab w:val="decimal" w:pos="70"/>
              </w:tabs>
              <w:spacing w:before="40" w:after="40"/>
              <w:jc w:val="center"/>
              <w:rPr>
                <w:sz w:val="18"/>
                <w:szCs w:val="18"/>
              </w:rPr>
            </w:pPr>
            <w:r w:rsidRPr="000F1D67">
              <w:rPr>
                <w:sz w:val="18"/>
                <w:szCs w:val="18"/>
              </w:rPr>
              <w:t>.32</w:t>
            </w:r>
          </w:p>
        </w:tc>
      </w:tr>
      <w:tr w:rsidR="000F1D67" w:rsidRPr="000F1D67" w14:paraId="4A12A492" w14:textId="20546B9D" w:rsidTr="000F1D67">
        <w:tc>
          <w:tcPr>
            <w:tcW w:w="2610" w:type="dxa"/>
          </w:tcPr>
          <w:p w14:paraId="3E04BA1A" w14:textId="520EB8BC" w:rsidR="000F1D67" w:rsidRPr="000F1D67" w:rsidRDefault="000F1D67" w:rsidP="000F1D67">
            <w:pPr>
              <w:spacing w:before="40" w:after="40"/>
              <w:rPr>
                <w:sz w:val="18"/>
                <w:szCs w:val="18"/>
              </w:rPr>
            </w:pPr>
            <w:r w:rsidRPr="000F1D67">
              <w:rPr>
                <w:sz w:val="18"/>
                <w:szCs w:val="18"/>
              </w:rPr>
              <w:t>3. Gerhart and Rynes (1991)</w:t>
            </w:r>
          </w:p>
        </w:tc>
        <w:tc>
          <w:tcPr>
            <w:tcW w:w="2070" w:type="dxa"/>
            <w:vAlign w:val="bottom"/>
          </w:tcPr>
          <w:p w14:paraId="01C29136" w14:textId="7F063D86" w:rsidR="000F1D67" w:rsidRPr="000F1D67" w:rsidRDefault="000F1D67" w:rsidP="000F1D67">
            <w:pPr>
              <w:tabs>
                <w:tab w:val="decimal" w:pos="383"/>
              </w:tabs>
              <w:spacing w:before="40" w:after="40"/>
              <w:rPr>
                <w:sz w:val="18"/>
                <w:szCs w:val="18"/>
              </w:rPr>
            </w:pPr>
            <w:r w:rsidRPr="000F1D67">
              <w:rPr>
                <w:color w:val="000000"/>
                <w:sz w:val="18"/>
                <w:szCs w:val="18"/>
              </w:rPr>
              <w:t>Journal of Applied Psychology</w:t>
            </w:r>
          </w:p>
        </w:tc>
        <w:tc>
          <w:tcPr>
            <w:tcW w:w="1687" w:type="dxa"/>
          </w:tcPr>
          <w:p w14:paraId="307C32A2" w14:textId="5B2CD02A" w:rsidR="000F1D67" w:rsidRPr="000F1D67" w:rsidRDefault="000F1D67" w:rsidP="000F1D67">
            <w:pPr>
              <w:tabs>
                <w:tab w:val="decimal" w:pos="383"/>
              </w:tabs>
              <w:spacing w:before="40" w:after="40"/>
              <w:jc w:val="center"/>
              <w:rPr>
                <w:sz w:val="18"/>
                <w:szCs w:val="18"/>
              </w:rPr>
            </w:pPr>
            <w:r w:rsidRPr="000F1D67">
              <w:rPr>
                <w:sz w:val="18"/>
                <w:szCs w:val="18"/>
              </w:rPr>
              <w:t>MBA students</w:t>
            </w:r>
          </w:p>
        </w:tc>
        <w:tc>
          <w:tcPr>
            <w:tcW w:w="1244" w:type="dxa"/>
          </w:tcPr>
          <w:p w14:paraId="43C2264C" w14:textId="3A462357"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581D0B43" w14:textId="2F3D13DF" w:rsidR="000F1D67" w:rsidRPr="000F1D67" w:rsidRDefault="000F1D67" w:rsidP="000F1D67">
            <w:pPr>
              <w:tabs>
                <w:tab w:val="decimal" w:pos="383"/>
              </w:tabs>
              <w:spacing w:before="40" w:after="40"/>
              <w:jc w:val="center"/>
              <w:rPr>
                <w:sz w:val="18"/>
                <w:szCs w:val="18"/>
              </w:rPr>
            </w:pPr>
            <w:r w:rsidRPr="000F1D67">
              <w:rPr>
                <w:sz w:val="18"/>
                <w:szCs w:val="18"/>
              </w:rPr>
              <w:t>205</w:t>
            </w:r>
          </w:p>
        </w:tc>
        <w:tc>
          <w:tcPr>
            <w:tcW w:w="1067" w:type="dxa"/>
          </w:tcPr>
          <w:p w14:paraId="1110328B" w14:textId="53081028" w:rsidR="000F1D67" w:rsidRPr="000F1D67" w:rsidRDefault="000F1D67" w:rsidP="000F1D67">
            <w:pPr>
              <w:tabs>
                <w:tab w:val="decimal" w:pos="383"/>
              </w:tabs>
              <w:spacing w:before="40" w:after="40"/>
              <w:jc w:val="center"/>
              <w:rPr>
                <w:sz w:val="18"/>
                <w:szCs w:val="18"/>
              </w:rPr>
            </w:pPr>
            <w:r w:rsidRPr="000F1D67">
              <w:rPr>
                <w:sz w:val="18"/>
                <w:szCs w:val="18"/>
              </w:rPr>
              <w:t>35/153</w:t>
            </w:r>
          </w:p>
        </w:tc>
        <w:tc>
          <w:tcPr>
            <w:tcW w:w="1249" w:type="dxa"/>
          </w:tcPr>
          <w:p w14:paraId="49EEC609" w14:textId="050612B6" w:rsidR="000F1D67" w:rsidRPr="000F1D67" w:rsidRDefault="000F1D67" w:rsidP="000F1D67">
            <w:pPr>
              <w:tabs>
                <w:tab w:val="decimal" w:pos="383"/>
              </w:tabs>
              <w:spacing w:before="40" w:after="40"/>
              <w:jc w:val="center"/>
              <w:rPr>
                <w:sz w:val="18"/>
                <w:szCs w:val="18"/>
              </w:rPr>
            </w:pPr>
            <w:r w:rsidRPr="000F1D67">
              <w:rPr>
                <w:sz w:val="18"/>
                <w:szCs w:val="18"/>
              </w:rPr>
              <w:t>8/52</w:t>
            </w:r>
          </w:p>
        </w:tc>
        <w:tc>
          <w:tcPr>
            <w:tcW w:w="1122" w:type="dxa"/>
          </w:tcPr>
          <w:p w14:paraId="1713D6D6" w14:textId="17D5DFA7" w:rsidR="000F1D67" w:rsidRPr="000F1D67" w:rsidRDefault="000F1D67" w:rsidP="000F1D67">
            <w:pPr>
              <w:tabs>
                <w:tab w:val="decimal" w:pos="383"/>
              </w:tabs>
              <w:spacing w:before="40" w:after="40"/>
              <w:jc w:val="center"/>
              <w:rPr>
                <w:sz w:val="18"/>
                <w:szCs w:val="18"/>
              </w:rPr>
            </w:pPr>
            <w:r w:rsidRPr="000F1D67">
              <w:rPr>
                <w:sz w:val="18"/>
                <w:szCs w:val="18"/>
              </w:rPr>
              <w:t>M &gt; W</w:t>
            </w:r>
          </w:p>
        </w:tc>
        <w:tc>
          <w:tcPr>
            <w:tcW w:w="630" w:type="dxa"/>
          </w:tcPr>
          <w:p w14:paraId="2A9EE0E1" w14:textId="01784070" w:rsidR="000F1D67" w:rsidRPr="000F1D67" w:rsidRDefault="000F1D67" w:rsidP="000F1D67">
            <w:pPr>
              <w:tabs>
                <w:tab w:val="decimal" w:pos="340"/>
              </w:tabs>
              <w:spacing w:before="40" w:after="40"/>
              <w:jc w:val="center"/>
              <w:rPr>
                <w:sz w:val="18"/>
                <w:szCs w:val="18"/>
              </w:rPr>
            </w:pPr>
            <w:r w:rsidRPr="000F1D67">
              <w:rPr>
                <w:sz w:val="18"/>
                <w:szCs w:val="18"/>
              </w:rPr>
              <w:t>1.31</w:t>
            </w:r>
          </w:p>
        </w:tc>
        <w:tc>
          <w:tcPr>
            <w:tcW w:w="810" w:type="dxa"/>
          </w:tcPr>
          <w:p w14:paraId="61B1377B" w14:textId="40E1BB32" w:rsidR="000F1D67" w:rsidRPr="000F1D67" w:rsidRDefault="000F1D67" w:rsidP="000F1D67">
            <w:pPr>
              <w:tabs>
                <w:tab w:val="decimal" w:pos="70"/>
              </w:tabs>
              <w:spacing w:before="40" w:after="40"/>
              <w:jc w:val="center"/>
              <w:rPr>
                <w:sz w:val="18"/>
                <w:szCs w:val="18"/>
              </w:rPr>
            </w:pPr>
            <w:r w:rsidRPr="000F1D67">
              <w:rPr>
                <w:sz w:val="18"/>
                <w:szCs w:val="18"/>
              </w:rPr>
              <w:t>.25</w:t>
            </w:r>
          </w:p>
        </w:tc>
      </w:tr>
      <w:tr w:rsidR="000F1D67" w:rsidRPr="000F1D67" w14:paraId="31EB6AF9" w14:textId="66AA5488" w:rsidTr="000F1D67">
        <w:tc>
          <w:tcPr>
            <w:tcW w:w="2610" w:type="dxa"/>
          </w:tcPr>
          <w:p w14:paraId="48403FD1" w14:textId="2609B672" w:rsidR="000F1D67" w:rsidRPr="000F1D67" w:rsidRDefault="000F1D67" w:rsidP="000F1D67">
            <w:pPr>
              <w:spacing w:before="40" w:after="40"/>
              <w:rPr>
                <w:sz w:val="18"/>
                <w:szCs w:val="18"/>
              </w:rPr>
            </w:pPr>
            <w:r w:rsidRPr="000F1D67">
              <w:rPr>
                <w:sz w:val="18"/>
                <w:szCs w:val="18"/>
              </w:rPr>
              <w:t>4. Holliday et al. (2015)</w:t>
            </w:r>
          </w:p>
        </w:tc>
        <w:tc>
          <w:tcPr>
            <w:tcW w:w="2070" w:type="dxa"/>
            <w:vAlign w:val="bottom"/>
          </w:tcPr>
          <w:p w14:paraId="3CFB891E" w14:textId="35D6CE75" w:rsidR="000F1D67" w:rsidRPr="000F1D67" w:rsidRDefault="000F1D67" w:rsidP="000F1D67">
            <w:pPr>
              <w:tabs>
                <w:tab w:val="decimal" w:pos="383"/>
              </w:tabs>
              <w:spacing w:before="40" w:after="40"/>
              <w:rPr>
                <w:sz w:val="18"/>
                <w:szCs w:val="18"/>
              </w:rPr>
            </w:pPr>
            <w:r w:rsidRPr="000F1D67">
              <w:rPr>
                <w:color w:val="000000"/>
                <w:sz w:val="18"/>
                <w:szCs w:val="18"/>
              </w:rPr>
              <w:t>Journal of General Internal Medicine</w:t>
            </w:r>
          </w:p>
        </w:tc>
        <w:tc>
          <w:tcPr>
            <w:tcW w:w="1687" w:type="dxa"/>
          </w:tcPr>
          <w:p w14:paraId="082DB85E" w14:textId="496C4040" w:rsidR="000F1D67" w:rsidRPr="000F1D67" w:rsidRDefault="000F1D67" w:rsidP="000F1D67">
            <w:pPr>
              <w:tabs>
                <w:tab w:val="decimal" w:pos="383"/>
              </w:tabs>
              <w:spacing w:before="40" w:after="40"/>
              <w:jc w:val="center"/>
              <w:rPr>
                <w:sz w:val="18"/>
                <w:szCs w:val="18"/>
              </w:rPr>
            </w:pPr>
            <w:r w:rsidRPr="000F1D67">
              <w:rPr>
                <w:sz w:val="18"/>
                <w:szCs w:val="18"/>
              </w:rPr>
              <w:t>Employees</w:t>
            </w:r>
          </w:p>
        </w:tc>
        <w:tc>
          <w:tcPr>
            <w:tcW w:w="1244" w:type="dxa"/>
          </w:tcPr>
          <w:p w14:paraId="6D8F626F" w14:textId="2FC6993F"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2CE7105C" w14:textId="2740536E" w:rsidR="000F1D67" w:rsidRPr="000F1D67" w:rsidRDefault="000F1D67" w:rsidP="000F1D67">
            <w:pPr>
              <w:tabs>
                <w:tab w:val="decimal" w:pos="383"/>
              </w:tabs>
              <w:spacing w:before="40" w:after="40"/>
              <w:jc w:val="center"/>
              <w:rPr>
                <w:sz w:val="18"/>
                <w:szCs w:val="18"/>
              </w:rPr>
            </w:pPr>
            <w:r w:rsidRPr="000F1D67">
              <w:rPr>
                <w:sz w:val="18"/>
                <w:szCs w:val="18"/>
              </w:rPr>
              <w:t>1,256</w:t>
            </w:r>
          </w:p>
        </w:tc>
        <w:tc>
          <w:tcPr>
            <w:tcW w:w="1067" w:type="dxa"/>
          </w:tcPr>
          <w:p w14:paraId="1C86870A" w14:textId="0D346935" w:rsidR="000F1D67" w:rsidRPr="000F1D67" w:rsidRDefault="000F1D67" w:rsidP="000F1D67">
            <w:pPr>
              <w:tabs>
                <w:tab w:val="decimal" w:pos="383"/>
              </w:tabs>
              <w:spacing w:before="40" w:after="40"/>
              <w:jc w:val="center"/>
              <w:rPr>
                <w:sz w:val="18"/>
                <w:szCs w:val="18"/>
              </w:rPr>
            </w:pPr>
            <w:r w:rsidRPr="000F1D67">
              <w:rPr>
                <w:sz w:val="18"/>
                <w:szCs w:val="18"/>
              </w:rPr>
              <w:t>244/680</w:t>
            </w:r>
          </w:p>
        </w:tc>
        <w:tc>
          <w:tcPr>
            <w:tcW w:w="1249" w:type="dxa"/>
          </w:tcPr>
          <w:p w14:paraId="1A2AF892" w14:textId="708C8583" w:rsidR="000F1D67" w:rsidRPr="000F1D67" w:rsidRDefault="000F1D67" w:rsidP="000F1D67">
            <w:pPr>
              <w:tabs>
                <w:tab w:val="decimal" w:pos="383"/>
              </w:tabs>
              <w:spacing w:before="40" w:after="40"/>
              <w:jc w:val="center"/>
              <w:rPr>
                <w:sz w:val="18"/>
                <w:szCs w:val="18"/>
              </w:rPr>
            </w:pPr>
            <w:r w:rsidRPr="000F1D67">
              <w:rPr>
                <w:sz w:val="18"/>
                <w:szCs w:val="18"/>
              </w:rPr>
              <w:t>247/576</w:t>
            </w:r>
          </w:p>
        </w:tc>
        <w:tc>
          <w:tcPr>
            <w:tcW w:w="1122" w:type="dxa"/>
          </w:tcPr>
          <w:p w14:paraId="0FF0ACF2" w14:textId="1C993D63" w:rsidR="000F1D67" w:rsidRPr="000F1D67" w:rsidRDefault="000F1D67" w:rsidP="000F1D67">
            <w:pPr>
              <w:tabs>
                <w:tab w:val="decimal" w:pos="383"/>
              </w:tabs>
              <w:spacing w:before="40" w:after="40"/>
              <w:jc w:val="center"/>
              <w:rPr>
                <w:sz w:val="18"/>
                <w:szCs w:val="18"/>
              </w:rPr>
            </w:pPr>
            <w:r w:rsidRPr="000F1D67">
              <w:rPr>
                <w:sz w:val="18"/>
                <w:szCs w:val="18"/>
              </w:rPr>
              <w:t>W &gt; M</w:t>
            </w:r>
          </w:p>
        </w:tc>
        <w:tc>
          <w:tcPr>
            <w:tcW w:w="630" w:type="dxa"/>
          </w:tcPr>
          <w:p w14:paraId="451F1E8B" w14:textId="69B81633" w:rsidR="000F1D67" w:rsidRPr="000F1D67" w:rsidRDefault="000F1D67" w:rsidP="000F1D67">
            <w:pPr>
              <w:tabs>
                <w:tab w:val="decimal" w:pos="340"/>
              </w:tabs>
              <w:spacing w:before="40" w:after="40"/>
              <w:jc w:val="center"/>
              <w:rPr>
                <w:sz w:val="18"/>
                <w:szCs w:val="18"/>
              </w:rPr>
            </w:pPr>
            <w:r w:rsidRPr="000F1D67">
              <w:rPr>
                <w:sz w:val="18"/>
                <w:szCs w:val="18"/>
              </w:rPr>
              <w:t>6.42</w:t>
            </w:r>
          </w:p>
        </w:tc>
        <w:tc>
          <w:tcPr>
            <w:tcW w:w="810" w:type="dxa"/>
          </w:tcPr>
          <w:p w14:paraId="2F79BFFF" w14:textId="32A45554" w:rsidR="000F1D67" w:rsidRPr="000F1D67" w:rsidRDefault="000F1D67" w:rsidP="000F1D67">
            <w:pPr>
              <w:tabs>
                <w:tab w:val="decimal" w:pos="70"/>
              </w:tabs>
              <w:spacing w:before="40" w:after="40"/>
              <w:jc w:val="center"/>
              <w:rPr>
                <w:sz w:val="18"/>
                <w:szCs w:val="18"/>
              </w:rPr>
            </w:pPr>
            <w:r w:rsidRPr="000F1D67">
              <w:rPr>
                <w:sz w:val="18"/>
                <w:szCs w:val="18"/>
              </w:rPr>
              <w:t>.01</w:t>
            </w:r>
          </w:p>
        </w:tc>
      </w:tr>
      <w:tr w:rsidR="000F1D67" w:rsidRPr="000F1D67" w14:paraId="0AF61572" w14:textId="6CC76443" w:rsidTr="000F1D67">
        <w:tc>
          <w:tcPr>
            <w:tcW w:w="2610" w:type="dxa"/>
          </w:tcPr>
          <w:p w14:paraId="2F7393B9" w14:textId="364C4C5E" w:rsidR="000F1D67" w:rsidRPr="000F1D67" w:rsidRDefault="000F1D67" w:rsidP="000F1D67">
            <w:pPr>
              <w:spacing w:before="40" w:after="40"/>
              <w:rPr>
                <w:sz w:val="18"/>
                <w:szCs w:val="18"/>
              </w:rPr>
            </w:pPr>
            <w:r w:rsidRPr="000F1D67">
              <w:rPr>
                <w:sz w:val="18"/>
                <w:szCs w:val="18"/>
              </w:rPr>
              <w:t xml:space="preserve">5. McLaughlin and </w:t>
            </w:r>
            <w:proofErr w:type="spellStart"/>
            <w:r w:rsidRPr="000F1D67">
              <w:rPr>
                <w:sz w:val="18"/>
                <w:szCs w:val="18"/>
              </w:rPr>
              <w:t>Hesli</w:t>
            </w:r>
            <w:proofErr w:type="spellEnd"/>
            <w:r w:rsidRPr="000F1D67">
              <w:rPr>
                <w:sz w:val="18"/>
                <w:szCs w:val="18"/>
              </w:rPr>
              <w:t xml:space="preserve"> (2013)</w:t>
            </w:r>
          </w:p>
        </w:tc>
        <w:tc>
          <w:tcPr>
            <w:tcW w:w="2070" w:type="dxa"/>
            <w:vAlign w:val="bottom"/>
          </w:tcPr>
          <w:p w14:paraId="512981D2" w14:textId="025C9CF3" w:rsidR="000F1D67" w:rsidRPr="000F1D67" w:rsidRDefault="000F1D67" w:rsidP="000F1D67">
            <w:pPr>
              <w:tabs>
                <w:tab w:val="decimal" w:pos="383"/>
              </w:tabs>
              <w:spacing w:before="40" w:after="40"/>
              <w:rPr>
                <w:sz w:val="18"/>
                <w:szCs w:val="18"/>
              </w:rPr>
            </w:pPr>
            <w:r w:rsidRPr="000F1D67">
              <w:rPr>
                <w:color w:val="000000"/>
                <w:sz w:val="18"/>
                <w:szCs w:val="18"/>
              </w:rPr>
              <w:t>Political Science and Politics</w:t>
            </w:r>
          </w:p>
        </w:tc>
        <w:tc>
          <w:tcPr>
            <w:tcW w:w="1687" w:type="dxa"/>
          </w:tcPr>
          <w:p w14:paraId="63C95968" w14:textId="4AD5D0E4" w:rsidR="000F1D67" w:rsidRPr="000F1D67" w:rsidRDefault="000F1D67" w:rsidP="000F1D67">
            <w:pPr>
              <w:tabs>
                <w:tab w:val="decimal" w:pos="383"/>
              </w:tabs>
              <w:spacing w:before="40" w:after="40"/>
              <w:jc w:val="center"/>
              <w:rPr>
                <w:sz w:val="18"/>
                <w:szCs w:val="18"/>
              </w:rPr>
            </w:pPr>
            <w:r w:rsidRPr="000F1D67">
              <w:rPr>
                <w:sz w:val="18"/>
                <w:szCs w:val="18"/>
              </w:rPr>
              <w:t>Employees</w:t>
            </w:r>
          </w:p>
        </w:tc>
        <w:tc>
          <w:tcPr>
            <w:tcW w:w="1244" w:type="dxa"/>
          </w:tcPr>
          <w:p w14:paraId="558F0A73" w14:textId="70F1DB27"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2D1846B5" w14:textId="69CD7082" w:rsidR="000F1D67" w:rsidRPr="000F1D67" w:rsidRDefault="000F1D67" w:rsidP="000F1D67">
            <w:pPr>
              <w:tabs>
                <w:tab w:val="decimal" w:pos="383"/>
              </w:tabs>
              <w:spacing w:before="40" w:after="40"/>
              <w:jc w:val="center"/>
              <w:rPr>
                <w:sz w:val="18"/>
                <w:szCs w:val="18"/>
              </w:rPr>
            </w:pPr>
            <w:r w:rsidRPr="000F1D67">
              <w:rPr>
                <w:sz w:val="18"/>
                <w:szCs w:val="18"/>
              </w:rPr>
              <w:t>1,399</w:t>
            </w:r>
          </w:p>
        </w:tc>
        <w:tc>
          <w:tcPr>
            <w:tcW w:w="1067" w:type="dxa"/>
          </w:tcPr>
          <w:p w14:paraId="7F0A5C51" w14:textId="694DAE3D" w:rsidR="000F1D67" w:rsidRPr="000F1D67" w:rsidRDefault="000F1D67" w:rsidP="000F1D67">
            <w:pPr>
              <w:tabs>
                <w:tab w:val="decimal" w:pos="383"/>
              </w:tabs>
              <w:spacing w:before="40" w:after="40"/>
              <w:jc w:val="center"/>
              <w:rPr>
                <w:sz w:val="18"/>
                <w:szCs w:val="18"/>
              </w:rPr>
            </w:pPr>
            <w:r w:rsidRPr="000F1D67">
              <w:rPr>
                <w:sz w:val="18"/>
                <w:szCs w:val="18"/>
              </w:rPr>
              <w:t>190/1,049</w:t>
            </w:r>
          </w:p>
        </w:tc>
        <w:tc>
          <w:tcPr>
            <w:tcW w:w="1249" w:type="dxa"/>
          </w:tcPr>
          <w:p w14:paraId="6623CE1F" w14:textId="6F705528" w:rsidR="000F1D67" w:rsidRPr="000F1D67" w:rsidRDefault="000F1D67" w:rsidP="000F1D67">
            <w:pPr>
              <w:tabs>
                <w:tab w:val="decimal" w:pos="383"/>
              </w:tabs>
              <w:spacing w:before="40" w:after="40"/>
              <w:jc w:val="center"/>
              <w:rPr>
                <w:sz w:val="18"/>
                <w:szCs w:val="18"/>
              </w:rPr>
            </w:pPr>
            <w:r w:rsidRPr="000F1D67">
              <w:rPr>
                <w:sz w:val="18"/>
                <w:szCs w:val="18"/>
              </w:rPr>
              <w:t>70/350</w:t>
            </w:r>
          </w:p>
        </w:tc>
        <w:tc>
          <w:tcPr>
            <w:tcW w:w="1122" w:type="dxa"/>
          </w:tcPr>
          <w:p w14:paraId="4987FDB9" w14:textId="58590A7D" w:rsidR="000F1D67" w:rsidRPr="000F1D67" w:rsidRDefault="000F1D67" w:rsidP="000F1D67">
            <w:pPr>
              <w:tabs>
                <w:tab w:val="decimal" w:pos="383"/>
              </w:tabs>
              <w:spacing w:before="40" w:after="40"/>
              <w:jc w:val="center"/>
              <w:rPr>
                <w:sz w:val="18"/>
                <w:szCs w:val="18"/>
              </w:rPr>
            </w:pPr>
            <w:r w:rsidRPr="000F1D67">
              <w:rPr>
                <w:sz w:val="18"/>
                <w:szCs w:val="18"/>
              </w:rPr>
              <w:t>W &gt; M</w:t>
            </w:r>
          </w:p>
        </w:tc>
        <w:tc>
          <w:tcPr>
            <w:tcW w:w="630" w:type="dxa"/>
          </w:tcPr>
          <w:p w14:paraId="16E6B71B" w14:textId="17C429A9" w:rsidR="000F1D67" w:rsidRPr="000F1D67" w:rsidRDefault="000F1D67" w:rsidP="000F1D67">
            <w:pPr>
              <w:tabs>
                <w:tab w:val="decimal" w:pos="340"/>
              </w:tabs>
              <w:spacing w:before="40" w:after="40"/>
              <w:jc w:val="center"/>
              <w:rPr>
                <w:sz w:val="18"/>
                <w:szCs w:val="18"/>
              </w:rPr>
            </w:pPr>
            <w:r w:rsidRPr="000F1D67">
              <w:rPr>
                <w:sz w:val="18"/>
                <w:szCs w:val="18"/>
              </w:rPr>
              <w:t>0.62</w:t>
            </w:r>
          </w:p>
        </w:tc>
        <w:tc>
          <w:tcPr>
            <w:tcW w:w="810" w:type="dxa"/>
          </w:tcPr>
          <w:p w14:paraId="385E5B3F" w14:textId="7C8CC19F" w:rsidR="000F1D67" w:rsidRPr="000F1D67" w:rsidRDefault="000F1D67" w:rsidP="000F1D67">
            <w:pPr>
              <w:tabs>
                <w:tab w:val="decimal" w:pos="70"/>
              </w:tabs>
              <w:spacing w:before="40" w:after="40"/>
              <w:jc w:val="center"/>
              <w:rPr>
                <w:sz w:val="18"/>
                <w:szCs w:val="18"/>
              </w:rPr>
            </w:pPr>
            <w:r w:rsidRPr="000F1D67">
              <w:rPr>
                <w:sz w:val="18"/>
                <w:szCs w:val="18"/>
              </w:rPr>
              <w:t>.43</w:t>
            </w:r>
          </w:p>
        </w:tc>
      </w:tr>
      <w:tr w:rsidR="000F1D67" w:rsidRPr="000F1D67" w14:paraId="013C6FAE" w14:textId="16DF51F0" w:rsidTr="000F1D67">
        <w:tc>
          <w:tcPr>
            <w:tcW w:w="2610" w:type="dxa"/>
          </w:tcPr>
          <w:p w14:paraId="1DA15A02" w14:textId="1D3CDD4D" w:rsidR="000F1D67" w:rsidRPr="000F1D67" w:rsidRDefault="000F1D67" w:rsidP="000F1D67">
            <w:pPr>
              <w:spacing w:before="40" w:after="40"/>
              <w:rPr>
                <w:sz w:val="18"/>
                <w:szCs w:val="18"/>
              </w:rPr>
            </w:pPr>
            <w:r w:rsidRPr="000F1D67">
              <w:rPr>
                <w:sz w:val="18"/>
                <w:szCs w:val="18"/>
              </w:rPr>
              <w:t>6. O’Shea and Bush (2002)</w:t>
            </w:r>
          </w:p>
        </w:tc>
        <w:tc>
          <w:tcPr>
            <w:tcW w:w="2070" w:type="dxa"/>
            <w:vAlign w:val="bottom"/>
          </w:tcPr>
          <w:p w14:paraId="2DA05A57" w14:textId="66008DF7" w:rsidR="000F1D67" w:rsidRPr="000F1D67" w:rsidRDefault="000F1D67" w:rsidP="000F1D67">
            <w:pPr>
              <w:tabs>
                <w:tab w:val="decimal" w:pos="383"/>
              </w:tabs>
              <w:spacing w:before="40" w:after="40"/>
              <w:rPr>
                <w:sz w:val="18"/>
                <w:szCs w:val="18"/>
              </w:rPr>
            </w:pPr>
            <w:r w:rsidRPr="000F1D67">
              <w:rPr>
                <w:color w:val="000000"/>
                <w:sz w:val="18"/>
                <w:szCs w:val="18"/>
              </w:rPr>
              <w:t>Journal of Business and Psychology</w:t>
            </w:r>
          </w:p>
        </w:tc>
        <w:tc>
          <w:tcPr>
            <w:tcW w:w="1687" w:type="dxa"/>
          </w:tcPr>
          <w:p w14:paraId="14ECABDB" w14:textId="3B5531CB" w:rsidR="000F1D67" w:rsidRPr="000F1D67" w:rsidRDefault="000F1D67" w:rsidP="000F1D67">
            <w:pPr>
              <w:tabs>
                <w:tab w:val="decimal" w:pos="383"/>
              </w:tabs>
              <w:spacing w:before="40" w:after="40"/>
              <w:jc w:val="center"/>
              <w:rPr>
                <w:sz w:val="18"/>
                <w:szCs w:val="18"/>
              </w:rPr>
            </w:pPr>
            <w:r w:rsidRPr="000F1D67">
              <w:rPr>
                <w:sz w:val="18"/>
                <w:szCs w:val="18"/>
              </w:rPr>
              <w:t>Employees</w:t>
            </w:r>
          </w:p>
        </w:tc>
        <w:tc>
          <w:tcPr>
            <w:tcW w:w="1244" w:type="dxa"/>
          </w:tcPr>
          <w:p w14:paraId="2C4AFE44" w14:textId="09715C22"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73455BF1" w14:textId="2B8B69F5" w:rsidR="000F1D67" w:rsidRPr="000F1D67" w:rsidRDefault="000F1D67" w:rsidP="000F1D67">
            <w:pPr>
              <w:tabs>
                <w:tab w:val="decimal" w:pos="383"/>
              </w:tabs>
              <w:spacing w:before="40" w:after="40"/>
              <w:jc w:val="center"/>
              <w:rPr>
                <w:sz w:val="18"/>
                <w:szCs w:val="18"/>
              </w:rPr>
            </w:pPr>
            <w:r w:rsidRPr="000F1D67">
              <w:rPr>
                <w:sz w:val="18"/>
                <w:szCs w:val="18"/>
              </w:rPr>
              <w:t>211</w:t>
            </w:r>
          </w:p>
        </w:tc>
        <w:tc>
          <w:tcPr>
            <w:tcW w:w="1067" w:type="dxa"/>
          </w:tcPr>
          <w:p w14:paraId="388F5956" w14:textId="79EBD5B4" w:rsidR="000F1D67" w:rsidRPr="000F1D67" w:rsidRDefault="000F1D67" w:rsidP="000F1D67">
            <w:pPr>
              <w:tabs>
                <w:tab w:val="decimal" w:pos="383"/>
              </w:tabs>
              <w:spacing w:before="40" w:after="40"/>
              <w:jc w:val="center"/>
              <w:rPr>
                <w:sz w:val="18"/>
                <w:szCs w:val="18"/>
              </w:rPr>
            </w:pPr>
            <w:r w:rsidRPr="000F1D67">
              <w:rPr>
                <w:sz w:val="18"/>
                <w:szCs w:val="18"/>
              </w:rPr>
              <w:t>10/65</w:t>
            </w:r>
          </w:p>
        </w:tc>
        <w:tc>
          <w:tcPr>
            <w:tcW w:w="1249" w:type="dxa"/>
          </w:tcPr>
          <w:p w14:paraId="60D3E5F0" w14:textId="29614808" w:rsidR="000F1D67" w:rsidRPr="000F1D67" w:rsidRDefault="000F1D67" w:rsidP="000F1D67">
            <w:pPr>
              <w:tabs>
                <w:tab w:val="decimal" w:pos="383"/>
              </w:tabs>
              <w:spacing w:before="40" w:after="40"/>
              <w:jc w:val="center"/>
              <w:rPr>
                <w:sz w:val="18"/>
                <w:szCs w:val="18"/>
              </w:rPr>
            </w:pPr>
            <w:r w:rsidRPr="000F1D67">
              <w:rPr>
                <w:sz w:val="18"/>
                <w:szCs w:val="18"/>
              </w:rPr>
              <w:t>32/146</w:t>
            </w:r>
          </w:p>
        </w:tc>
        <w:tc>
          <w:tcPr>
            <w:tcW w:w="1122" w:type="dxa"/>
          </w:tcPr>
          <w:p w14:paraId="612D010D" w14:textId="68D8BD3F" w:rsidR="000F1D67" w:rsidRPr="000F1D67" w:rsidRDefault="000F1D67" w:rsidP="000F1D67">
            <w:pPr>
              <w:tabs>
                <w:tab w:val="decimal" w:pos="383"/>
              </w:tabs>
              <w:spacing w:before="40" w:after="40"/>
              <w:jc w:val="center"/>
              <w:rPr>
                <w:sz w:val="18"/>
                <w:szCs w:val="18"/>
              </w:rPr>
            </w:pPr>
            <w:r w:rsidRPr="000F1D67">
              <w:rPr>
                <w:sz w:val="18"/>
                <w:szCs w:val="18"/>
              </w:rPr>
              <w:t>W &gt; M</w:t>
            </w:r>
          </w:p>
        </w:tc>
        <w:tc>
          <w:tcPr>
            <w:tcW w:w="630" w:type="dxa"/>
          </w:tcPr>
          <w:p w14:paraId="4890B41E" w14:textId="0CD96CF8" w:rsidR="000F1D67" w:rsidRPr="000F1D67" w:rsidRDefault="000F1D67" w:rsidP="000F1D67">
            <w:pPr>
              <w:tabs>
                <w:tab w:val="decimal" w:pos="340"/>
              </w:tabs>
              <w:spacing w:before="40" w:after="40"/>
              <w:jc w:val="center"/>
              <w:rPr>
                <w:sz w:val="18"/>
                <w:szCs w:val="18"/>
              </w:rPr>
            </w:pPr>
            <w:r w:rsidRPr="000F1D67">
              <w:rPr>
                <w:sz w:val="18"/>
                <w:szCs w:val="18"/>
              </w:rPr>
              <w:t>1.20</w:t>
            </w:r>
          </w:p>
        </w:tc>
        <w:tc>
          <w:tcPr>
            <w:tcW w:w="810" w:type="dxa"/>
          </w:tcPr>
          <w:p w14:paraId="105713B2" w14:textId="70540F52" w:rsidR="000F1D67" w:rsidRPr="000F1D67" w:rsidRDefault="000F1D67" w:rsidP="000F1D67">
            <w:pPr>
              <w:tabs>
                <w:tab w:val="decimal" w:pos="70"/>
              </w:tabs>
              <w:spacing w:before="40" w:after="40"/>
              <w:jc w:val="center"/>
              <w:rPr>
                <w:sz w:val="18"/>
                <w:szCs w:val="18"/>
              </w:rPr>
            </w:pPr>
            <w:r w:rsidRPr="000F1D67">
              <w:rPr>
                <w:sz w:val="18"/>
                <w:szCs w:val="18"/>
              </w:rPr>
              <w:t>.27</w:t>
            </w:r>
          </w:p>
        </w:tc>
      </w:tr>
      <w:tr w:rsidR="000F1D67" w:rsidRPr="000F1D67" w14:paraId="5CC4B01D" w14:textId="779B4D48" w:rsidTr="000F1D67">
        <w:tc>
          <w:tcPr>
            <w:tcW w:w="2610" w:type="dxa"/>
          </w:tcPr>
          <w:p w14:paraId="06951439" w14:textId="54540B48" w:rsidR="000F1D67" w:rsidRPr="000F1D67" w:rsidRDefault="000F1D67" w:rsidP="000F1D67">
            <w:pPr>
              <w:spacing w:before="40" w:after="40"/>
              <w:rPr>
                <w:sz w:val="18"/>
                <w:szCs w:val="18"/>
              </w:rPr>
            </w:pPr>
            <w:r w:rsidRPr="000F1D67">
              <w:rPr>
                <w:sz w:val="18"/>
                <w:szCs w:val="18"/>
              </w:rPr>
              <w:t>7. Probert (2005)</w:t>
            </w:r>
          </w:p>
        </w:tc>
        <w:tc>
          <w:tcPr>
            <w:tcW w:w="2070" w:type="dxa"/>
            <w:vAlign w:val="bottom"/>
          </w:tcPr>
          <w:p w14:paraId="23798BA7" w14:textId="1644DD51" w:rsidR="000F1D67" w:rsidRPr="000F1D67" w:rsidRDefault="000F1D67" w:rsidP="000F1D67">
            <w:pPr>
              <w:tabs>
                <w:tab w:val="decimal" w:pos="383"/>
              </w:tabs>
              <w:spacing w:before="40" w:after="40"/>
              <w:rPr>
                <w:sz w:val="18"/>
                <w:szCs w:val="18"/>
              </w:rPr>
            </w:pPr>
            <w:r w:rsidRPr="000F1D67">
              <w:rPr>
                <w:color w:val="000000"/>
                <w:sz w:val="18"/>
                <w:szCs w:val="18"/>
              </w:rPr>
              <w:t>Gender, Work, and Organization</w:t>
            </w:r>
          </w:p>
        </w:tc>
        <w:tc>
          <w:tcPr>
            <w:tcW w:w="1687" w:type="dxa"/>
          </w:tcPr>
          <w:p w14:paraId="7D7A2FFE" w14:textId="60450619" w:rsidR="000F1D67" w:rsidRPr="000F1D67" w:rsidRDefault="000F1D67" w:rsidP="000F1D67">
            <w:pPr>
              <w:tabs>
                <w:tab w:val="decimal" w:pos="383"/>
              </w:tabs>
              <w:spacing w:before="40" w:after="40"/>
              <w:jc w:val="center"/>
              <w:rPr>
                <w:sz w:val="18"/>
                <w:szCs w:val="18"/>
              </w:rPr>
            </w:pPr>
            <w:r w:rsidRPr="000F1D67">
              <w:rPr>
                <w:sz w:val="18"/>
                <w:szCs w:val="18"/>
              </w:rPr>
              <w:t>Employees</w:t>
            </w:r>
          </w:p>
        </w:tc>
        <w:tc>
          <w:tcPr>
            <w:tcW w:w="1244" w:type="dxa"/>
          </w:tcPr>
          <w:p w14:paraId="03C87D28" w14:textId="5CE84CA8"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60C4BBED" w14:textId="014330BC" w:rsidR="000F1D67" w:rsidRPr="000F1D67" w:rsidRDefault="000F1D67" w:rsidP="000F1D67">
            <w:pPr>
              <w:tabs>
                <w:tab w:val="decimal" w:pos="383"/>
              </w:tabs>
              <w:spacing w:before="40" w:after="40"/>
              <w:jc w:val="center"/>
              <w:rPr>
                <w:sz w:val="18"/>
                <w:szCs w:val="18"/>
              </w:rPr>
            </w:pPr>
            <w:r w:rsidRPr="000F1D67">
              <w:rPr>
                <w:sz w:val="18"/>
                <w:szCs w:val="18"/>
              </w:rPr>
              <w:t>181</w:t>
            </w:r>
          </w:p>
        </w:tc>
        <w:tc>
          <w:tcPr>
            <w:tcW w:w="1067" w:type="dxa"/>
          </w:tcPr>
          <w:p w14:paraId="6B600E4A" w14:textId="091A0615" w:rsidR="000F1D67" w:rsidRPr="000F1D67" w:rsidRDefault="000F1D67" w:rsidP="000F1D67">
            <w:pPr>
              <w:tabs>
                <w:tab w:val="decimal" w:pos="383"/>
              </w:tabs>
              <w:spacing w:before="40" w:after="40"/>
              <w:jc w:val="center"/>
              <w:rPr>
                <w:sz w:val="18"/>
                <w:szCs w:val="18"/>
              </w:rPr>
            </w:pPr>
            <w:r w:rsidRPr="000F1D67">
              <w:rPr>
                <w:sz w:val="18"/>
                <w:szCs w:val="18"/>
              </w:rPr>
              <w:t>116/141</w:t>
            </w:r>
          </w:p>
        </w:tc>
        <w:tc>
          <w:tcPr>
            <w:tcW w:w="1249" w:type="dxa"/>
          </w:tcPr>
          <w:p w14:paraId="0E05C3C9" w14:textId="1993173A" w:rsidR="000F1D67" w:rsidRPr="000F1D67" w:rsidRDefault="000F1D67" w:rsidP="000F1D67">
            <w:pPr>
              <w:tabs>
                <w:tab w:val="decimal" w:pos="383"/>
              </w:tabs>
              <w:spacing w:before="40" w:after="40"/>
              <w:jc w:val="center"/>
              <w:rPr>
                <w:sz w:val="18"/>
                <w:szCs w:val="18"/>
              </w:rPr>
            </w:pPr>
            <w:r w:rsidRPr="000F1D67">
              <w:rPr>
                <w:sz w:val="18"/>
                <w:szCs w:val="18"/>
              </w:rPr>
              <w:t>30/40</w:t>
            </w:r>
          </w:p>
        </w:tc>
        <w:tc>
          <w:tcPr>
            <w:tcW w:w="1122" w:type="dxa"/>
          </w:tcPr>
          <w:p w14:paraId="677E4F34" w14:textId="0E17DEA9" w:rsidR="000F1D67" w:rsidRPr="000F1D67" w:rsidRDefault="000F1D67" w:rsidP="000F1D67">
            <w:pPr>
              <w:tabs>
                <w:tab w:val="decimal" w:pos="383"/>
              </w:tabs>
              <w:spacing w:before="40" w:after="40"/>
              <w:jc w:val="center"/>
              <w:rPr>
                <w:sz w:val="18"/>
                <w:szCs w:val="18"/>
              </w:rPr>
            </w:pPr>
            <w:r w:rsidRPr="000F1D67">
              <w:rPr>
                <w:sz w:val="18"/>
                <w:szCs w:val="18"/>
              </w:rPr>
              <w:t>M &gt; W</w:t>
            </w:r>
          </w:p>
        </w:tc>
        <w:tc>
          <w:tcPr>
            <w:tcW w:w="630" w:type="dxa"/>
          </w:tcPr>
          <w:p w14:paraId="20071950" w14:textId="11B35052" w:rsidR="000F1D67" w:rsidRPr="000F1D67" w:rsidRDefault="000F1D67" w:rsidP="000F1D67">
            <w:pPr>
              <w:tabs>
                <w:tab w:val="decimal" w:pos="340"/>
              </w:tabs>
              <w:spacing w:before="40" w:after="40"/>
              <w:jc w:val="center"/>
              <w:rPr>
                <w:sz w:val="18"/>
                <w:szCs w:val="18"/>
              </w:rPr>
            </w:pPr>
            <w:r w:rsidRPr="000F1D67">
              <w:rPr>
                <w:sz w:val="18"/>
                <w:szCs w:val="18"/>
              </w:rPr>
              <w:t>1.06</w:t>
            </w:r>
          </w:p>
        </w:tc>
        <w:tc>
          <w:tcPr>
            <w:tcW w:w="810" w:type="dxa"/>
          </w:tcPr>
          <w:p w14:paraId="1BF0B726" w14:textId="36F204B5" w:rsidR="000F1D67" w:rsidRPr="000F1D67" w:rsidRDefault="000F1D67" w:rsidP="000F1D67">
            <w:pPr>
              <w:tabs>
                <w:tab w:val="decimal" w:pos="70"/>
              </w:tabs>
              <w:spacing w:before="40" w:after="40"/>
              <w:jc w:val="center"/>
              <w:rPr>
                <w:sz w:val="18"/>
                <w:szCs w:val="18"/>
              </w:rPr>
            </w:pPr>
            <w:r w:rsidRPr="000F1D67">
              <w:rPr>
                <w:sz w:val="18"/>
                <w:szCs w:val="18"/>
              </w:rPr>
              <w:t>.30</w:t>
            </w:r>
          </w:p>
        </w:tc>
      </w:tr>
      <w:tr w:rsidR="000F1D67" w:rsidRPr="000F1D67" w14:paraId="1E6EF7BF" w14:textId="35BDDB7F" w:rsidTr="000F1D67">
        <w:trPr>
          <w:trHeight w:val="60"/>
        </w:trPr>
        <w:tc>
          <w:tcPr>
            <w:tcW w:w="2610" w:type="dxa"/>
          </w:tcPr>
          <w:p w14:paraId="1A38DBB0" w14:textId="46E669F8" w:rsidR="000F1D67" w:rsidRPr="000F1D67" w:rsidRDefault="00722AB0" w:rsidP="000F1D67">
            <w:pPr>
              <w:spacing w:before="40" w:after="40"/>
              <w:rPr>
                <w:sz w:val="18"/>
                <w:szCs w:val="18"/>
              </w:rPr>
            </w:pPr>
            <w:r>
              <w:rPr>
                <w:sz w:val="18"/>
                <w:szCs w:val="18"/>
              </w:rPr>
              <w:t>8</w:t>
            </w:r>
            <w:r w:rsidR="000F1D67" w:rsidRPr="000F1D67">
              <w:rPr>
                <w:sz w:val="18"/>
                <w:szCs w:val="18"/>
              </w:rPr>
              <w:t>. Simmer (</w:t>
            </w:r>
            <w:proofErr w:type="gramStart"/>
            <w:r w:rsidR="000F1D67" w:rsidRPr="000F1D67">
              <w:rPr>
                <w:sz w:val="18"/>
                <w:szCs w:val="18"/>
              </w:rPr>
              <w:t>2013)*</w:t>
            </w:r>
            <w:proofErr w:type="gramEnd"/>
          </w:p>
        </w:tc>
        <w:tc>
          <w:tcPr>
            <w:tcW w:w="2070" w:type="dxa"/>
            <w:vAlign w:val="bottom"/>
          </w:tcPr>
          <w:p w14:paraId="3E12787A" w14:textId="6A0805E0" w:rsidR="000F1D67" w:rsidRPr="000F1D67" w:rsidRDefault="000F1D67" w:rsidP="000F1D67">
            <w:pPr>
              <w:tabs>
                <w:tab w:val="decimal" w:pos="383"/>
              </w:tabs>
              <w:spacing w:before="40" w:after="40"/>
              <w:rPr>
                <w:sz w:val="18"/>
                <w:szCs w:val="18"/>
              </w:rPr>
            </w:pPr>
            <w:r w:rsidRPr="000F1D67">
              <w:rPr>
                <w:color w:val="000000"/>
                <w:sz w:val="18"/>
                <w:szCs w:val="18"/>
              </w:rPr>
              <w:t>Unpublished manuscript</w:t>
            </w:r>
          </w:p>
        </w:tc>
        <w:tc>
          <w:tcPr>
            <w:tcW w:w="1687" w:type="dxa"/>
          </w:tcPr>
          <w:p w14:paraId="7F5E4C5F" w14:textId="693EC084" w:rsidR="000F1D67" w:rsidRPr="000F1D67" w:rsidRDefault="000F1D67" w:rsidP="000F1D67">
            <w:pPr>
              <w:tabs>
                <w:tab w:val="decimal" w:pos="383"/>
              </w:tabs>
              <w:spacing w:before="40" w:after="40"/>
              <w:jc w:val="center"/>
              <w:rPr>
                <w:sz w:val="18"/>
                <w:szCs w:val="18"/>
              </w:rPr>
            </w:pPr>
            <w:r w:rsidRPr="000F1D67">
              <w:rPr>
                <w:sz w:val="18"/>
                <w:szCs w:val="18"/>
              </w:rPr>
              <w:t>Mixed sample</w:t>
            </w:r>
          </w:p>
        </w:tc>
        <w:tc>
          <w:tcPr>
            <w:tcW w:w="1244" w:type="dxa"/>
          </w:tcPr>
          <w:p w14:paraId="45097CD1" w14:textId="033CF66C"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38D1A87E" w14:textId="16260CC4" w:rsidR="000F1D67" w:rsidRPr="000F1D67" w:rsidRDefault="000F1D67" w:rsidP="000F1D67">
            <w:pPr>
              <w:tabs>
                <w:tab w:val="decimal" w:pos="383"/>
              </w:tabs>
              <w:spacing w:before="40" w:after="40"/>
              <w:jc w:val="center"/>
              <w:rPr>
                <w:sz w:val="18"/>
                <w:szCs w:val="18"/>
              </w:rPr>
            </w:pPr>
            <w:r w:rsidRPr="000F1D67">
              <w:rPr>
                <w:sz w:val="18"/>
                <w:szCs w:val="18"/>
              </w:rPr>
              <w:t>1,011</w:t>
            </w:r>
          </w:p>
        </w:tc>
        <w:tc>
          <w:tcPr>
            <w:tcW w:w="1067" w:type="dxa"/>
          </w:tcPr>
          <w:p w14:paraId="73EC43C9" w14:textId="2FFB2634" w:rsidR="000F1D67" w:rsidRPr="000F1D67" w:rsidRDefault="000F1D67" w:rsidP="000F1D67">
            <w:pPr>
              <w:tabs>
                <w:tab w:val="decimal" w:pos="383"/>
              </w:tabs>
              <w:spacing w:before="40" w:after="40"/>
              <w:jc w:val="center"/>
              <w:rPr>
                <w:sz w:val="18"/>
                <w:szCs w:val="18"/>
              </w:rPr>
            </w:pPr>
            <w:r w:rsidRPr="000F1D67">
              <w:rPr>
                <w:sz w:val="18"/>
                <w:szCs w:val="18"/>
              </w:rPr>
              <w:t>204/402</w:t>
            </w:r>
          </w:p>
        </w:tc>
        <w:tc>
          <w:tcPr>
            <w:tcW w:w="1249" w:type="dxa"/>
          </w:tcPr>
          <w:p w14:paraId="03AF44B5" w14:textId="2188C2FD" w:rsidR="000F1D67" w:rsidRPr="000F1D67" w:rsidRDefault="000F1D67" w:rsidP="000F1D67">
            <w:pPr>
              <w:tabs>
                <w:tab w:val="decimal" w:pos="383"/>
              </w:tabs>
              <w:spacing w:before="40" w:after="40"/>
              <w:jc w:val="center"/>
              <w:rPr>
                <w:sz w:val="18"/>
                <w:szCs w:val="18"/>
              </w:rPr>
            </w:pPr>
            <w:r w:rsidRPr="000F1D67">
              <w:rPr>
                <w:sz w:val="18"/>
                <w:szCs w:val="18"/>
              </w:rPr>
              <w:t>307/609</w:t>
            </w:r>
          </w:p>
        </w:tc>
        <w:tc>
          <w:tcPr>
            <w:tcW w:w="1122" w:type="dxa"/>
          </w:tcPr>
          <w:p w14:paraId="41E0697B" w14:textId="00C8CA60" w:rsidR="000F1D67" w:rsidRPr="000F1D67" w:rsidRDefault="000F1D67" w:rsidP="000F1D67">
            <w:pPr>
              <w:tabs>
                <w:tab w:val="decimal" w:pos="383"/>
              </w:tabs>
              <w:spacing w:before="40" w:after="40"/>
              <w:jc w:val="center"/>
              <w:rPr>
                <w:sz w:val="18"/>
                <w:szCs w:val="18"/>
              </w:rPr>
            </w:pPr>
            <w:r w:rsidRPr="000F1D67">
              <w:rPr>
                <w:sz w:val="18"/>
                <w:szCs w:val="18"/>
              </w:rPr>
              <w:t>M &gt; W</w:t>
            </w:r>
          </w:p>
        </w:tc>
        <w:tc>
          <w:tcPr>
            <w:tcW w:w="630" w:type="dxa"/>
          </w:tcPr>
          <w:p w14:paraId="7A880152" w14:textId="00FDE779" w:rsidR="000F1D67" w:rsidRPr="000F1D67" w:rsidRDefault="000F1D67" w:rsidP="000F1D67">
            <w:pPr>
              <w:tabs>
                <w:tab w:val="decimal" w:pos="340"/>
              </w:tabs>
              <w:spacing w:before="40" w:after="40"/>
              <w:jc w:val="center"/>
              <w:rPr>
                <w:sz w:val="18"/>
                <w:szCs w:val="18"/>
              </w:rPr>
            </w:pPr>
            <w:r w:rsidRPr="000F1D67">
              <w:rPr>
                <w:sz w:val="18"/>
                <w:szCs w:val="18"/>
              </w:rPr>
              <w:t>0.01</w:t>
            </w:r>
          </w:p>
        </w:tc>
        <w:tc>
          <w:tcPr>
            <w:tcW w:w="810" w:type="dxa"/>
          </w:tcPr>
          <w:p w14:paraId="4F9A6F67" w14:textId="056F1F64" w:rsidR="000F1D67" w:rsidRPr="000F1D67" w:rsidRDefault="000F1D67" w:rsidP="000F1D67">
            <w:pPr>
              <w:tabs>
                <w:tab w:val="decimal" w:pos="70"/>
              </w:tabs>
              <w:spacing w:before="40" w:after="40"/>
              <w:jc w:val="center"/>
              <w:rPr>
                <w:sz w:val="18"/>
                <w:szCs w:val="18"/>
              </w:rPr>
            </w:pPr>
            <w:r w:rsidRPr="000F1D67">
              <w:rPr>
                <w:sz w:val="18"/>
                <w:szCs w:val="18"/>
              </w:rPr>
              <w:t>.92</w:t>
            </w:r>
          </w:p>
        </w:tc>
      </w:tr>
      <w:tr w:rsidR="000F1D67" w:rsidRPr="000F1D67" w14:paraId="7FB1BBD4" w14:textId="72B09B35" w:rsidTr="000F1D67">
        <w:tc>
          <w:tcPr>
            <w:tcW w:w="2610" w:type="dxa"/>
          </w:tcPr>
          <w:p w14:paraId="57597F89" w14:textId="46BDC1D5" w:rsidR="000F1D67" w:rsidRPr="000F1D67" w:rsidRDefault="00722AB0" w:rsidP="000F1D67">
            <w:pPr>
              <w:spacing w:before="40" w:after="40"/>
              <w:rPr>
                <w:sz w:val="18"/>
                <w:szCs w:val="18"/>
              </w:rPr>
            </w:pPr>
            <w:r>
              <w:rPr>
                <w:sz w:val="18"/>
                <w:szCs w:val="18"/>
              </w:rPr>
              <w:t>9</w:t>
            </w:r>
            <w:r w:rsidR="000F1D67" w:rsidRPr="000F1D67">
              <w:rPr>
                <w:sz w:val="18"/>
                <w:szCs w:val="18"/>
              </w:rPr>
              <w:t xml:space="preserve">. </w:t>
            </w:r>
            <w:proofErr w:type="spellStart"/>
            <w:r w:rsidR="000F1D67" w:rsidRPr="000F1D67">
              <w:rPr>
                <w:sz w:val="18"/>
                <w:szCs w:val="18"/>
              </w:rPr>
              <w:t>Traavik</w:t>
            </w:r>
            <w:proofErr w:type="spellEnd"/>
            <w:r w:rsidR="000F1D67" w:rsidRPr="000F1D67">
              <w:rPr>
                <w:sz w:val="18"/>
                <w:szCs w:val="18"/>
              </w:rPr>
              <w:t xml:space="preserve"> (</w:t>
            </w:r>
            <w:proofErr w:type="gramStart"/>
            <w:r w:rsidR="000F1D67" w:rsidRPr="000F1D67">
              <w:rPr>
                <w:sz w:val="18"/>
                <w:szCs w:val="18"/>
              </w:rPr>
              <w:t>2008)*</w:t>
            </w:r>
            <w:proofErr w:type="gramEnd"/>
          </w:p>
        </w:tc>
        <w:tc>
          <w:tcPr>
            <w:tcW w:w="2070" w:type="dxa"/>
            <w:vAlign w:val="bottom"/>
          </w:tcPr>
          <w:p w14:paraId="54058298" w14:textId="47800841" w:rsidR="000F1D67" w:rsidRPr="000F1D67" w:rsidRDefault="000F1D67" w:rsidP="000F1D67">
            <w:pPr>
              <w:tabs>
                <w:tab w:val="decimal" w:pos="383"/>
              </w:tabs>
              <w:spacing w:before="40" w:after="40"/>
              <w:rPr>
                <w:sz w:val="18"/>
                <w:szCs w:val="18"/>
              </w:rPr>
            </w:pPr>
            <w:r w:rsidRPr="000F1D67">
              <w:rPr>
                <w:color w:val="000000"/>
                <w:sz w:val="18"/>
                <w:szCs w:val="18"/>
              </w:rPr>
              <w:t>Unpublished manuscript</w:t>
            </w:r>
          </w:p>
        </w:tc>
        <w:tc>
          <w:tcPr>
            <w:tcW w:w="1687" w:type="dxa"/>
          </w:tcPr>
          <w:p w14:paraId="726FD62F" w14:textId="7D97774D" w:rsidR="000F1D67" w:rsidRPr="000F1D67" w:rsidRDefault="000F1D67" w:rsidP="000F1D67">
            <w:pPr>
              <w:tabs>
                <w:tab w:val="decimal" w:pos="383"/>
              </w:tabs>
              <w:spacing w:before="40" w:after="40"/>
              <w:jc w:val="center"/>
              <w:rPr>
                <w:sz w:val="18"/>
                <w:szCs w:val="18"/>
              </w:rPr>
            </w:pPr>
            <w:r w:rsidRPr="000F1D67">
              <w:rPr>
                <w:sz w:val="18"/>
                <w:szCs w:val="18"/>
              </w:rPr>
              <w:t>Employees</w:t>
            </w:r>
          </w:p>
        </w:tc>
        <w:tc>
          <w:tcPr>
            <w:tcW w:w="1244" w:type="dxa"/>
          </w:tcPr>
          <w:p w14:paraId="4778C887" w14:textId="54C64C8C" w:rsidR="000F1D67" w:rsidRPr="000F1D67" w:rsidRDefault="000F1D67" w:rsidP="000F1D67">
            <w:pPr>
              <w:tabs>
                <w:tab w:val="decimal" w:pos="383"/>
              </w:tabs>
              <w:spacing w:before="40" w:after="40"/>
              <w:jc w:val="center"/>
              <w:rPr>
                <w:sz w:val="18"/>
                <w:szCs w:val="18"/>
              </w:rPr>
            </w:pPr>
            <w:r w:rsidRPr="000F1D67">
              <w:rPr>
                <w:sz w:val="18"/>
                <w:szCs w:val="18"/>
              </w:rPr>
              <w:t>Salary</w:t>
            </w:r>
          </w:p>
        </w:tc>
        <w:tc>
          <w:tcPr>
            <w:tcW w:w="978" w:type="dxa"/>
          </w:tcPr>
          <w:p w14:paraId="68B913B7" w14:textId="61EEF52B" w:rsidR="000F1D67" w:rsidRPr="000F1D67" w:rsidRDefault="000F1D67" w:rsidP="000F1D67">
            <w:pPr>
              <w:tabs>
                <w:tab w:val="decimal" w:pos="383"/>
              </w:tabs>
              <w:spacing w:before="40" w:after="40"/>
              <w:jc w:val="center"/>
              <w:rPr>
                <w:sz w:val="18"/>
                <w:szCs w:val="18"/>
              </w:rPr>
            </w:pPr>
            <w:r w:rsidRPr="000F1D67">
              <w:rPr>
                <w:sz w:val="18"/>
                <w:szCs w:val="18"/>
              </w:rPr>
              <w:t>98</w:t>
            </w:r>
          </w:p>
        </w:tc>
        <w:tc>
          <w:tcPr>
            <w:tcW w:w="1067" w:type="dxa"/>
          </w:tcPr>
          <w:p w14:paraId="4B2C8A40" w14:textId="3CE4A579" w:rsidR="000F1D67" w:rsidRPr="000F1D67" w:rsidRDefault="000F1D67" w:rsidP="000F1D67">
            <w:pPr>
              <w:tabs>
                <w:tab w:val="decimal" w:pos="383"/>
              </w:tabs>
              <w:spacing w:before="40" w:after="40"/>
              <w:jc w:val="center"/>
              <w:rPr>
                <w:sz w:val="18"/>
                <w:szCs w:val="18"/>
              </w:rPr>
            </w:pPr>
            <w:r w:rsidRPr="000F1D67">
              <w:rPr>
                <w:sz w:val="18"/>
                <w:szCs w:val="18"/>
              </w:rPr>
              <w:t>9/51</w:t>
            </w:r>
          </w:p>
        </w:tc>
        <w:tc>
          <w:tcPr>
            <w:tcW w:w="1249" w:type="dxa"/>
          </w:tcPr>
          <w:p w14:paraId="671A3AD4" w14:textId="657DF6CD" w:rsidR="000F1D67" w:rsidRPr="000F1D67" w:rsidRDefault="000F1D67" w:rsidP="000F1D67">
            <w:pPr>
              <w:tabs>
                <w:tab w:val="decimal" w:pos="383"/>
              </w:tabs>
              <w:spacing w:before="40" w:after="40"/>
              <w:jc w:val="center"/>
              <w:rPr>
                <w:sz w:val="18"/>
                <w:szCs w:val="18"/>
              </w:rPr>
            </w:pPr>
            <w:r w:rsidRPr="000F1D67">
              <w:rPr>
                <w:sz w:val="18"/>
                <w:szCs w:val="18"/>
              </w:rPr>
              <w:t>5/47</w:t>
            </w:r>
          </w:p>
        </w:tc>
        <w:tc>
          <w:tcPr>
            <w:tcW w:w="1122" w:type="dxa"/>
          </w:tcPr>
          <w:p w14:paraId="56D46BA3" w14:textId="32088085" w:rsidR="000F1D67" w:rsidRPr="000F1D67" w:rsidRDefault="000F1D67" w:rsidP="000F1D67">
            <w:pPr>
              <w:tabs>
                <w:tab w:val="decimal" w:pos="383"/>
              </w:tabs>
              <w:spacing w:before="40" w:after="40"/>
              <w:jc w:val="center"/>
              <w:rPr>
                <w:sz w:val="18"/>
                <w:szCs w:val="18"/>
              </w:rPr>
            </w:pPr>
            <w:r w:rsidRPr="000F1D67">
              <w:rPr>
                <w:sz w:val="18"/>
                <w:szCs w:val="18"/>
              </w:rPr>
              <w:t>M &gt; W</w:t>
            </w:r>
          </w:p>
        </w:tc>
        <w:tc>
          <w:tcPr>
            <w:tcW w:w="630" w:type="dxa"/>
          </w:tcPr>
          <w:p w14:paraId="1006384D" w14:textId="38725E7D" w:rsidR="000F1D67" w:rsidRPr="000F1D67" w:rsidRDefault="000F1D67" w:rsidP="000F1D67">
            <w:pPr>
              <w:tabs>
                <w:tab w:val="decimal" w:pos="340"/>
              </w:tabs>
              <w:spacing w:before="40" w:after="40"/>
              <w:jc w:val="center"/>
              <w:rPr>
                <w:sz w:val="18"/>
                <w:szCs w:val="18"/>
              </w:rPr>
            </w:pPr>
            <w:r w:rsidRPr="000F1D67">
              <w:rPr>
                <w:sz w:val="18"/>
                <w:szCs w:val="18"/>
              </w:rPr>
              <w:t>0.98</w:t>
            </w:r>
          </w:p>
        </w:tc>
        <w:tc>
          <w:tcPr>
            <w:tcW w:w="810" w:type="dxa"/>
          </w:tcPr>
          <w:p w14:paraId="7C3F2375" w14:textId="2BFD19E5" w:rsidR="000F1D67" w:rsidRPr="000F1D67" w:rsidRDefault="000F1D67" w:rsidP="000F1D67">
            <w:pPr>
              <w:tabs>
                <w:tab w:val="decimal" w:pos="70"/>
              </w:tabs>
              <w:spacing w:before="40" w:after="40"/>
              <w:jc w:val="center"/>
              <w:rPr>
                <w:sz w:val="18"/>
                <w:szCs w:val="18"/>
              </w:rPr>
            </w:pPr>
            <w:r w:rsidRPr="000F1D67">
              <w:rPr>
                <w:sz w:val="18"/>
                <w:szCs w:val="18"/>
              </w:rPr>
              <w:t>.32</w:t>
            </w:r>
          </w:p>
        </w:tc>
      </w:tr>
      <w:tr w:rsidR="00042D12" w:rsidRPr="000F1D67" w14:paraId="4205ED6B" w14:textId="77777777" w:rsidTr="000F1D67">
        <w:tc>
          <w:tcPr>
            <w:tcW w:w="2610" w:type="dxa"/>
          </w:tcPr>
          <w:p w14:paraId="1595DC44" w14:textId="77777777" w:rsidR="00042D12" w:rsidRPr="000F1D67" w:rsidRDefault="00042D12" w:rsidP="00541484">
            <w:pPr>
              <w:spacing w:before="40" w:after="40"/>
              <w:rPr>
                <w:sz w:val="18"/>
                <w:szCs w:val="18"/>
              </w:rPr>
            </w:pPr>
          </w:p>
        </w:tc>
        <w:tc>
          <w:tcPr>
            <w:tcW w:w="2070" w:type="dxa"/>
          </w:tcPr>
          <w:p w14:paraId="312FD9FF" w14:textId="77777777" w:rsidR="00042D12" w:rsidRPr="000F1D67" w:rsidRDefault="00042D12" w:rsidP="00541484">
            <w:pPr>
              <w:tabs>
                <w:tab w:val="decimal" w:pos="383"/>
              </w:tabs>
              <w:spacing w:before="40" w:after="40"/>
              <w:jc w:val="center"/>
              <w:rPr>
                <w:sz w:val="18"/>
                <w:szCs w:val="18"/>
              </w:rPr>
            </w:pPr>
          </w:p>
        </w:tc>
        <w:tc>
          <w:tcPr>
            <w:tcW w:w="1687" w:type="dxa"/>
          </w:tcPr>
          <w:p w14:paraId="13CAD572" w14:textId="77777777" w:rsidR="00042D12" w:rsidRPr="000F1D67" w:rsidRDefault="00042D12" w:rsidP="00541484">
            <w:pPr>
              <w:tabs>
                <w:tab w:val="decimal" w:pos="383"/>
              </w:tabs>
              <w:spacing w:before="40" w:after="40"/>
              <w:jc w:val="center"/>
              <w:rPr>
                <w:sz w:val="18"/>
                <w:szCs w:val="18"/>
              </w:rPr>
            </w:pPr>
          </w:p>
        </w:tc>
        <w:tc>
          <w:tcPr>
            <w:tcW w:w="1244" w:type="dxa"/>
          </w:tcPr>
          <w:p w14:paraId="676B26AA" w14:textId="77777777" w:rsidR="00042D12" w:rsidRPr="000F1D67" w:rsidRDefault="00042D12" w:rsidP="00541484">
            <w:pPr>
              <w:tabs>
                <w:tab w:val="decimal" w:pos="383"/>
              </w:tabs>
              <w:spacing w:before="40" w:after="40"/>
              <w:jc w:val="center"/>
              <w:rPr>
                <w:sz w:val="18"/>
                <w:szCs w:val="18"/>
              </w:rPr>
            </w:pPr>
          </w:p>
        </w:tc>
        <w:tc>
          <w:tcPr>
            <w:tcW w:w="978" w:type="dxa"/>
          </w:tcPr>
          <w:p w14:paraId="14B74710" w14:textId="77777777" w:rsidR="00042D12" w:rsidRPr="000F1D67" w:rsidRDefault="00042D12" w:rsidP="00541484">
            <w:pPr>
              <w:tabs>
                <w:tab w:val="decimal" w:pos="383"/>
              </w:tabs>
              <w:spacing w:before="40" w:after="40"/>
              <w:jc w:val="center"/>
              <w:rPr>
                <w:sz w:val="18"/>
                <w:szCs w:val="18"/>
              </w:rPr>
            </w:pPr>
          </w:p>
        </w:tc>
        <w:tc>
          <w:tcPr>
            <w:tcW w:w="1067" w:type="dxa"/>
          </w:tcPr>
          <w:p w14:paraId="562DFB97" w14:textId="77777777" w:rsidR="00042D12" w:rsidRPr="000F1D67" w:rsidRDefault="00042D12" w:rsidP="00541484">
            <w:pPr>
              <w:tabs>
                <w:tab w:val="decimal" w:pos="383"/>
              </w:tabs>
              <w:spacing w:before="40" w:after="40"/>
              <w:jc w:val="center"/>
              <w:rPr>
                <w:sz w:val="18"/>
                <w:szCs w:val="18"/>
              </w:rPr>
            </w:pPr>
          </w:p>
        </w:tc>
        <w:tc>
          <w:tcPr>
            <w:tcW w:w="1249" w:type="dxa"/>
          </w:tcPr>
          <w:p w14:paraId="3D19B456" w14:textId="77777777" w:rsidR="00042D12" w:rsidRPr="000F1D67" w:rsidRDefault="00042D12" w:rsidP="00541484">
            <w:pPr>
              <w:tabs>
                <w:tab w:val="decimal" w:pos="383"/>
              </w:tabs>
              <w:spacing w:before="40" w:after="40"/>
              <w:jc w:val="center"/>
              <w:rPr>
                <w:sz w:val="18"/>
                <w:szCs w:val="18"/>
              </w:rPr>
            </w:pPr>
          </w:p>
        </w:tc>
        <w:tc>
          <w:tcPr>
            <w:tcW w:w="1122" w:type="dxa"/>
          </w:tcPr>
          <w:p w14:paraId="1E2810F9" w14:textId="77777777" w:rsidR="00042D12" w:rsidRPr="000F1D67" w:rsidRDefault="00042D12" w:rsidP="00541484">
            <w:pPr>
              <w:tabs>
                <w:tab w:val="decimal" w:pos="383"/>
              </w:tabs>
              <w:spacing w:before="40" w:after="40"/>
              <w:jc w:val="center"/>
              <w:rPr>
                <w:sz w:val="18"/>
                <w:szCs w:val="18"/>
              </w:rPr>
            </w:pPr>
          </w:p>
        </w:tc>
        <w:tc>
          <w:tcPr>
            <w:tcW w:w="630" w:type="dxa"/>
          </w:tcPr>
          <w:p w14:paraId="021FF01C" w14:textId="77777777" w:rsidR="00042D12" w:rsidRPr="000F1D67" w:rsidRDefault="00042D12" w:rsidP="00D6004D">
            <w:pPr>
              <w:tabs>
                <w:tab w:val="decimal" w:pos="340"/>
              </w:tabs>
              <w:spacing w:before="40" w:after="40"/>
              <w:jc w:val="center"/>
              <w:rPr>
                <w:sz w:val="18"/>
                <w:szCs w:val="18"/>
              </w:rPr>
            </w:pPr>
          </w:p>
        </w:tc>
        <w:tc>
          <w:tcPr>
            <w:tcW w:w="810" w:type="dxa"/>
          </w:tcPr>
          <w:p w14:paraId="1E4B18DF" w14:textId="77777777" w:rsidR="00042D12" w:rsidRPr="000F1D67" w:rsidRDefault="00042D12" w:rsidP="00D6004D">
            <w:pPr>
              <w:tabs>
                <w:tab w:val="decimal" w:pos="70"/>
              </w:tabs>
              <w:spacing w:before="40" w:after="40"/>
              <w:jc w:val="center"/>
              <w:rPr>
                <w:sz w:val="18"/>
                <w:szCs w:val="18"/>
              </w:rPr>
            </w:pPr>
          </w:p>
        </w:tc>
      </w:tr>
    </w:tbl>
    <w:p w14:paraId="68182A36" w14:textId="01FDDCFC" w:rsidR="00EF728D" w:rsidRPr="000D22E2" w:rsidRDefault="00FB4CD5" w:rsidP="00042D12">
      <w:pPr>
        <w:spacing w:before="120" w:line="480" w:lineRule="auto"/>
        <w:rPr>
          <w:sz w:val="20"/>
          <w:szCs w:val="20"/>
        </w:rPr>
      </w:pPr>
      <w:r w:rsidRPr="000D22E2">
        <w:rPr>
          <w:i/>
          <w:iCs/>
          <w:sz w:val="20"/>
          <w:szCs w:val="20"/>
        </w:rPr>
        <w:t>Note:</w:t>
      </w:r>
      <w:r w:rsidRPr="000D22E2">
        <w:rPr>
          <w:sz w:val="20"/>
          <w:szCs w:val="20"/>
        </w:rPr>
        <w:t xml:space="preserve"> </w:t>
      </w:r>
      <w:r w:rsidRPr="000D22E2">
        <w:rPr>
          <w:sz w:val="20"/>
          <w:szCs w:val="20"/>
          <w:vertAlign w:val="superscript"/>
        </w:rPr>
        <w:t>*</w:t>
      </w:r>
      <w:r w:rsidR="003A51D9" w:rsidRPr="000D22E2">
        <w:rPr>
          <w:sz w:val="20"/>
          <w:szCs w:val="20"/>
          <w:vertAlign w:val="superscript"/>
        </w:rPr>
        <w:t xml:space="preserve"> </w:t>
      </w:r>
      <w:r w:rsidR="003A51D9" w:rsidRPr="000D22E2">
        <w:rPr>
          <w:sz w:val="20"/>
          <w:szCs w:val="20"/>
        </w:rPr>
        <w:t xml:space="preserve">Indicates </w:t>
      </w:r>
      <w:r w:rsidRPr="000D22E2">
        <w:rPr>
          <w:sz w:val="20"/>
          <w:szCs w:val="20"/>
        </w:rPr>
        <w:t xml:space="preserve">manuscript was unpublished at time of meta-analysis publication, </w:t>
      </w:r>
      <w:r w:rsidR="00DD7A0B" w:rsidRPr="000D22E2">
        <w:rPr>
          <w:sz w:val="20"/>
          <w:szCs w:val="20"/>
        </w:rPr>
        <w:t xml:space="preserve">and </w:t>
      </w:r>
      <w:r w:rsidRPr="000D22E2">
        <w:rPr>
          <w:sz w:val="20"/>
          <w:szCs w:val="20"/>
        </w:rPr>
        <w:t>the</w:t>
      </w:r>
      <w:r w:rsidR="00DD7A0B" w:rsidRPr="000D22E2">
        <w:rPr>
          <w:sz w:val="20"/>
          <w:szCs w:val="20"/>
        </w:rPr>
        <w:t xml:space="preserve"> year of the</w:t>
      </w:r>
      <w:r w:rsidRPr="000D22E2">
        <w:rPr>
          <w:sz w:val="20"/>
          <w:szCs w:val="20"/>
        </w:rPr>
        <w:t xml:space="preserve"> unpublished manuscript </w:t>
      </w:r>
      <w:r w:rsidR="00DD7A0B" w:rsidRPr="000D22E2">
        <w:rPr>
          <w:sz w:val="20"/>
          <w:szCs w:val="20"/>
        </w:rPr>
        <w:t>i</w:t>
      </w:r>
      <w:r w:rsidRPr="000D22E2">
        <w:rPr>
          <w:sz w:val="20"/>
          <w:szCs w:val="20"/>
        </w:rPr>
        <w:t>s reported</w:t>
      </w:r>
      <w:r w:rsidR="00DD7A0B" w:rsidRPr="000D22E2">
        <w:rPr>
          <w:sz w:val="20"/>
          <w:szCs w:val="20"/>
        </w:rPr>
        <w:t xml:space="preserve"> here</w:t>
      </w:r>
      <w:r w:rsidRPr="000D22E2">
        <w:rPr>
          <w:sz w:val="20"/>
          <w:szCs w:val="20"/>
        </w:rPr>
        <w:t>.</w:t>
      </w:r>
    </w:p>
    <w:p w14:paraId="52F8C89F" w14:textId="1AF529FC" w:rsidR="00EF728D" w:rsidRDefault="00EF728D">
      <w:pPr>
        <w:rPr>
          <w:b/>
          <w:bCs/>
        </w:rPr>
      </w:pPr>
      <w:r>
        <w:rPr>
          <w:b/>
          <w:bCs/>
        </w:rPr>
        <w:br w:type="page"/>
      </w:r>
    </w:p>
    <w:p w14:paraId="6E5D0A7D" w14:textId="11AA667F" w:rsidR="00EF728D" w:rsidRDefault="00EF728D" w:rsidP="00140558">
      <w:pPr>
        <w:spacing w:line="480" w:lineRule="auto"/>
        <w:jc w:val="center"/>
        <w:rPr>
          <w:b/>
          <w:bCs/>
        </w:rPr>
      </w:pPr>
      <w:r>
        <w:rPr>
          <w:b/>
          <w:bCs/>
        </w:rPr>
        <w:lastRenderedPageBreak/>
        <w:t>TABLE 4</w:t>
      </w:r>
    </w:p>
    <w:p w14:paraId="5B8EB8F8" w14:textId="77777777" w:rsidR="0086522A" w:rsidRDefault="0086522A" w:rsidP="00140558">
      <w:pPr>
        <w:spacing w:line="480" w:lineRule="auto"/>
        <w:jc w:val="center"/>
        <w:rPr>
          <w:b/>
          <w:bCs/>
        </w:rPr>
      </w:pPr>
      <w:r>
        <w:rPr>
          <w:b/>
          <w:bCs/>
        </w:rPr>
        <w:t>DESCRIPTIVE STATISTICS AND ZERO-ORDER CORRELATIONS AMONG VARIABLES IN STUDY 3</w:t>
      </w:r>
    </w:p>
    <w:p w14:paraId="0D5AE3E1" w14:textId="77777777" w:rsidR="0086522A" w:rsidRDefault="0086522A" w:rsidP="00140558">
      <w:pPr>
        <w:spacing w:line="480" w:lineRule="auto"/>
        <w:jc w:val="center"/>
        <w:rPr>
          <w:b/>
          <w:bCs/>
        </w:rPr>
      </w:pPr>
    </w:p>
    <w:tbl>
      <w:tblPr>
        <w:tblStyle w:val="TableGrid"/>
        <w:tblW w:w="118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2"/>
        <w:gridCol w:w="836"/>
        <w:gridCol w:w="829"/>
        <w:gridCol w:w="830"/>
        <w:gridCol w:w="830"/>
        <w:gridCol w:w="830"/>
        <w:gridCol w:w="837"/>
        <w:gridCol w:w="837"/>
        <w:gridCol w:w="837"/>
        <w:gridCol w:w="837"/>
      </w:tblGrid>
      <w:tr w:rsidR="0086522A" w:rsidRPr="00FB74EB" w14:paraId="29EF4BD6" w14:textId="77777777" w:rsidTr="00140558">
        <w:tc>
          <w:tcPr>
            <w:tcW w:w="4372" w:type="dxa"/>
            <w:tcBorders>
              <w:top w:val="single" w:sz="4" w:space="0" w:color="auto"/>
              <w:bottom w:val="single" w:sz="4" w:space="0" w:color="auto"/>
            </w:tcBorders>
          </w:tcPr>
          <w:p w14:paraId="72E4E3C9" w14:textId="77777777" w:rsidR="0086522A" w:rsidRPr="00FB74EB" w:rsidRDefault="0086522A" w:rsidP="00140558">
            <w:pPr>
              <w:spacing w:before="40" w:after="40"/>
            </w:pPr>
            <w:r w:rsidRPr="00FB74EB">
              <w:rPr>
                <w:b/>
                <w:bCs/>
              </w:rPr>
              <w:t>Variable</w:t>
            </w:r>
          </w:p>
        </w:tc>
        <w:tc>
          <w:tcPr>
            <w:tcW w:w="836" w:type="dxa"/>
            <w:tcBorders>
              <w:top w:val="single" w:sz="4" w:space="0" w:color="auto"/>
              <w:bottom w:val="single" w:sz="4" w:space="0" w:color="auto"/>
            </w:tcBorders>
          </w:tcPr>
          <w:p w14:paraId="520386F0" w14:textId="77777777" w:rsidR="0086522A" w:rsidRPr="00FB74EB" w:rsidRDefault="0086522A" w:rsidP="00140558">
            <w:pPr>
              <w:spacing w:before="40" w:after="40"/>
              <w:jc w:val="center"/>
            </w:pPr>
            <w:r w:rsidRPr="00FB74EB">
              <w:rPr>
                <w:b/>
                <w:bCs/>
              </w:rPr>
              <w:t>M</w:t>
            </w:r>
          </w:p>
        </w:tc>
        <w:tc>
          <w:tcPr>
            <w:tcW w:w="829" w:type="dxa"/>
            <w:tcBorders>
              <w:top w:val="single" w:sz="4" w:space="0" w:color="auto"/>
              <w:bottom w:val="single" w:sz="4" w:space="0" w:color="auto"/>
            </w:tcBorders>
          </w:tcPr>
          <w:p w14:paraId="6C5C74D5" w14:textId="77777777" w:rsidR="0086522A" w:rsidRPr="00FB74EB" w:rsidRDefault="0086522A" w:rsidP="00140558">
            <w:pPr>
              <w:spacing w:before="40" w:after="40"/>
              <w:jc w:val="center"/>
            </w:pPr>
            <w:r w:rsidRPr="00FB74EB">
              <w:rPr>
                <w:b/>
                <w:bCs/>
              </w:rPr>
              <w:t>SD</w:t>
            </w:r>
          </w:p>
        </w:tc>
        <w:tc>
          <w:tcPr>
            <w:tcW w:w="830" w:type="dxa"/>
            <w:tcBorders>
              <w:top w:val="single" w:sz="4" w:space="0" w:color="auto"/>
              <w:bottom w:val="single" w:sz="4" w:space="0" w:color="auto"/>
            </w:tcBorders>
          </w:tcPr>
          <w:p w14:paraId="31FB12CE" w14:textId="77777777" w:rsidR="0086522A" w:rsidRPr="00FB74EB" w:rsidRDefault="0086522A" w:rsidP="00140558">
            <w:pPr>
              <w:spacing w:before="40" w:after="40"/>
              <w:jc w:val="center"/>
              <w:rPr>
                <w:b/>
                <w:bCs/>
              </w:rPr>
            </w:pPr>
            <w:r w:rsidRPr="00FB74EB">
              <w:rPr>
                <w:b/>
                <w:bCs/>
              </w:rPr>
              <w:t>1</w:t>
            </w:r>
          </w:p>
        </w:tc>
        <w:tc>
          <w:tcPr>
            <w:tcW w:w="830" w:type="dxa"/>
            <w:tcBorders>
              <w:top w:val="single" w:sz="4" w:space="0" w:color="auto"/>
              <w:bottom w:val="single" w:sz="4" w:space="0" w:color="auto"/>
            </w:tcBorders>
          </w:tcPr>
          <w:p w14:paraId="080D3365" w14:textId="77777777" w:rsidR="0086522A" w:rsidRPr="00FB74EB" w:rsidRDefault="0086522A" w:rsidP="00140558">
            <w:pPr>
              <w:spacing w:before="40" w:after="40"/>
              <w:jc w:val="center"/>
              <w:rPr>
                <w:b/>
                <w:bCs/>
              </w:rPr>
            </w:pPr>
            <w:r w:rsidRPr="00FB74EB">
              <w:rPr>
                <w:b/>
                <w:bCs/>
              </w:rPr>
              <w:t>2</w:t>
            </w:r>
          </w:p>
        </w:tc>
        <w:tc>
          <w:tcPr>
            <w:tcW w:w="830" w:type="dxa"/>
            <w:tcBorders>
              <w:top w:val="single" w:sz="4" w:space="0" w:color="auto"/>
              <w:bottom w:val="single" w:sz="4" w:space="0" w:color="auto"/>
            </w:tcBorders>
          </w:tcPr>
          <w:p w14:paraId="7D7952E6" w14:textId="77777777" w:rsidR="0086522A" w:rsidRPr="00FB74EB" w:rsidRDefault="0086522A" w:rsidP="00140558">
            <w:pPr>
              <w:spacing w:before="40" w:after="40"/>
              <w:jc w:val="center"/>
              <w:rPr>
                <w:b/>
                <w:bCs/>
              </w:rPr>
            </w:pPr>
            <w:r w:rsidRPr="00FB74EB">
              <w:rPr>
                <w:b/>
                <w:bCs/>
              </w:rPr>
              <w:t>3</w:t>
            </w:r>
          </w:p>
        </w:tc>
        <w:tc>
          <w:tcPr>
            <w:tcW w:w="837" w:type="dxa"/>
            <w:tcBorders>
              <w:top w:val="single" w:sz="4" w:space="0" w:color="auto"/>
              <w:bottom w:val="single" w:sz="4" w:space="0" w:color="auto"/>
            </w:tcBorders>
          </w:tcPr>
          <w:p w14:paraId="326E3E03" w14:textId="77777777" w:rsidR="0086522A" w:rsidRPr="00FB74EB" w:rsidRDefault="0086522A" w:rsidP="00140558">
            <w:pPr>
              <w:spacing w:before="40" w:after="40"/>
              <w:jc w:val="center"/>
              <w:rPr>
                <w:b/>
                <w:bCs/>
              </w:rPr>
            </w:pPr>
            <w:r w:rsidRPr="00FB74EB">
              <w:rPr>
                <w:b/>
                <w:bCs/>
              </w:rPr>
              <w:t>4</w:t>
            </w:r>
          </w:p>
        </w:tc>
        <w:tc>
          <w:tcPr>
            <w:tcW w:w="837" w:type="dxa"/>
            <w:tcBorders>
              <w:top w:val="single" w:sz="4" w:space="0" w:color="auto"/>
              <w:bottom w:val="single" w:sz="4" w:space="0" w:color="auto"/>
            </w:tcBorders>
          </w:tcPr>
          <w:p w14:paraId="4A4DC7B0" w14:textId="77777777" w:rsidR="0086522A" w:rsidRPr="00FB74EB" w:rsidRDefault="0086522A" w:rsidP="00140558">
            <w:pPr>
              <w:spacing w:before="40" w:after="40"/>
              <w:jc w:val="center"/>
              <w:rPr>
                <w:b/>
                <w:bCs/>
              </w:rPr>
            </w:pPr>
            <w:r>
              <w:rPr>
                <w:b/>
                <w:bCs/>
              </w:rPr>
              <w:t>5</w:t>
            </w:r>
          </w:p>
        </w:tc>
        <w:tc>
          <w:tcPr>
            <w:tcW w:w="837" w:type="dxa"/>
            <w:tcBorders>
              <w:top w:val="single" w:sz="4" w:space="0" w:color="auto"/>
              <w:bottom w:val="single" w:sz="4" w:space="0" w:color="auto"/>
            </w:tcBorders>
          </w:tcPr>
          <w:p w14:paraId="24F29989" w14:textId="77777777" w:rsidR="0086522A" w:rsidRPr="00FB74EB" w:rsidRDefault="0086522A" w:rsidP="00140558">
            <w:pPr>
              <w:spacing w:before="40" w:after="40"/>
              <w:jc w:val="center"/>
              <w:rPr>
                <w:b/>
                <w:bCs/>
              </w:rPr>
            </w:pPr>
            <w:r>
              <w:rPr>
                <w:b/>
                <w:bCs/>
              </w:rPr>
              <w:t>6</w:t>
            </w:r>
          </w:p>
        </w:tc>
        <w:tc>
          <w:tcPr>
            <w:tcW w:w="837" w:type="dxa"/>
            <w:tcBorders>
              <w:top w:val="single" w:sz="4" w:space="0" w:color="auto"/>
              <w:bottom w:val="single" w:sz="4" w:space="0" w:color="auto"/>
            </w:tcBorders>
          </w:tcPr>
          <w:p w14:paraId="09F8D425" w14:textId="77777777" w:rsidR="0086522A" w:rsidRDefault="0086522A" w:rsidP="00140558">
            <w:pPr>
              <w:spacing w:before="40" w:after="40"/>
              <w:jc w:val="center"/>
              <w:rPr>
                <w:b/>
                <w:bCs/>
              </w:rPr>
            </w:pPr>
            <w:r>
              <w:rPr>
                <w:b/>
                <w:bCs/>
              </w:rPr>
              <w:t>7</w:t>
            </w:r>
          </w:p>
        </w:tc>
      </w:tr>
      <w:tr w:rsidR="0086522A" w:rsidRPr="008B5EAE" w14:paraId="313CCD12" w14:textId="77777777" w:rsidTr="00140558">
        <w:tc>
          <w:tcPr>
            <w:tcW w:w="4372" w:type="dxa"/>
            <w:tcBorders>
              <w:top w:val="nil"/>
            </w:tcBorders>
          </w:tcPr>
          <w:p w14:paraId="5C3D13A7" w14:textId="77777777" w:rsidR="0086522A" w:rsidRPr="00F17EC6" w:rsidRDefault="0086522A" w:rsidP="00140558">
            <w:pPr>
              <w:spacing w:before="40" w:after="40"/>
              <w:rPr>
                <w:b/>
                <w:bCs/>
                <w:sz w:val="21"/>
                <w:szCs w:val="21"/>
              </w:rPr>
            </w:pPr>
            <w:r>
              <w:rPr>
                <w:sz w:val="21"/>
                <w:szCs w:val="21"/>
              </w:rPr>
              <w:t xml:space="preserve">   </w:t>
            </w:r>
            <w:r w:rsidRPr="00F17EC6">
              <w:rPr>
                <w:sz w:val="21"/>
                <w:szCs w:val="21"/>
              </w:rPr>
              <w:t>1. Choice (general population)</w:t>
            </w:r>
          </w:p>
        </w:tc>
        <w:tc>
          <w:tcPr>
            <w:tcW w:w="836" w:type="dxa"/>
            <w:tcBorders>
              <w:top w:val="nil"/>
            </w:tcBorders>
          </w:tcPr>
          <w:p w14:paraId="2E27CF60" w14:textId="77777777" w:rsidR="0086522A" w:rsidRPr="008B5EAE" w:rsidRDefault="0086522A" w:rsidP="00140558">
            <w:pPr>
              <w:tabs>
                <w:tab w:val="decimal" w:pos="193"/>
              </w:tabs>
              <w:spacing w:before="40" w:after="40"/>
              <w:rPr>
                <w:sz w:val="21"/>
                <w:szCs w:val="21"/>
              </w:rPr>
            </w:pPr>
            <w:r>
              <w:rPr>
                <w:sz w:val="21"/>
                <w:szCs w:val="21"/>
              </w:rPr>
              <w:t>17.54</w:t>
            </w:r>
          </w:p>
        </w:tc>
        <w:tc>
          <w:tcPr>
            <w:tcW w:w="829" w:type="dxa"/>
            <w:tcBorders>
              <w:top w:val="nil"/>
            </w:tcBorders>
          </w:tcPr>
          <w:p w14:paraId="484B6A52" w14:textId="77777777" w:rsidR="0086522A" w:rsidRPr="008B5EAE" w:rsidRDefault="0086522A" w:rsidP="00140558">
            <w:pPr>
              <w:tabs>
                <w:tab w:val="decimal" w:pos="183"/>
              </w:tabs>
              <w:spacing w:before="40" w:after="40"/>
              <w:rPr>
                <w:sz w:val="21"/>
                <w:szCs w:val="21"/>
              </w:rPr>
            </w:pPr>
            <w:r>
              <w:rPr>
                <w:sz w:val="21"/>
                <w:szCs w:val="21"/>
              </w:rPr>
              <w:t>23.04</w:t>
            </w:r>
          </w:p>
        </w:tc>
        <w:tc>
          <w:tcPr>
            <w:tcW w:w="830" w:type="dxa"/>
            <w:tcBorders>
              <w:top w:val="nil"/>
            </w:tcBorders>
          </w:tcPr>
          <w:p w14:paraId="103A9A78" w14:textId="77777777" w:rsidR="0086522A" w:rsidRPr="008B5EAE" w:rsidRDefault="0086522A" w:rsidP="00140558">
            <w:pPr>
              <w:tabs>
                <w:tab w:val="decimal" w:pos="107"/>
              </w:tabs>
              <w:spacing w:before="40" w:after="40"/>
              <w:jc w:val="center"/>
              <w:rPr>
                <w:sz w:val="21"/>
                <w:szCs w:val="21"/>
              </w:rPr>
            </w:pPr>
            <w:r>
              <w:rPr>
                <w:sz w:val="21"/>
                <w:szCs w:val="21"/>
              </w:rPr>
              <w:t>--</w:t>
            </w:r>
          </w:p>
        </w:tc>
        <w:tc>
          <w:tcPr>
            <w:tcW w:w="830" w:type="dxa"/>
            <w:tcBorders>
              <w:top w:val="nil"/>
            </w:tcBorders>
          </w:tcPr>
          <w:p w14:paraId="3344966E" w14:textId="77777777" w:rsidR="0086522A" w:rsidRPr="008B5EAE" w:rsidRDefault="0086522A" w:rsidP="00140558">
            <w:pPr>
              <w:tabs>
                <w:tab w:val="decimal" w:pos="107"/>
              </w:tabs>
              <w:spacing w:before="40" w:after="40"/>
              <w:rPr>
                <w:sz w:val="21"/>
                <w:szCs w:val="21"/>
              </w:rPr>
            </w:pPr>
          </w:p>
        </w:tc>
        <w:tc>
          <w:tcPr>
            <w:tcW w:w="830" w:type="dxa"/>
            <w:tcBorders>
              <w:top w:val="nil"/>
            </w:tcBorders>
          </w:tcPr>
          <w:p w14:paraId="694BD393" w14:textId="77777777" w:rsidR="0086522A" w:rsidRPr="008B5EAE" w:rsidRDefault="0086522A" w:rsidP="00140558">
            <w:pPr>
              <w:tabs>
                <w:tab w:val="decimal" w:pos="107"/>
              </w:tabs>
              <w:spacing w:before="40" w:after="40"/>
              <w:rPr>
                <w:sz w:val="21"/>
                <w:szCs w:val="21"/>
              </w:rPr>
            </w:pPr>
          </w:p>
        </w:tc>
        <w:tc>
          <w:tcPr>
            <w:tcW w:w="837" w:type="dxa"/>
            <w:tcBorders>
              <w:top w:val="nil"/>
            </w:tcBorders>
          </w:tcPr>
          <w:p w14:paraId="1D009189" w14:textId="77777777" w:rsidR="0086522A" w:rsidRPr="008B5EAE" w:rsidRDefault="0086522A" w:rsidP="00140558">
            <w:pPr>
              <w:tabs>
                <w:tab w:val="decimal" w:pos="107"/>
              </w:tabs>
              <w:spacing w:before="40" w:after="40"/>
              <w:rPr>
                <w:sz w:val="21"/>
                <w:szCs w:val="21"/>
              </w:rPr>
            </w:pPr>
          </w:p>
        </w:tc>
        <w:tc>
          <w:tcPr>
            <w:tcW w:w="837" w:type="dxa"/>
            <w:tcBorders>
              <w:top w:val="nil"/>
            </w:tcBorders>
          </w:tcPr>
          <w:p w14:paraId="39DBF429" w14:textId="77777777" w:rsidR="0086522A" w:rsidRPr="008B5EAE" w:rsidRDefault="0086522A" w:rsidP="00140558">
            <w:pPr>
              <w:tabs>
                <w:tab w:val="decimal" w:pos="107"/>
              </w:tabs>
              <w:spacing w:before="40" w:after="40"/>
              <w:rPr>
                <w:sz w:val="21"/>
                <w:szCs w:val="21"/>
              </w:rPr>
            </w:pPr>
          </w:p>
        </w:tc>
        <w:tc>
          <w:tcPr>
            <w:tcW w:w="837" w:type="dxa"/>
            <w:tcBorders>
              <w:top w:val="nil"/>
            </w:tcBorders>
          </w:tcPr>
          <w:p w14:paraId="463295FF" w14:textId="77777777" w:rsidR="0086522A" w:rsidRPr="008B5EAE" w:rsidRDefault="0086522A" w:rsidP="00140558">
            <w:pPr>
              <w:tabs>
                <w:tab w:val="decimal" w:pos="107"/>
              </w:tabs>
              <w:spacing w:before="40" w:after="40"/>
              <w:rPr>
                <w:sz w:val="21"/>
                <w:szCs w:val="21"/>
              </w:rPr>
            </w:pPr>
          </w:p>
        </w:tc>
        <w:tc>
          <w:tcPr>
            <w:tcW w:w="837" w:type="dxa"/>
            <w:tcBorders>
              <w:top w:val="nil"/>
            </w:tcBorders>
          </w:tcPr>
          <w:p w14:paraId="1DB12DF5" w14:textId="77777777" w:rsidR="0086522A" w:rsidRPr="008B5EAE" w:rsidRDefault="0086522A" w:rsidP="00140558">
            <w:pPr>
              <w:tabs>
                <w:tab w:val="decimal" w:pos="107"/>
              </w:tabs>
              <w:spacing w:before="40" w:after="40"/>
              <w:rPr>
                <w:sz w:val="21"/>
                <w:szCs w:val="21"/>
              </w:rPr>
            </w:pPr>
          </w:p>
        </w:tc>
      </w:tr>
      <w:tr w:rsidR="0086522A" w:rsidRPr="008B5EAE" w14:paraId="2FDC2DBD" w14:textId="77777777" w:rsidTr="00140558">
        <w:tc>
          <w:tcPr>
            <w:tcW w:w="4372" w:type="dxa"/>
          </w:tcPr>
          <w:p w14:paraId="049406CE" w14:textId="77777777" w:rsidR="0086522A" w:rsidRPr="00F17EC6" w:rsidRDefault="0086522A" w:rsidP="00140558">
            <w:pPr>
              <w:spacing w:before="40" w:after="40"/>
              <w:rPr>
                <w:sz w:val="21"/>
                <w:szCs w:val="21"/>
              </w:rPr>
            </w:pPr>
            <w:r>
              <w:rPr>
                <w:sz w:val="21"/>
                <w:szCs w:val="21"/>
              </w:rPr>
              <w:t xml:space="preserve">   </w:t>
            </w:r>
            <w:r w:rsidRPr="00F17EC6">
              <w:rPr>
                <w:sz w:val="21"/>
                <w:szCs w:val="21"/>
              </w:rPr>
              <w:t>2. Fairness (general population)</w:t>
            </w:r>
          </w:p>
        </w:tc>
        <w:tc>
          <w:tcPr>
            <w:tcW w:w="836" w:type="dxa"/>
          </w:tcPr>
          <w:p w14:paraId="3DD5C974" w14:textId="77777777" w:rsidR="0086522A" w:rsidRPr="008B5EAE" w:rsidRDefault="0086522A" w:rsidP="00140558">
            <w:pPr>
              <w:tabs>
                <w:tab w:val="decimal" w:pos="193"/>
              </w:tabs>
              <w:spacing w:before="40" w:after="40"/>
              <w:rPr>
                <w:sz w:val="21"/>
                <w:szCs w:val="21"/>
              </w:rPr>
            </w:pPr>
            <w:r>
              <w:rPr>
                <w:sz w:val="21"/>
                <w:szCs w:val="21"/>
              </w:rPr>
              <w:t>56.38</w:t>
            </w:r>
          </w:p>
        </w:tc>
        <w:tc>
          <w:tcPr>
            <w:tcW w:w="829" w:type="dxa"/>
          </w:tcPr>
          <w:p w14:paraId="4D9E3EF5" w14:textId="77777777" w:rsidR="0086522A" w:rsidRPr="008B5EAE" w:rsidRDefault="0086522A" w:rsidP="00140558">
            <w:pPr>
              <w:tabs>
                <w:tab w:val="decimal" w:pos="183"/>
              </w:tabs>
              <w:spacing w:before="40" w:after="40"/>
              <w:rPr>
                <w:sz w:val="21"/>
                <w:szCs w:val="21"/>
              </w:rPr>
            </w:pPr>
            <w:r>
              <w:rPr>
                <w:sz w:val="21"/>
                <w:szCs w:val="21"/>
              </w:rPr>
              <w:t>30.50</w:t>
            </w:r>
          </w:p>
        </w:tc>
        <w:tc>
          <w:tcPr>
            <w:tcW w:w="830" w:type="dxa"/>
          </w:tcPr>
          <w:p w14:paraId="4AE21259" w14:textId="77777777" w:rsidR="0086522A" w:rsidRPr="008B5EAE" w:rsidRDefault="0086522A" w:rsidP="00140558">
            <w:pPr>
              <w:tabs>
                <w:tab w:val="decimal" w:pos="107"/>
              </w:tabs>
              <w:spacing w:before="40" w:after="40"/>
              <w:rPr>
                <w:sz w:val="21"/>
                <w:szCs w:val="21"/>
              </w:rPr>
            </w:pPr>
            <w:r>
              <w:rPr>
                <w:sz w:val="21"/>
                <w:szCs w:val="21"/>
              </w:rPr>
              <w:t>-.76</w:t>
            </w:r>
            <w:r w:rsidRPr="00700839">
              <w:rPr>
                <w:sz w:val="21"/>
                <w:szCs w:val="21"/>
                <w:vertAlign w:val="superscript"/>
              </w:rPr>
              <w:t>***</w:t>
            </w:r>
          </w:p>
        </w:tc>
        <w:tc>
          <w:tcPr>
            <w:tcW w:w="830" w:type="dxa"/>
          </w:tcPr>
          <w:p w14:paraId="5DE6B5E6" w14:textId="77777777" w:rsidR="0086522A" w:rsidRPr="008B5EAE" w:rsidRDefault="0086522A" w:rsidP="00140558">
            <w:pPr>
              <w:tabs>
                <w:tab w:val="decimal" w:pos="107"/>
              </w:tabs>
              <w:spacing w:before="40" w:after="40"/>
              <w:jc w:val="center"/>
              <w:rPr>
                <w:sz w:val="21"/>
                <w:szCs w:val="21"/>
              </w:rPr>
            </w:pPr>
            <w:r>
              <w:rPr>
                <w:sz w:val="21"/>
                <w:szCs w:val="21"/>
              </w:rPr>
              <w:t>--</w:t>
            </w:r>
          </w:p>
        </w:tc>
        <w:tc>
          <w:tcPr>
            <w:tcW w:w="830" w:type="dxa"/>
          </w:tcPr>
          <w:p w14:paraId="76DD2306" w14:textId="77777777" w:rsidR="0086522A" w:rsidRPr="008B5EAE" w:rsidRDefault="0086522A" w:rsidP="00140558">
            <w:pPr>
              <w:tabs>
                <w:tab w:val="decimal" w:pos="107"/>
              </w:tabs>
              <w:spacing w:before="40" w:after="40"/>
              <w:rPr>
                <w:sz w:val="21"/>
                <w:szCs w:val="21"/>
              </w:rPr>
            </w:pPr>
          </w:p>
        </w:tc>
        <w:tc>
          <w:tcPr>
            <w:tcW w:w="837" w:type="dxa"/>
          </w:tcPr>
          <w:p w14:paraId="1C95A1A8" w14:textId="77777777" w:rsidR="0086522A" w:rsidRPr="008B5EAE" w:rsidRDefault="0086522A" w:rsidP="00140558">
            <w:pPr>
              <w:tabs>
                <w:tab w:val="decimal" w:pos="107"/>
              </w:tabs>
              <w:spacing w:before="40" w:after="40"/>
              <w:rPr>
                <w:sz w:val="21"/>
                <w:szCs w:val="21"/>
              </w:rPr>
            </w:pPr>
          </w:p>
        </w:tc>
        <w:tc>
          <w:tcPr>
            <w:tcW w:w="837" w:type="dxa"/>
          </w:tcPr>
          <w:p w14:paraId="336762E7" w14:textId="77777777" w:rsidR="0086522A" w:rsidRPr="008B5EAE" w:rsidRDefault="0086522A" w:rsidP="00140558">
            <w:pPr>
              <w:tabs>
                <w:tab w:val="decimal" w:pos="107"/>
              </w:tabs>
              <w:spacing w:before="40" w:after="40"/>
              <w:rPr>
                <w:sz w:val="21"/>
                <w:szCs w:val="21"/>
              </w:rPr>
            </w:pPr>
          </w:p>
        </w:tc>
        <w:tc>
          <w:tcPr>
            <w:tcW w:w="837" w:type="dxa"/>
          </w:tcPr>
          <w:p w14:paraId="204A0C97" w14:textId="77777777" w:rsidR="0086522A" w:rsidRPr="008B5EAE" w:rsidRDefault="0086522A" w:rsidP="00140558">
            <w:pPr>
              <w:tabs>
                <w:tab w:val="decimal" w:pos="107"/>
              </w:tabs>
              <w:spacing w:before="40" w:after="40"/>
              <w:rPr>
                <w:sz w:val="21"/>
                <w:szCs w:val="21"/>
              </w:rPr>
            </w:pPr>
          </w:p>
        </w:tc>
        <w:tc>
          <w:tcPr>
            <w:tcW w:w="837" w:type="dxa"/>
          </w:tcPr>
          <w:p w14:paraId="53D1BA12" w14:textId="77777777" w:rsidR="0086522A" w:rsidRPr="008B5EAE" w:rsidRDefault="0086522A" w:rsidP="00140558">
            <w:pPr>
              <w:tabs>
                <w:tab w:val="decimal" w:pos="107"/>
              </w:tabs>
              <w:spacing w:before="40" w:after="40"/>
              <w:rPr>
                <w:sz w:val="21"/>
                <w:szCs w:val="21"/>
              </w:rPr>
            </w:pPr>
          </w:p>
        </w:tc>
      </w:tr>
      <w:tr w:rsidR="0086522A" w:rsidRPr="008B5EAE" w14:paraId="2185B86A" w14:textId="77777777" w:rsidTr="00140558">
        <w:tc>
          <w:tcPr>
            <w:tcW w:w="4372" w:type="dxa"/>
          </w:tcPr>
          <w:p w14:paraId="2CD38666" w14:textId="77777777" w:rsidR="0086522A" w:rsidRPr="00F17EC6" w:rsidRDefault="0086522A" w:rsidP="00140558">
            <w:pPr>
              <w:spacing w:before="40" w:after="40"/>
              <w:rPr>
                <w:sz w:val="21"/>
                <w:szCs w:val="21"/>
              </w:rPr>
            </w:pPr>
            <w:r>
              <w:rPr>
                <w:sz w:val="21"/>
                <w:szCs w:val="21"/>
              </w:rPr>
              <w:t xml:space="preserve">   </w:t>
            </w:r>
            <w:r w:rsidRPr="00F17EC6">
              <w:rPr>
                <w:sz w:val="21"/>
                <w:szCs w:val="21"/>
              </w:rPr>
              <w:t>3. Negotiation (general population)</w:t>
            </w:r>
          </w:p>
        </w:tc>
        <w:tc>
          <w:tcPr>
            <w:tcW w:w="836" w:type="dxa"/>
          </w:tcPr>
          <w:p w14:paraId="49D7CF9F" w14:textId="77777777" w:rsidR="0086522A" w:rsidRPr="008B5EAE" w:rsidRDefault="0086522A" w:rsidP="00140558">
            <w:pPr>
              <w:tabs>
                <w:tab w:val="decimal" w:pos="193"/>
              </w:tabs>
              <w:spacing w:before="40" w:after="40"/>
              <w:rPr>
                <w:sz w:val="21"/>
                <w:szCs w:val="21"/>
              </w:rPr>
            </w:pPr>
            <w:r>
              <w:rPr>
                <w:sz w:val="21"/>
                <w:szCs w:val="21"/>
              </w:rPr>
              <w:t>26.09</w:t>
            </w:r>
          </w:p>
        </w:tc>
        <w:tc>
          <w:tcPr>
            <w:tcW w:w="829" w:type="dxa"/>
          </w:tcPr>
          <w:p w14:paraId="7744D50F" w14:textId="77777777" w:rsidR="0086522A" w:rsidRPr="008B5EAE" w:rsidRDefault="0086522A" w:rsidP="00140558">
            <w:pPr>
              <w:tabs>
                <w:tab w:val="decimal" w:pos="183"/>
              </w:tabs>
              <w:spacing w:before="40" w:after="40"/>
              <w:rPr>
                <w:sz w:val="21"/>
                <w:szCs w:val="21"/>
              </w:rPr>
            </w:pPr>
            <w:r>
              <w:rPr>
                <w:sz w:val="21"/>
                <w:szCs w:val="21"/>
              </w:rPr>
              <w:t>20.01</w:t>
            </w:r>
          </w:p>
        </w:tc>
        <w:tc>
          <w:tcPr>
            <w:tcW w:w="830" w:type="dxa"/>
          </w:tcPr>
          <w:p w14:paraId="26AE9989" w14:textId="77777777" w:rsidR="0086522A" w:rsidRPr="008B5EAE" w:rsidRDefault="0086522A" w:rsidP="00140558">
            <w:pPr>
              <w:tabs>
                <w:tab w:val="decimal" w:pos="107"/>
              </w:tabs>
              <w:spacing w:before="40" w:after="40"/>
              <w:rPr>
                <w:sz w:val="21"/>
                <w:szCs w:val="21"/>
              </w:rPr>
            </w:pPr>
            <w:r>
              <w:rPr>
                <w:sz w:val="21"/>
                <w:szCs w:val="21"/>
              </w:rPr>
              <w:t>-.00</w:t>
            </w:r>
          </w:p>
        </w:tc>
        <w:tc>
          <w:tcPr>
            <w:tcW w:w="830" w:type="dxa"/>
          </w:tcPr>
          <w:p w14:paraId="1344E4A1" w14:textId="77777777" w:rsidR="0086522A" w:rsidRPr="008B5EAE" w:rsidRDefault="0086522A" w:rsidP="00140558">
            <w:pPr>
              <w:tabs>
                <w:tab w:val="decimal" w:pos="107"/>
              </w:tabs>
              <w:spacing w:before="40" w:after="40"/>
              <w:rPr>
                <w:sz w:val="21"/>
                <w:szCs w:val="21"/>
              </w:rPr>
            </w:pPr>
            <w:r>
              <w:rPr>
                <w:sz w:val="21"/>
                <w:szCs w:val="21"/>
              </w:rPr>
              <w:t>-.66</w:t>
            </w:r>
            <w:r w:rsidRPr="00700839">
              <w:rPr>
                <w:sz w:val="21"/>
                <w:szCs w:val="21"/>
                <w:vertAlign w:val="superscript"/>
              </w:rPr>
              <w:t>***</w:t>
            </w:r>
          </w:p>
        </w:tc>
        <w:tc>
          <w:tcPr>
            <w:tcW w:w="830" w:type="dxa"/>
          </w:tcPr>
          <w:p w14:paraId="5503AF62" w14:textId="77777777" w:rsidR="0086522A" w:rsidRPr="008B5EAE" w:rsidRDefault="0086522A" w:rsidP="00140558">
            <w:pPr>
              <w:tabs>
                <w:tab w:val="decimal" w:pos="107"/>
              </w:tabs>
              <w:spacing w:before="40" w:after="40"/>
              <w:jc w:val="center"/>
              <w:rPr>
                <w:sz w:val="21"/>
                <w:szCs w:val="21"/>
              </w:rPr>
            </w:pPr>
            <w:r>
              <w:rPr>
                <w:sz w:val="21"/>
                <w:szCs w:val="21"/>
              </w:rPr>
              <w:t>--</w:t>
            </w:r>
          </w:p>
        </w:tc>
        <w:tc>
          <w:tcPr>
            <w:tcW w:w="837" w:type="dxa"/>
          </w:tcPr>
          <w:p w14:paraId="096C139A" w14:textId="77777777" w:rsidR="0086522A" w:rsidRPr="008B5EAE" w:rsidRDefault="0086522A" w:rsidP="00140558">
            <w:pPr>
              <w:tabs>
                <w:tab w:val="decimal" w:pos="107"/>
              </w:tabs>
              <w:spacing w:before="40" w:after="40"/>
              <w:rPr>
                <w:sz w:val="21"/>
                <w:szCs w:val="21"/>
              </w:rPr>
            </w:pPr>
          </w:p>
        </w:tc>
        <w:tc>
          <w:tcPr>
            <w:tcW w:w="837" w:type="dxa"/>
          </w:tcPr>
          <w:p w14:paraId="1238BBFC" w14:textId="77777777" w:rsidR="0086522A" w:rsidRPr="008B5EAE" w:rsidRDefault="0086522A" w:rsidP="00140558">
            <w:pPr>
              <w:tabs>
                <w:tab w:val="decimal" w:pos="107"/>
              </w:tabs>
              <w:spacing w:before="40" w:after="40"/>
              <w:rPr>
                <w:sz w:val="21"/>
                <w:szCs w:val="21"/>
              </w:rPr>
            </w:pPr>
          </w:p>
        </w:tc>
        <w:tc>
          <w:tcPr>
            <w:tcW w:w="837" w:type="dxa"/>
          </w:tcPr>
          <w:p w14:paraId="25907F80" w14:textId="77777777" w:rsidR="0086522A" w:rsidRPr="008B5EAE" w:rsidRDefault="0086522A" w:rsidP="00140558">
            <w:pPr>
              <w:tabs>
                <w:tab w:val="decimal" w:pos="107"/>
              </w:tabs>
              <w:spacing w:before="40" w:after="40"/>
              <w:rPr>
                <w:sz w:val="21"/>
                <w:szCs w:val="21"/>
              </w:rPr>
            </w:pPr>
          </w:p>
        </w:tc>
        <w:tc>
          <w:tcPr>
            <w:tcW w:w="837" w:type="dxa"/>
          </w:tcPr>
          <w:p w14:paraId="337819E2" w14:textId="77777777" w:rsidR="0086522A" w:rsidRPr="008B5EAE" w:rsidRDefault="0086522A" w:rsidP="00140558">
            <w:pPr>
              <w:tabs>
                <w:tab w:val="decimal" w:pos="107"/>
              </w:tabs>
              <w:spacing w:before="40" w:after="40"/>
              <w:rPr>
                <w:sz w:val="21"/>
                <w:szCs w:val="21"/>
              </w:rPr>
            </w:pPr>
          </w:p>
        </w:tc>
      </w:tr>
      <w:tr w:rsidR="0086522A" w:rsidRPr="008B5EAE" w14:paraId="103D5CA9" w14:textId="77777777" w:rsidTr="00140558">
        <w:tc>
          <w:tcPr>
            <w:tcW w:w="4372" w:type="dxa"/>
          </w:tcPr>
          <w:p w14:paraId="22006EA9" w14:textId="77777777" w:rsidR="0086522A" w:rsidRPr="00F17EC6" w:rsidRDefault="0086522A" w:rsidP="00140558">
            <w:pPr>
              <w:spacing w:before="40" w:after="40"/>
              <w:rPr>
                <w:sz w:val="21"/>
                <w:szCs w:val="21"/>
              </w:rPr>
            </w:pPr>
            <w:r>
              <w:rPr>
                <w:sz w:val="21"/>
                <w:szCs w:val="21"/>
              </w:rPr>
              <w:t xml:space="preserve">   4. </w:t>
            </w:r>
            <w:r w:rsidRPr="00F17EC6">
              <w:rPr>
                <w:sz w:val="21"/>
                <w:szCs w:val="21"/>
              </w:rPr>
              <w:t>Choice (</w:t>
            </w:r>
            <w:r>
              <w:rPr>
                <w:sz w:val="21"/>
                <w:szCs w:val="21"/>
              </w:rPr>
              <w:t>elite</w:t>
            </w:r>
            <w:r w:rsidRPr="00F17EC6">
              <w:rPr>
                <w:sz w:val="21"/>
                <w:szCs w:val="21"/>
              </w:rPr>
              <w:t xml:space="preserve"> population)</w:t>
            </w:r>
          </w:p>
        </w:tc>
        <w:tc>
          <w:tcPr>
            <w:tcW w:w="836" w:type="dxa"/>
          </w:tcPr>
          <w:p w14:paraId="05A20D0F" w14:textId="77777777" w:rsidR="0086522A" w:rsidRPr="008B5EAE" w:rsidRDefault="0086522A" w:rsidP="00140558">
            <w:pPr>
              <w:tabs>
                <w:tab w:val="decimal" w:pos="193"/>
              </w:tabs>
              <w:spacing w:before="40" w:after="40"/>
              <w:rPr>
                <w:sz w:val="21"/>
                <w:szCs w:val="21"/>
              </w:rPr>
            </w:pPr>
            <w:r>
              <w:rPr>
                <w:sz w:val="21"/>
                <w:szCs w:val="21"/>
              </w:rPr>
              <w:t>17.24</w:t>
            </w:r>
          </w:p>
        </w:tc>
        <w:tc>
          <w:tcPr>
            <w:tcW w:w="829" w:type="dxa"/>
          </w:tcPr>
          <w:p w14:paraId="34DBACC0" w14:textId="77777777" w:rsidR="0086522A" w:rsidRPr="008B5EAE" w:rsidRDefault="0086522A" w:rsidP="00140558">
            <w:pPr>
              <w:tabs>
                <w:tab w:val="decimal" w:pos="183"/>
              </w:tabs>
              <w:spacing w:before="40" w:after="40"/>
              <w:rPr>
                <w:sz w:val="21"/>
                <w:szCs w:val="21"/>
              </w:rPr>
            </w:pPr>
            <w:r>
              <w:rPr>
                <w:sz w:val="21"/>
                <w:szCs w:val="21"/>
              </w:rPr>
              <w:t>22.69</w:t>
            </w:r>
          </w:p>
        </w:tc>
        <w:tc>
          <w:tcPr>
            <w:tcW w:w="830" w:type="dxa"/>
          </w:tcPr>
          <w:p w14:paraId="6A7F1358" w14:textId="77777777" w:rsidR="0086522A" w:rsidRPr="008B5EAE" w:rsidRDefault="0086522A" w:rsidP="00140558">
            <w:pPr>
              <w:tabs>
                <w:tab w:val="decimal" w:pos="107"/>
              </w:tabs>
              <w:spacing w:before="40" w:after="40"/>
              <w:rPr>
                <w:sz w:val="21"/>
                <w:szCs w:val="21"/>
              </w:rPr>
            </w:pPr>
            <w:r>
              <w:rPr>
                <w:sz w:val="21"/>
                <w:szCs w:val="21"/>
              </w:rPr>
              <w:t>.79</w:t>
            </w:r>
            <w:r w:rsidRPr="00700839">
              <w:rPr>
                <w:sz w:val="21"/>
                <w:szCs w:val="21"/>
                <w:vertAlign w:val="superscript"/>
              </w:rPr>
              <w:t>***</w:t>
            </w:r>
          </w:p>
        </w:tc>
        <w:tc>
          <w:tcPr>
            <w:tcW w:w="830" w:type="dxa"/>
          </w:tcPr>
          <w:p w14:paraId="28160FC1" w14:textId="77777777" w:rsidR="0086522A" w:rsidRPr="008B5EAE" w:rsidRDefault="0086522A" w:rsidP="00140558">
            <w:pPr>
              <w:tabs>
                <w:tab w:val="decimal" w:pos="107"/>
              </w:tabs>
              <w:spacing w:before="40" w:after="40"/>
              <w:rPr>
                <w:sz w:val="21"/>
                <w:szCs w:val="21"/>
              </w:rPr>
            </w:pPr>
            <w:r>
              <w:rPr>
                <w:sz w:val="21"/>
                <w:szCs w:val="21"/>
              </w:rPr>
              <w:t>-.65</w:t>
            </w:r>
            <w:r w:rsidRPr="00700839">
              <w:rPr>
                <w:sz w:val="21"/>
                <w:szCs w:val="21"/>
                <w:vertAlign w:val="superscript"/>
              </w:rPr>
              <w:t>***</w:t>
            </w:r>
          </w:p>
        </w:tc>
        <w:tc>
          <w:tcPr>
            <w:tcW w:w="830" w:type="dxa"/>
          </w:tcPr>
          <w:p w14:paraId="71673175" w14:textId="77777777" w:rsidR="0086522A" w:rsidRPr="008B5EAE" w:rsidRDefault="0086522A" w:rsidP="00140558">
            <w:pPr>
              <w:tabs>
                <w:tab w:val="decimal" w:pos="107"/>
              </w:tabs>
              <w:spacing w:before="40" w:after="40"/>
              <w:rPr>
                <w:sz w:val="21"/>
                <w:szCs w:val="21"/>
              </w:rPr>
            </w:pPr>
            <w:r>
              <w:rPr>
                <w:sz w:val="21"/>
                <w:szCs w:val="21"/>
              </w:rPr>
              <w:t>.09†</w:t>
            </w:r>
          </w:p>
        </w:tc>
        <w:tc>
          <w:tcPr>
            <w:tcW w:w="837" w:type="dxa"/>
          </w:tcPr>
          <w:p w14:paraId="1EE1473F" w14:textId="77777777" w:rsidR="0086522A" w:rsidRPr="008B5EAE" w:rsidRDefault="0086522A" w:rsidP="00140558">
            <w:pPr>
              <w:tabs>
                <w:tab w:val="decimal" w:pos="107"/>
              </w:tabs>
              <w:spacing w:before="40" w:after="40"/>
              <w:jc w:val="center"/>
              <w:rPr>
                <w:sz w:val="21"/>
                <w:szCs w:val="21"/>
              </w:rPr>
            </w:pPr>
            <w:r>
              <w:rPr>
                <w:sz w:val="21"/>
                <w:szCs w:val="21"/>
              </w:rPr>
              <w:t>--</w:t>
            </w:r>
          </w:p>
        </w:tc>
        <w:tc>
          <w:tcPr>
            <w:tcW w:w="837" w:type="dxa"/>
          </w:tcPr>
          <w:p w14:paraId="43770B89" w14:textId="77777777" w:rsidR="0086522A" w:rsidRPr="008B5EAE" w:rsidRDefault="0086522A" w:rsidP="00140558">
            <w:pPr>
              <w:tabs>
                <w:tab w:val="decimal" w:pos="107"/>
              </w:tabs>
              <w:spacing w:before="40" w:after="40"/>
              <w:rPr>
                <w:sz w:val="21"/>
                <w:szCs w:val="21"/>
              </w:rPr>
            </w:pPr>
          </w:p>
        </w:tc>
        <w:tc>
          <w:tcPr>
            <w:tcW w:w="837" w:type="dxa"/>
          </w:tcPr>
          <w:p w14:paraId="490263D5" w14:textId="77777777" w:rsidR="0086522A" w:rsidRPr="008B5EAE" w:rsidRDefault="0086522A" w:rsidP="00140558">
            <w:pPr>
              <w:tabs>
                <w:tab w:val="decimal" w:pos="107"/>
              </w:tabs>
              <w:spacing w:before="40" w:after="40"/>
              <w:rPr>
                <w:sz w:val="21"/>
                <w:szCs w:val="21"/>
              </w:rPr>
            </w:pPr>
          </w:p>
        </w:tc>
        <w:tc>
          <w:tcPr>
            <w:tcW w:w="837" w:type="dxa"/>
          </w:tcPr>
          <w:p w14:paraId="7BBCACC8" w14:textId="77777777" w:rsidR="0086522A" w:rsidRPr="008B5EAE" w:rsidRDefault="0086522A" w:rsidP="00140558">
            <w:pPr>
              <w:tabs>
                <w:tab w:val="decimal" w:pos="107"/>
              </w:tabs>
              <w:spacing w:before="40" w:after="40"/>
              <w:rPr>
                <w:sz w:val="21"/>
                <w:szCs w:val="21"/>
              </w:rPr>
            </w:pPr>
          </w:p>
        </w:tc>
      </w:tr>
      <w:tr w:rsidR="0086522A" w:rsidRPr="008B5EAE" w14:paraId="5EB2F09C" w14:textId="77777777" w:rsidTr="00140558">
        <w:tc>
          <w:tcPr>
            <w:tcW w:w="4372" w:type="dxa"/>
          </w:tcPr>
          <w:p w14:paraId="1D18775E" w14:textId="77777777" w:rsidR="0086522A" w:rsidRPr="00F17EC6" w:rsidRDefault="0086522A" w:rsidP="00140558">
            <w:pPr>
              <w:spacing w:before="40" w:after="40"/>
              <w:rPr>
                <w:sz w:val="21"/>
                <w:szCs w:val="21"/>
              </w:rPr>
            </w:pPr>
            <w:r>
              <w:rPr>
                <w:sz w:val="21"/>
                <w:szCs w:val="21"/>
              </w:rPr>
              <w:t xml:space="preserve">   5</w:t>
            </w:r>
            <w:r w:rsidRPr="00F17EC6">
              <w:rPr>
                <w:sz w:val="21"/>
                <w:szCs w:val="21"/>
              </w:rPr>
              <w:t>. Fairness (</w:t>
            </w:r>
            <w:r>
              <w:rPr>
                <w:sz w:val="21"/>
                <w:szCs w:val="21"/>
              </w:rPr>
              <w:t>elite</w:t>
            </w:r>
            <w:r w:rsidRPr="00F17EC6">
              <w:rPr>
                <w:sz w:val="21"/>
                <w:szCs w:val="21"/>
              </w:rPr>
              <w:t xml:space="preserve"> population)</w:t>
            </w:r>
          </w:p>
        </w:tc>
        <w:tc>
          <w:tcPr>
            <w:tcW w:w="836" w:type="dxa"/>
          </w:tcPr>
          <w:p w14:paraId="4EA81EEC" w14:textId="77777777" w:rsidR="0086522A" w:rsidRPr="008B5EAE" w:rsidRDefault="0086522A" w:rsidP="00140558">
            <w:pPr>
              <w:tabs>
                <w:tab w:val="decimal" w:pos="193"/>
              </w:tabs>
              <w:spacing w:before="40" w:after="40"/>
              <w:rPr>
                <w:sz w:val="21"/>
                <w:szCs w:val="21"/>
              </w:rPr>
            </w:pPr>
            <w:r>
              <w:rPr>
                <w:sz w:val="21"/>
                <w:szCs w:val="21"/>
              </w:rPr>
              <w:t>60.24</w:t>
            </w:r>
          </w:p>
        </w:tc>
        <w:tc>
          <w:tcPr>
            <w:tcW w:w="829" w:type="dxa"/>
          </w:tcPr>
          <w:p w14:paraId="22B73268" w14:textId="77777777" w:rsidR="0086522A" w:rsidRPr="008B5EAE" w:rsidRDefault="0086522A" w:rsidP="00140558">
            <w:pPr>
              <w:tabs>
                <w:tab w:val="decimal" w:pos="183"/>
              </w:tabs>
              <w:spacing w:before="40" w:after="40"/>
              <w:rPr>
                <w:sz w:val="21"/>
                <w:szCs w:val="21"/>
              </w:rPr>
            </w:pPr>
            <w:r>
              <w:rPr>
                <w:sz w:val="21"/>
                <w:szCs w:val="21"/>
              </w:rPr>
              <w:t>31.40</w:t>
            </w:r>
          </w:p>
        </w:tc>
        <w:tc>
          <w:tcPr>
            <w:tcW w:w="830" w:type="dxa"/>
          </w:tcPr>
          <w:p w14:paraId="69157E1F" w14:textId="77777777" w:rsidR="0086522A" w:rsidRPr="008B5EAE" w:rsidRDefault="0086522A" w:rsidP="00140558">
            <w:pPr>
              <w:tabs>
                <w:tab w:val="decimal" w:pos="107"/>
              </w:tabs>
              <w:spacing w:before="40" w:after="40"/>
              <w:rPr>
                <w:sz w:val="21"/>
                <w:szCs w:val="21"/>
              </w:rPr>
            </w:pPr>
            <w:r>
              <w:rPr>
                <w:sz w:val="21"/>
                <w:szCs w:val="21"/>
              </w:rPr>
              <w:t>-.67</w:t>
            </w:r>
            <w:r w:rsidRPr="00700839">
              <w:rPr>
                <w:sz w:val="21"/>
                <w:szCs w:val="21"/>
                <w:vertAlign w:val="superscript"/>
              </w:rPr>
              <w:t>***</w:t>
            </w:r>
          </w:p>
        </w:tc>
        <w:tc>
          <w:tcPr>
            <w:tcW w:w="830" w:type="dxa"/>
          </w:tcPr>
          <w:p w14:paraId="789449E5" w14:textId="77777777" w:rsidR="0086522A" w:rsidRPr="008B5EAE" w:rsidRDefault="0086522A" w:rsidP="00140558">
            <w:pPr>
              <w:tabs>
                <w:tab w:val="decimal" w:pos="107"/>
              </w:tabs>
              <w:spacing w:before="40" w:after="40"/>
              <w:rPr>
                <w:sz w:val="21"/>
                <w:szCs w:val="21"/>
              </w:rPr>
            </w:pPr>
            <w:r>
              <w:rPr>
                <w:sz w:val="21"/>
                <w:szCs w:val="21"/>
              </w:rPr>
              <w:t>.85</w:t>
            </w:r>
            <w:r w:rsidRPr="00700839">
              <w:rPr>
                <w:sz w:val="21"/>
                <w:szCs w:val="21"/>
                <w:vertAlign w:val="superscript"/>
              </w:rPr>
              <w:t>***</w:t>
            </w:r>
          </w:p>
        </w:tc>
        <w:tc>
          <w:tcPr>
            <w:tcW w:w="830" w:type="dxa"/>
          </w:tcPr>
          <w:p w14:paraId="6BE3BFD7" w14:textId="77777777" w:rsidR="0086522A" w:rsidRPr="008B5EAE" w:rsidRDefault="0086522A" w:rsidP="00140558">
            <w:pPr>
              <w:tabs>
                <w:tab w:val="decimal" w:pos="107"/>
              </w:tabs>
              <w:spacing w:before="40" w:after="40"/>
              <w:rPr>
                <w:sz w:val="21"/>
                <w:szCs w:val="21"/>
              </w:rPr>
            </w:pPr>
            <w:r>
              <w:rPr>
                <w:sz w:val="21"/>
                <w:szCs w:val="21"/>
              </w:rPr>
              <w:t>-.51</w:t>
            </w:r>
            <w:r w:rsidRPr="00700839">
              <w:rPr>
                <w:sz w:val="21"/>
                <w:szCs w:val="21"/>
                <w:vertAlign w:val="superscript"/>
              </w:rPr>
              <w:t>***</w:t>
            </w:r>
          </w:p>
        </w:tc>
        <w:tc>
          <w:tcPr>
            <w:tcW w:w="837" w:type="dxa"/>
          </w:tcPr>
          <w:p w14:paraId="1B437971" w14:textId="77777777" w:rsidR="0086522A" w:rsidRPr="008B5EAE" w:rsidRDefault="0086522A" w:rsidP="00140558">
            <w:pPr>
              <w:tabs>
                <w:tab w:val="decimal" w:pos="107"/>
              </w:tabs>
              <w:spacing w:before="40" w:after="40"/>
              <w:rPr>
                <w:sz w:val="21"/>
                <w:szCs w:val="21"/>
              </w:rPr>
            </w:pPr>
            <w:r>
              <w:rPr>
                <w:sz w:val="21"/>
                <w:szCs w:val="21"/>
              </w:rPr>
              <w:t>-.80</w:t>
            </w:r>
            <w:r w:rsidRPr="00700839">
              <w:rPr>
                <w:sz w:val="21"/>
                <w:szCs w:val="21"/>
                <w:vertAlign w:val="superscript"/>
              </w:rPr>
              <w:t>***</w:t>
            </w:r>
          </w:p>
        </w:tc>
        <w:tc>
          <w:tcPr>
            <w:tcW w:w="837" w:type="dxa"/>
          </w:tcPr>
          <w:p w14:paraId="0696B1E8" w14:textId="77777777" w:rsidR="0086522A" w:rsidRPr="008B5EAE" w:rsidRDefault="0086522A" w:rsidP="00140558">
            <w:pPr>
              <w:tabs>
                <w:tab w:val="decimal" w:pos="107"/>
              </w:tabs>
              <w:spacing w:before="40" w:after="40"/>
              <w:jc w:val="center"/>
              <w:rPr>
                <w:sz w:val="21"/>
                <w:szCs w:val="21"/>
              </w:rPr>
            </w:pPr>
            <w:r>
              <w:rPr>
                <w:sz w:val="21"/>
                <w:szCs w:val="21"/>
              </w:rPr>
              <w:t>--</w:t>
            </w:r>
          </w:p>
        </w:tc>
        <w:tc>
          <w:tcPr>
            <w:tcW w:w="837" w:type="dxa"/>
          </w:tcPr>
          <w:p w14:paraId="5E33BA31" w14:textId="77777777" w:rsidR="0086522A" w:rsidRPr="008B5EAE" w:rsidRDefault="0086522A" w:rsidP="00140558">
            <w:pPr>
              <w:tabs>
                <w:tab w:val="decimal" w:pos="107"/>
              </w:tabs>
              <w:spacing w:before="40" w:after="40"/>
              <w:rPr>
                <w:sz w:val="21"/>
                <w:szCs w:val="21"/>
              </w:rPr>
            </w:pPr>
          </w:p>
        </w:tc>
        <w:tc>
          <w:tcPr>
            <w:tcW w:w="837" w:type="dxa"/>
          </w:tcPr>
          <w:p w14:paraId="017ACA63" w14:textId="77777777" w:rsidR="0086522A" w:rsidRPr="008B5EAE" w:rsidRDefault="0086522A" w:rsidP="00140558">
            <w:pPr>
              <w:tabs>
                <w:tab w:val="decimal" w:pos="107"/>
              </w:tabs>
              <w:spacing w:before="40" w:after="40"/>
              <w:rPr>
                <w:sz w:val="21"/>
                <w:szCs w:val="21"/>
              </w:rPr>
            </w:pPr>
          </w:p>
        </w:tc>
      </w:tr>
      <w:tr w:rsidR="0086522A" w:rsidRPr="008B5EAE" w14:paraId="78C08D4F" w14:textId="77777777" w:rsidTr="00140558">
        <w:tc>
          <w:tcPr>
            <w:tcW w:w="4372" w:type="dxa"/>
          </w:tcPr>
          <w:p w14:paraId="11C576CE" w14:textId="77777777" w:rsidR="0086522A" w:rsidRPr="00F17EC6" w:rsidRDefault="0086522A" w:rsidP="00140558">
            <w:pPr>
              <w:spacing w:before="40" w:after="40"/>
              <w:rPr>
                <w:sz w:val="21"/>
                <w:szCs w:val="21"/>
              </w:rPr>
            </w:pPr>
            <w:r>
              <w:rPr>
                <w:sz w:val="21"/>
                <w:szCs w:val="21"/>
              </w:rPr>
              <w:t xml:space="preserve">   6</w:t>
            </w:r>
            <w:r w:rsidRPr="00F17EC6">
              <w:rPr>
                <w:sz w:val="21"/>
                <w:szCs w:val="21"/>
              </w:rPr>
              <w:t>. Negotiation (</w:t>
            </w:r>
            <w:r>
              <w:rPr>
                <w:sz w:val="21"/>
                <w:szCs w:val="21"/>
              </w:rPr>
              <w:t>elite</w:t>
            </w:r>
            <w:r w:rsidRPr="00F17EC6">
              <w:rPr>
                <w:sz w:val="21"/>
                <w:szCs w:val="21"/>
              </w:rPr>
              <w:t xml:space="preserve"> population)</w:t>
            </w:r>
          </w:p>
        </w:tc>
        <w:tc>
          <w:tcPr>
            <w:tcW w:w="836" w:type="dxa"/>
          </w:tcPr>
          <w:p w14:paraId="5F6B6B84" w14:textId="77777777" w:rsidR="0086522A" w:rsidRPr="008B5EAE" w:rsidRDefault="0086522A" w:rsidP="00140558">
            <w:pPr>
              <w:tabs>
                <w:tab w:val="decimal" w:pos="193"/>
              </w:tabs>
              <w:spacing w:before="40" w:after="40"/>
              <w:rPr>
                <w:sz w:val="21"/>
                <w:szCs w:val="21"/>
              </w:rPr>
            </w:pPr>
            <w:r>
              <w:rPr>
                <w:sz w:val="21"/>
                <w:szCs w:val="21"/>
              </w:rPr>
              <w:t>22.52</w:t>
            </w:r>
          </w:p>
        </w:tc>
        <w:tc>
          <w:tcPr>
            <w:tcW w:w="829" w:type="dxa"/>
          </w:tcPr>
          <w:p w14:paraId="37088703" w14:textId="77777777" w:rsidR="0086522A" w:rsidRPr="008B5EAE" w:rsidRDefault="0086522A" w:rsidP="00140558">
            <w:pPr>
              <w:tabs>
                <w:tab w:val="decimal" w:pos="183"/>
              </w:tabs>
              <w:spacing w:before="40" w:after="40"/>
              <w:rPr>
                <w:sz w:val="21"/>
                <w:szCs w:val="21"/>
              </w:rPr>
            </w:pPr>
            <w:r>
              <w:rPr>
                <w:sz w:val="21"/>
                <w:szCs w:val="21"/>
              </w:rPr>
              <w:t>19.13</w:t>
            </w:r>
          </w:p>
        </w:tc>
        <w:tc>
          <w:tcPr>
            <w:tcW w:w="830" w:type="dxa"/>
          </w:tcPr>
          <w:p w14:paraId="5D3052AF" w14:textId="77777777" w:rsidR="0086522A" w:rsidRPr="008B5EAE" w:rsidRDefault="0086522A" w:rsidP="00140558">
            <w:pPr>
              <w:tabs>
                <w:tab w:val="decimal" w:pos="107"/>
              </w:tabs>
              <w:spacing w:before="40" w:after="40"/>
              <w:rPr>
                <w:sz w:val="21"/>
                <w:szCs w:val="21"/>
              </w:rPr>
            </w:pPr>
            <w:r>
              <w:rPr>
                <w:sz w:val="21"/>
                <w:szCs w:val="21"/>
              </w:rPr>
              <w:t>.17</w:t>
            </w:r>
            <w:r w:rsidRPr="00700839">
              <w:rPr>
                <w:sz w:val="21"/>
                <w:szCs w:val="21"/>
                <w:vertAlign w:val="superscript"/>
              </w:rPr>
              <w:t>***</w:t>
            </w:r>
          </w:p>
        </w:tc>
        <w:tc>
          <w:tcPr>
            <w:tcW w:w="830" w:type="dxa"/>
          </w:tcPr>
          <w:p w14:paraId="21E0E030" w14:textId="77777777" w:rsidR="0086522A" w:rsidRPr="008B5EAE" w:rsidRDefault="0086522A" w:rsidP="00140558">
            <w:pPr>
              <w:tabs>
                <w:tab w:val="decimal" w:pos="107"/>
              </w:tabs>
              <w:spacing w:before="40" w:after="40"/>
              <w:rPr>
                <w:sz w:val="21"/>
                <w:szCs w:val="21"/>
              </w:rPr>
            </w:pPr>
            <w:r>
              <w:rPr>
                <w:sz w:val="21"/>
                <w:szCs w:val="21"/>
              </w:rPr>
              <w:t>-.62</w:t>
            </w:r>
            <w:r w:rsidRPr="00700839">
              <w:rPr>
                <w:sz w:val="21"/>
                <w:szCs w:val="21"/>
                <w:vertAlign w:val="superscript"/>
              </w:rPr>
              <w:t>***</w:t>
            </w:r>
          </w:p>
        </w:tc>
        <w:tc>
          <w:tcPr>
            <w:tcW w:w="830" w:type="dxa"/>
          </w:tcPr>
          <w:p w14:paraId="4B055865" w14:textId="77777777" w:rsidR="0086522A" w:rsidRPr="008B5EAE" w:rsidRDefault="0086522A" w:rsidP="00140558">
            <w:pPr>
              <w:tabs>
                <w:tab w:val="decimal" w:pos="107"/>
              </w:tabs>
              <w:spacing w:before="40" w:after="40"/>
              <w:rPr>
                <w:sz w:val="21"/>
                <w:szCs w:val="21"/>
              </w:rPr>
            </w:pPr>
            <w:r>
              <w:rPr>
                <w:sz w:val="21"/>
                <w:szCs w:val="21"/>
              </w:rPr>
              <w:t>.74</w:t>
            </w:r>
            <w:r w:rsidRPr="00700839">
              <w:rPr>
                <w:sz w:val="21"/>
                <w:szCs w:val="21"/>
                <w:vertAlign w:val="superscript"/>
              </w:rPr>
              <w:t>***</w:t>
            </w:r>
          </w:p>
        </w:tc>
        <w:tc>
          <w:tcPr>
            <w:tcW w:w="837" w:type="dxa"/>
          </w:tcPr>
          <w:p w14:paraId="271CF50F" w14:textId="77777777" w:rsidR="0086522A" w:rsidRPr="008B5EAE" w:rsidRDefault="0086522A" w:rsidP="00140558">
            <w:pPr>
              <w:tabs>
                <w:tab w:val="decimal" w:pos="107"/>
              </w:tabs>
              <w:spacing w:before="40" w:after="40"/>
              <w:rPr>
                <w:sz w:val="21"/>
                <w:szCs w:val="21"/>
              </w:rPr>
            </w:pPr>
            <w:r>
              <w:rPr>
                <w:sz w:val="21"/>
                <w:szCs w:val="21"/>
              </w:rPr>
              <w:t>.12</w:t>
            </w:r>
            <w:r w:rsidRPr="00700839">
              <w:rPr>
                <w:sz w:val="21"/>
                <w:szCs w:val="21"/>
                <w:vertAlign w:val="superscript"/>
              </w:rPr>
              <w:t>**</w:t>
            </w:r>
          </w:p>
        </w:tc>
        <w:tc>
          <w:tcPr>
            <w:tcW w:w="837" w:type="dxa"/>
          </w:tcPr>
          <w:p w14:paraId="1CF1F62D" w14:textId="77777777" w:rsidR="0086522A" w:rsidRPr="008B5EAE" w:rsidRDefault="0086522A" w:rsidP="00140558">
            <w:pPr>
              <w:tabs>
                <w:tab w:val="decimal" w:pos="107"/>
              </w:tabs>
              <w:spacing w:before="40" w:after="40"/>
              <w:rPr>
                <w:sz w:val="21"/>
                <w:szCs w:val="21"/>
              </w:rPr>
            </w:pPr>
            <w:r>
              <w:rPr>
                <w:sz w:val="21"/>
                <w:szCs w:val="21"/>
              </w:rPr>
              <w:t>-.70</w:t>
            </w:r>
            <w:r w:rsidRPr="00700839">
              <w:rPr>
                <w:sz w:val="21"/>
                <w:szCs w:val="21"/>
                <w:vertAlign w:val="superscript"/>
              </w:rPr>
              <w:t>***</w:t>
            </w:r>
          </w:p>
        </w:tc>
        <w:tc>
          <w:tcPr>
            <w:tcW w:w="837" w:type="dxa"/>
          </w:tcPr>
          <w:p w14:paraId="097DD8E5" w14:textId="77777777" w:rsidR="0086522A" w:rsidRPr="008B5EAE" w:rsidRDefault="0086522A" w:rsidP="00140558">
            <w:pPr>
              <w:tabs>
                <w:tab w:val="decimal" w:pos="107"/>
              </w:tabs>
              <w:spacing w:before="40" w:after="40"/>
              <w:jc w:val="center"/>
              <w:rPr>
                <w:sz w:val="21"/>
                <w:szCs w:val="21"/>
              </w:rPr>
            </w:pPr>
            <w:r>
              <w:rPr>
                <w:sz w:val="21"/>
                <w:szCs w:val="21"/>
              </w:rPr>
              <w:t>--</w:t>
            </w:r>
          </w:p>
        </w:tc>
        <w:tc>
          <w:tcPr>
            <w:tcW w:w="837" w:type="dxa"/>
          </w:tcPr>
          <w:p w14:paraId="3BF673AD" w14:textId="77777777" w:rsidR="0086522A" w:rsidRDefault="0086522A" w:rsidP="00140558">
            <w:pPr>
              <w:tabs>
                <w:tab w:val="decimal" w:pos="107"/>
              </w:tabs>
              <w:spacing w:before="40" w:after="40"/>
              <w:rPr>
                <w:sz w:val="21"/>
                <w:szCs w:val="21"/>
              </w:rPr>
            </w:pPr>
          </w:p>
        </w:tc>
      </w:tr>
      <w:tr w:rsidR="0086522A" w:rsidRPr="008B5EAE" w14:paraId="2CE053AE" w14:textId="77777777" w:rsidTr="00140558">
        <w:tc>
          <w:tcPr>
            <w:tcW w:w="4372" w:type="dxa"/>
          </w:tcPr>
          <w:p w14:paraId="0DFA0B42" w14:textId="77777777" w:rsidR="0086522A" w:rsidRDefault="0086522A" w:rsidP="00140558">
            <w:pPr>
              <w:spacing w:before="40" w:after="40"/>
              <w:rPr>
                <w:sz w:val="21"/>
                <w:szCs w:val="21"/>
              </w:rPr>
            </w:pPr>
            <w:r>
              <w:rPr>
                <w:sz w:val="21"/>
                <w:szCs w:val="21"/>
              </w:rPr>
              <w:t xml:space="preserve">   7. Support for salary history ban legislation</w:t>
            </w:r>
          </w:p>
        </w:tc>
        <w:tc>
          <w:tcPr>
            <w:tcW w:w="836" w:type="dxa"/>
          </w:tcPr>
          <w:p w14:paraId="4C8EAAAF" w14:textId="77777777" w:rsidR="0086522A" w:rsidRPr="008B5EAE" w:rsidRDefault="0086522A" w:rsidP="00140558">
            <w:pPr>
              <w:tabs>
                <w:tab w:val="decimal" w:pos="193"/>
              </w:tabs>
              <w:spacing w:before="40" w:after="40"/>
              <w:rPr>
                <w:sz w:val="21"/>
                <w:szCs w:val="21"/>
              </w:rPr>
            </w:pPr>
            <w:r>
              <w:rPr>
                <w:sz w:val="21"/>
                <w:szCs w:val="21"/>
              </w:rPr>
              <w:t>5.36</w:t>
            </w:r>
          </w:p>
        </w:tc>
        <w:tc>
          <w:tcPr>
            <w:tcW w:w="829" w:type="dxa"/>
          </w:tcPr>
          <w:p w14:paraId="1836CEE6" w14:textId="77777777" w:rsidR="0086522A" w:rsidRPr="008B5EAE" w:rsidRDefault="0086522A" w:rsidP="00140558">
            <w:pPr>
              <w:tabs>
                <w:tab w:val="decimal" w:pos="183"/>
              </w:tabs>
              <w:spacing w:before="40" w:after="40"/>
              <w:rPr>
                <w:sz w:val="21"/>
                <w:szCs w:val="21"/>
              </w:rPr>
            </w:pPr>
            <w:r>
              <w:rPr>
                <w:sz w:val="21"/>
                <w:szCs w:val="21"/>
              </w:rPr>
              <w:t>1.55</w:t>
            </w:r>
          </w:p>
        </w:tc>
        <w:tc>
          <w:tcPr>
            <w:tcW w:w="830" w:type="dxa"/>
          </w:tcPr>
          <w:p w14:paraId="09AC006F" w14:textId="77777777" w:rsidR="0086522A" w:rsidRPr="008B5EAE" w:rsidRDefault="0086522A" w:rsidP="00140558">
            <w:pPr>
              <w:tabs>
                <w:tab w:val="decimal" w:pos="107"/>
              </w:tabs>
              <w:spacing w:before="40" w:after="40"/>
              <w:rPr>
                <w:sz w:val="21"/>
                <w:szCs w:val="21"/>
              </w:rPr>
            </w:pPr>
            <w:r>
              <w:rPr>
                <w:sz w:val="21"/>
                <w:szCs w:val="21"/>
              </w:rPr>
              <w:t>-.33</w:t>
            </w:r>
            <w:r w:rsidRPr="00700839">
              <w:rPr>
                <w:sz w:val="21"/>
                <w:szCs w:val="21"/>
                <w:vertAlign w:val="superscript"/>
              </w:rPr>
              <w:t>***</w:t>
            </w:r>
          </w:p>
        </w:tc>
        <w:tc>
          <w:tcPr>
            <w:tcW w:w="830" w:type="dxa"/>
          </w:tcPr>
          <w:p w14:paraId="2699629D" w14:textId="77777777" w:rsidR="0086522A" w:rsidRPr="008B5EAE" w:rsidRDefault="0086522A" w:rsidP="00140558">
            <w:pPr>
              <w:tabs>
                <w:tab w:val="decimal" w:pos="107"/>
              </w:tabs>
              <w:spacing w:before="40" w:after="40"/>
              <w:rPr>
                <w:sz w:val="21"/>
                <w:szCs w:val="21"/>
              </w:rPr>
            </w:pPr>
            <w:r>
              <w:rPr>
                <w:sz w:val="21"/>
                <w:szCs w:val="21"/>
              </w:rPr>
              <w:t>.30</w:t>
            </w:r>
            <w:r w:rsidRPr="00700839">
              <w:rPr>
                <w:sz w:val="21"/>
                <w:szCs w:val="21"/>
                <w:vertAlign w:val="superscript"/>
              </w:rPr>
              <w:t>***</w:t>
            </w:r>
          </w:p>
        </w:tc>
        <w:tc>
          <w:tcPr>
            <w:tcW w:w="830" w:type="dxa"/>
          </w:tcPr>
          <w:p w14:paraId="6568F507" w14:textId="77777777" w:rsidR="0086522A" w:rsidRPr="008B5EAE" w:rsidRDefault="0086522A" w:rsidP="00140558">
            <w:pPr>
              <w:tabs>
                <w:tab w:val="decimal" w:pos="107"/>
              </w:tabs>
              <w:spacing w:before="40" w:after="40"/>
              <w:rPr>
                <w:sz w:val="21"/>
                <w:szCs w:val="21"/>
              </w:rPr>
            </w:pPr>
            <w:r>
              <w:rPr>
                <w:sz w:val="21"/>
                <w:szCs w:val="21"/>
              </w:rPr>
              <w:t>-.07</w:t>
            </w:r>
          </w:p>
        </w:tc>
        <w:tc>
          <w:tcPr>
            <w:tcW w:w="837" w:type="dxa"/>
          </w:tcPr>
          <w:p w14:paraId="068CFF23" w14:textId="77777777" w:rsidR="0086522A" w:rsidRPr="008B5EAE" w:rsidRDefault="0086522A" w:rsidP="00140558">
            <w:pPr>
              <w:tabs>
                <w:tab w:val="decimal" w:pos="107"/>
              </w:tabs>
              <w:spacing w:before="40" w:after="40"/>
              <w:rPr>
                <w:sz w:val="21"/>
                <w:szCs w:val="21"/>
              </w:rPr>
            </w:pPr>
            <w:r>
              <w:rPr>
                <w:sz w:val="21"/>
                <w:szCs w:val="21"/>
              </w:rPr>
              <w:t>-.31</w:t>
            </w:r>
            <w:r w:rsidRPr="00700839">
              <w:rPr>
                <w:sz w:val="21"/>
                <w:szCs w:val="21"/>
                <w:vertAlign w:val="superscript"/>
              </w:rPr>
              <w:t>***</w:t>
            </w:r>
          </w:p>
        </w:tc>
        <w:tc>
          <w:tcPr>
            <w:tcW w:w="837" w:type="dxa"/>
          </w:tcPr>
          <w:p w14:paraId="6A24A346" w14:textId="77777777" w:rsidR="0086522A" w:rsidRPr="008B5EAE" w:rsidRDefault="0086522A" w:rsidP="00140558">
            <w:pPr>
              <w:tabs>
                <w:tab w:val="decimal" w:pos="107"/>
              </w:tabs>
              <w:spacing w:before="40" w:after="40"/>
              <w:rPr>
                <w:sz w:val="21"/>
                <w:szCs w:val="21"/>
              </w:rPr>
            </w:pPr>
            <w:r>
              <w:rPr>
                <w:sz w:val="21"/>
                <w:szCs w:val="21"/>
              </w:rPr>
              <w:t>.31</w:t>
            </w:r>
            <w:r w:rsidRPr="00700839">
              <w:rPr>
                <w:sz w:val="21"/>
                <w:szCs w:val="21"/>
                <w:vertAlign w:val="superscript"/>
              </w:rPr>
              <w:t>***</w:t>
            </w:r>
          </w:p>
        </w:tc>
        <w:tc>
          <w:tcPr>
            <w:tcW w:w="837" w:type="dxa"/>
          </w:tcPr>
          <w:p w14:paraId="1A98B229" w14:textId="77777777" w:rsidR="0086522A" w:rsidRPr="008B5EAE" w:rsidRDefault="0086522A" w:rsidP="00140558">
            <w:pPr>
              <w:tabs>
                <w:tab w:val="decimal" w:pos="107"/>
              </w:tabs>
              <w:spacing w:before="40" w:after="40"/>
              <w:rPr>
                <w:sz w:val="21"/>
                <w:szCs w:val="21"/>
              </w:rPr>
            </w:pPr>
            <w:r>
              <w:rPr>
                <w:sz w:val="21"/>
                <w:szCs w:val="21"/>
              </w:rPr>
              <w:t>-.14</w:t>
            </w:r>
            <w:r w:rsidRPr="00700839">
              <w:rPr>
                <w:sz w:val="21"/>
                <w:szCs w:val="21"/>
                <w:vertAlign w:val="superscript"/>
              </w:rPr>
              <w:t>**</w:t>
            </w:r>
          </w:p>
        </w:tc>
        <w:tc>
          <w:tcPr>
            <w:tcW w:w="837" w:type="dxa"/>
          </w:tcPr>
          <w:p w14:paraId="6EF7A0CA" w14:textId="77777777" w:rsidR="0086522A" w:rsidRPr="008B5EAE" w:rsidRDefault="0086522A" w:rsidP="00140558">
            <w:pPr>
              <w:tabs>
                <w:tab w:val="decimal" w:pos="107"/>
              </w:tabs>
              <w:spacing w:before="40" w:after="40"/>
              <w:jc w:val="center"/>
              <w:rPr>
                <w:sz w:val="21"/>
                <w:szCs w:val="21"/>
              </w:rPr>
            </w:pPr>
            <w:r>
              <w:rPr>
                <w:sz w:val="21"/>
                <w:szCs w:val="21"/>
              </w:rPr>
              <w:t>--</w:t>
            </w:r>
          </w:p>
        </w:tc>
      </w:tr>
      <w:tr w:rsidR="0086522A" w:rsidRPr="008B5EAE" w14:paraId="6A6E089F" w14:textId="77777777" w:rsidTr="00140558">
        <w:tc>
          <w:tcPr>
            <w:tcW w:w="4372" w:type="dxa"/>
          </w:tcPr>
          <w:p w14:paraId="34F6FC13" w14:textId="77777777" w:rsidR="0086522A" w:rsidRDefault="0086522A" w:rsidP="00140558">
            <w:pPr>
              <w:spacing w:before="40" w:after="40"/>
              <w:rPr>
                <w:sz w:val="21"/>
                <w:szCs w:val="21"/>
              </w:rPr>
            </w:pPr>
            <w:r>
              <w:rPr>
                <w:sz w:val="21"/>
                <w:szCs w:val="21"/>
              </w:rPr>
              <w:t xml:space="preserve">   8. Gender-specific system justification</w:t>
            </w:r>
          </w:p>
        </w:tc>
        <w:tc>
          <w:tcPr>
            <w:tcW w:w="836" w:type="dxa"/>
          </w:tcPr>
          <w:p w14:paraId="023131C8" w14:textId="77777777" w:rsidR="0086522A" w:rsidRPr="008B5EAE" w:rsidRDefault="0086522A" w:rsidP="00140558">
            <w:pPr>
              <w:tabs>
                <w:tab w:val="decimal" w:pos="193"/>
              </w:tabs>
              <w:spacing w:before="40" w:after="40"/>
              <w:rPr>
                <w:sz w:val="21"/>
                <w:szCs w:val="21"/>
              </w:rPr>
            </w:pPr>
            <w:r>
              <w:rPr>
                <w:sz w:val="21"/>
                <w:szCs w:val="21"/>
              </w:rPr>
              <w:t>3.59</w:t>
            </w:r>
          </w:p>
        </w:tc>
        <w:tc>
          <w:tcPr>
            <w:tcW w:w="829" w:type="dxa"/>
          </w:tcPr>
          <w:p w14:paraId="344F8712" w14:textId="77777777" w:rsidR="0086522A" w:rsidRPr="008B5EAE" w:rsidRDefault="0086522A" w:rsidP="00140558">
            <w:pPr>
              <w:tabs>
                <w:tab w:val="decimal" w:pos="183"/>
              </w:tabs>
              <w:spacing w:before="40" w:after="40"/>
              <w:rPr>
                <w:sz w:val="21"/>
                <w:szCs w:val="21"/>
              </w:rPr>
            </w:pPr>
            <w:r>
              <w:rPr>
                <w:sz w:val="21"/>
                <w:szCs w:val="21"/>
              </w:rPr>
              <w:t>1.40</w:t>
            </w:r>
          </w:p>
        </w:tc>
        <w:tc>
          <w:tcPr>
            <w:tcW w:w="830" w:type="dxa"/>
          </w:tcPr>
          <w:p w14:paraId="69FD86F8" w14:textId="77777777" w:rsidR="0086522A" w:rsidRPr="008B5EAE" w:rsidRDefault="0086522A" w:rsidP="00140558">
            <w:pPr>
              <w:tabs>
                <w:tab w:val="decimal" w:pos="107"/>
              </w:tabs>
              <w:spacing w:before="40" w:after="40"/>
              <w:rPr>
                <w:sz w:val="21"/>
                <w:szCs w:val="21"/>
              </w:rPr>
            </w:pPr>
            <w:r>
              <w:rPr>
                <w:sz w:val="21"/>
                <w:szCs w:val="21"/>
              </w:rPr>
              <w:t>.56</w:t>
            </w:r>
            <w:r w:rsidRPr="00700839">
              <w:rPr>
                <w:sz w:val="21"/>
                <w:szCs w:val="21"/>
                <w:vertAlign w:val="superscript"/>
              </w:rPr>
              <w:t>***</w:t>
            </w:r>
          </w:p>
        </w:tc>
        <w:tc>
          <w:tcPr>
            <w:tcW w:w="830" w:type="dxa"/>
          </w:tcPr>
          <w:p w14:paraId="3E2FC93C" w14:textId="77777777" w:rsidR="0086522A" w:rsidRPr="008B5EAE" w:rsidRDefault="0086522A" w:rsidP="00140558">
            <w:pPr>
              <w:tabs>
                <w:tab w:val="decimal" w:pos="107"/>
              </w:tabs>
              <w:spacing w:before="40" w:after="40"/>
              <w:rPr>
                <w:sz w:val="21"/>
                <w:szCs w:val="21"/>
              </w:rPr>
            </w:pPr>
            <w:r>
              <w:rPr>
                <w:sz w:val="21"/>
                <w:szCs w:val="21"/>
              </w:rPr>
              <w:t>-.61</w:t>
            </w:r>
            <w:r w:rsidRPr="00700839">
              <w:rPr>
                <w:sz w:val="21"/>
                <w:szCs w:val="21"/>
                <w:vertAlign w:val="superscript"/>
              </w:rPr>
              <w:t>***</w:t>
            </w:r>
          </w:p>
        </w:tc>
        <w:tc>
          <w:tcPr>
            <w:tcW w:w="830" w:type="dxa"/>
          </w:tcPr>
          <w:p w14:paraId="4A47E747" w14:textId="77777777" w:rsidR="0086522A" w:rsidRPr="008B5EAE" w:rsidRDefault="0086522A" w:rsidP="00140558">
            <w:pPr>
              <w:tabs>
                <w:tab w:val="decimal" w:pos="107"/>
              </w:tabs>
              <w:spacing w:before="40" w:after="40"/>
              <w:rPr>
                <w:sz w:val="21"/>
                <w:szCs w:val="21"/>
              </w:rPr>
            </w:pPr>
            <w:r>
              <w:rPr>
                <w:sz w:val="21"/>
                <w:szCs w:val="21"/>
              </w:rPr>
              <w:t>.29</w:t>
            </w:r>
            <w:r w:rsidRPr="00700839">
              <w:rPr>
                <w:sz w:val="21"/>
                <w:szCs w:val="21"/>
                <w:vertAlign w:val="superscript"/>
              </w:rPr>
              <w:t>***</w:t>
            </w:r>
          </w:p>
        </w:tc>
        <w:tc>
          <w:tcPr>
            <w:tcW w:w="837" w:type="dxa"/>
          </w:tcPr>
          <w:p w14:paraId="43805886" w14:textId="77777777" w:rsidR="0086522A" w:rsidRPr="008B5EAE" w:rsidRDefault="0086522A" w:rsidP="00140558">
            <w:pPr>
              <w:tabs>
                <w:tab w:val="decimal" w:pos="107"/>
              </w:tabs>
              <w:spacing w:before="40" w:after="40"/>
              <w:rPr>
                <w:sz w:val="21"/>
                <w:szCs w:val="21"/>
              </w:rPr>
            </w:pPr>
            <w:r>
              <w:rPr>
                <w:sz w:val="21"/>
                <w:szCs w:val="21"/>
              </w:rPr>
              <w:t>.52</w:t>
            </w:r>
            <w:r w:rsidRPr="00700839">
              <w:rPr>
                <w:sz w:val="21"/>
                <w:szCs w:val="21"/>
                <w:vertAlign w:val="superscript"/>
              </w:rPr>
              <w:t>***</w:t>
            </w:r>
          </w:p>
        </w:tc>
        <w:tc>
          <w:tcPr>
            <w:tcW w:w="837" w:type="dxa"/>
          </w:tcPr>
          <w:p w14:paraId="2DD0DC54" w14:textId="77777777" w:rsidR="0086522A" w:rsidRPr="008B5EAE" w:rsidRDefault="0086522A" w:rsidP="00140558">
            <w:pPr>
              <w:tabs>
                <w:tab w:val="decimal" w:pos="107"/>
              </w:tabs>
              <w:spacing w:before="40" w:after="40"/>
              <w:rPr>
                <w:sz w:val="21"/>
                <w:szCs w:val="21"/>
              </w:rPr>
            </w:pPr>
            <w:r>
              <w:rPr>
                <w:sz w:val="21"/>
                <w:szCs w:val="21"/>
              </w:rPr>
              <w:t>-.59</w:t>
            </w:r>
            <w:r w:rsidRPr="00700839">
              <w:rPr>
                <w:sz w:val="21"/>
                <w:szCs w:val="21"/>
                <w:vertAlign w:val="superscript"/>
              </w:rPr>
              <w:t>***</w:t>
            </w:r>
          </w:p>
        </w:tc>
        <w:tc>
          <w:tcPr>
            <w:tcW w:w="837" w:type="dxa"/>
          </w:tcPr>
          <w:p w14:paraId="40A15F94" w14:textId="77777777" w:rsidR="0086522A" w:rsidRPr="008B5EAE" w:rsidRDefault="0086522A" w:rsidP="00140558">
            <w:pPr>
              <w:tabs>
                <w:tab w:val="decimal" w:pos="107"/>
              </w:tabs>
              <w:spacing w:before="40" w:after="40"/>
              <w:rPr>
                <w:sz w:val="21"/>
                <w:szCs w:val="21"/>
              </w:rPr>
            </w:pPr>
            <w:r>
              <w:rPr>
                <w:sz w:val="21"/>
                <w:szCs w:val="21"/>
              </w:rPr>
              <w:t>.36</w:t>
            </w:r>
            <w:r w:rsidRPr="00700839">
              <w:rPr>
                <w:sz w:val="21"/>
                <w:szCs w:val="21"/>
                <w:vertAlign w:val="superscript"/>
              </w:rPr>
              <w:t>***</w:t>
            </w:r>
          </w:p>
        </w:tc>
        <w:tc>
          <w:tcPr>
            <w:tcW w:w="837" w:type="dxa"/>
          </w:tcPr>
          <w:p w14:paraId="09DC7B2C" w14:textId="77777777" w:rsidR="0086522A" w:rsidRPr="008B5EAE" w:rsidRDefault="0086522A" w:rsidP="00140558">
            <w:pPr>
              <w:tabs>
                <w:tab w:val="decimal" w:pos="107"/>
              </w:tabs>
              <w:spacing w:before="40" w:after="40"/>
              <w:rPr>
                <w:sz w:val="21"/>
                <w:szCs w:val="21"/>
              </w:rPr>
            </w:pPr>
            <w:r>
              <w:rPr>
                <w:sz w:val="21"/>
                <w:szCs w:val="21"/>
              </w:rPr>
              <w:t>-.38</w:t>
            </w:r>
            <w:r w:rsidRPr="00700839">
              <w:rPr>
                <w:sz w:val="21"/>
                <w:szCs w:val="21"/>
                <w:vertAlign w:val="superscript"/>
              </w:rPr>
              <w:t>***</w:t>
            </w:r>
          </w:p>
        </w:tc>
      </w:tr>
    </w:tbl>
    <w:p w14:paraId="1A4D9A19" w14:textId="77777777" w:rsidR="0086522A" w:rsidRPr="008832E0" w:rsidRDefault="0086522A" w:rsidP="00140558">
      <w:pPr>
        <w:spacing w:line="480" w:lineRule="auto"/>
      </w:pPr>
      <w:r>
        <w:rPr>
          <w:sz w:val="21"/>
          <w:szCs w:val="21"/>
          <w:vertAlign w:val="superscript"/>
        </w:rPr>
        <w:t>†</w:t>
      </w:r>
      <w:r w:rsidRPr="008832E0">
        <w:rPr>
          <w:i/>
          <w:iCs/>
          <w:sz w:val="21"/>
          <w:szCs w:val="21"/>
        </w:rPr>
        <w:t>p</w:t>
      </w:r>
      <w:r>
        <w:rPr>
          <w:i/>
          <w:iCs/>
          <w:sz w:val="21"/>
          <w:szCs w:val="21"/>
        </w:rPr>
        <w:t xml:space="preserve"> </w:t>
      </w:r>
      <w:r>
        <w:rPr>
          <w:sz w:val="21"/>
          <w:szCs w:val="21"/>
          <w:u w:val="single"/>
        </w:rPr>
        <w:t>&lt;</w:t>
      </w:r>
      <w:r>
        <w:rPr>
          <w:sz w:val="21"/>
          <w:szCs w:val="21"/>
        </w:rPr>
        <w:t xml:space="preserve"> .10. </w:t>
      </w:r>
      <w:r w:rsidRPr="00700839">
        <w:rPr>
          <w:sz w:val="21"/>
          <w:szCs w:val="21"/>
          <w:vertAlign w:val="superscript"/>
        </w:rPr>
        <w:t>*</w:t>
      </w:r>
      <w:r w:rsidRPr="008832E0">
        <w:rPr>
          <w:i/>
          <w:iCs/>
          <w:sz w:val="21"/>
          <w:szCs w:val="21"/>
        </w:rPr>
        <w:t>p</w:t>
      </w:r>
      <w:r>
        <w:rPr>
          <w:i/>
          <w:iCs/>
          <w:sz w:val="21"/>
          <w:szCs w:val="21"/>
        </w:rPr>
        <w:t xml:space="preserve"> </w:t>
      </w:r>
      <w:r>
        <w:rPr>
          <w:sz w:val="21"/>
          <w:szCs w:val="21"/>
          <w:u w:val="single"/>
        </w:rPr>
        <w:t>&lt;</w:t>
      </w:r>
      <w:r>
        <w:rPr>
          <w:sz w:val="21"/>
          <w:szCs w:val="21"/>
        </w:rPr>
        <w:t xml:space="preserve"> .05. </w:t>
      </w:r>
      <w:r w:rsidRPr="00700839">
        <w:rPr>
          <w:sz w:val="21"/>
          <w:szCs w:val="21"/>
          <w:vertAlign w:val="superscript"/>
        </w:rPr>
        <w:t>**</w:t>
      </w:r>
      <w:r>
        <w:rPr>
          <w:sz w:val="21"/>
          <w:szCs w:val="21"/>
          <w:vertAlign w:val="superscript"/>
        </w:rPr>
        <w:t xml:space="preserve"> </w:t>
      </w:r>
      <w:r w:rsidRPr="008832E0">
        <w:rPr>
          <w:i/>
          <w:iCs/>
          <w:sz w:val="21"/>
          <w:szCs w:val="21"/>
        </w:rPr>
        <w:t>p</w:t>
      </w:r>
      <w:r>
        <w:rPr>
          <w:i/>
          <w:iCs/>
          <w:sz w:val="21"/>
          <w:szCs w:val="21"/>
        </w:rPr>
        <w:t xml:space="preserve"> </w:t>
      </w:r>
      <w:r>
        <w:rPr>
          <w:sz w:val="21"/>
          <w:szCs w:val="21"/>
          <w:u w:val="single"/>
        </w:rPr>
        <w:t>&lt;</w:t>
      </w:r>
      <w:r>
        <w:rPr>
          <w:sz w:val="21"/>
          <w:szCs w:val="21"/>
        </w:rPr>
        <w:t xml:space="preserve"> .01. </w:t>
      </w:r>
      <w:r w:rsidRPr="00700839">
        <w:rPr>
          <w:sz w:val="21"/>
          <w:szCs w:val="21"/>
          <w:vertAlign w:val="superscript"/>
        </w:rPr>
        <w:t>***</w:t>
      </w:r>
      <w:r>
        <w:rPr>
          <w:sz w:val="21"/>
          <w:szCs w:val="21"/>
          <w:vertAlign w:val="superscript"/>
        </w:rPr>
        <w:t xml:space="preserve"> </w:t>
      </w:r>
      <w:r w:rsidRPr="008832E0">
        <w:rPr>
          <w:i/>
          <w:iCs/>
          <w:sz w:val="21"/>
          <w:szCs w:val="21"/>
        </w:rPr>
        <w:t>p</w:t>
      </w:r>
      <w:r>
        <w:rPr>
          <w:i/>
          <w:iCs/>
          <w:sz w:val="21"/>
          <w:szCs w:val="21"/>
        </w:rPr>
        <w:t xml:space="preserve"> </w:t>
      </w:r>
      <w:r>
        <w:rPr>
          <w:sz w:val="21"/>
          <w:szCs w:val="21"/>
          <w:u w:val="single"/>
        </w:rPr>
        <w:t>&lt;</w:t>
      </w:r>
      <w:r>
        <w:rPr>
          <w:sz w:val="21"/>
          <w:szCs w:val="21"/>
        </w:rPr>
        <w:t xml:space="preserve"> .01. </w:t>
      </w:r>
    </w:p>
    <w:p w14:paraId="2E1D7EDC" w14:textId="77777777" w:rsidR="0086522A" w:rsidRDefault="0086522A" w:rsidP="00140558">
      <w:pPr>
        <w:spacing w:line="480" w:lineRule="auto"/>
        <w:rPr>
          <w:b/>
          <w:bCs/>
        </w:rPr>
        <w:sectPr w:rsidR="0086522A" w:rsidSect="00140558">
          <w:pgSz w:w="15840" w:h="12240" w:orient="landscape"/>
          <w:pgMar w:top="1440" w:right="1440" w:bottom="1440" w:left="1440" w:header="720" w:footer="720" w:gutter="0"/>
          <w:cols w:space="720"/>
          <w:docGrid w:linePitch="360"/>
        </w:sectPr>
      </w:pPr>
    </w:p>
    <w:p w14:paraId="779A6EE8" w14:textId="77777777" w:rsidR="0086522A" w:rsidRDefault="0086522A" w:rsidP="00140558">
      <w:pPr>
        <w:spacing w:line="480" w:lineRule="auto"/>
        <w:jc w:val="center"/>
        <w:rPr>
          <w:b/>
          <w:bCs/>
        </w:rPr>
      </w:pPr>
      <w:bookmarkStart w:id="0" w:name="OLE_LINK1"/>
      <w:r>
        <w:rPr>
          <w:b/>
          <w:bCs/>
        </w:rPr>
        <w:lastRenderedPageBreak/>
        <w:t>FIGURE 1</w:t>
      </w:r>
    </w:p>
    <w:p w14:paraId="70C25534" w14:textId="7500DF86" w:rsidR="00FB72F2" w:rsidRDefault="0086522A" w:rsidP="00140558">
      <w:pPr>
        <w:spacing w:line="480" w:lineRule="auto"/>
        <w:jc w:val="center"/>
        <w:rPr>
          <w:rFonts w:ascii="Times New Roman Bold" w:hAnsi="Times New Roman Bold"/>
          <w:b/>
          <w:bCs/>
          <w:caps/>
        </w:rPr>
      </w:pPr>
      <w:r w:rsidRPr="001E2C8D">
        <w:rPr>
          <w:rFonts w:ascii="Times New Roman Bold" w:hAnsi="Times New Roman Bold"/>
          <w:b/>
          <w:bCs/>
          <w:caps/>
        </w:rPr>
        <w:t>Comparing Estimat</w:t>
      </w:r>
      <w:r>
        <w:rPr>
          <w:rFonts w:ascii="Times New Roman Bold" w:hAnsi="Times New Roman Bold"/>
          <w:b/>
          <w:bCs/>
          <w:caps/>
        </w:rPr>
        <w:t xml:space="preserve">ed with actual </w:t>
      </w:r>
      <w:r w:rsidRPr="001E2C8D">
        <w:rPr>
          <w:rFonts w:ascii="Times New Roman Bold" w:hAnsi="Times New Roman Bold"/>
          <w:b/>
          <w:bCs/>
          <w:caps/>
        </w:rPr>
        <w:t>Gender Differences</w:t>
      </w:r>
      <w:bookmarkEnd w:id="0"/>
      <w:r w:rsidR="00367E1D">
        <w:rPr>
          <w:rFonts w:ascii="Times New Roman Bold" w:hAnsi="Times New Roman Bold"/>
          <w:b/>
          <w:bCs/>
          <w:caps/>
        </w:rPr>
        <w:t xml:space="preserve"> in propensity to negotiate salaries</w:t>
      </w:r>
      <w:r w:rsidR="00FB72F2">
        <w:rPr>
          <w:rFonts w:ascii="Times New Roman Bold" w:hAnsi="Times New Roman Bold"/>
          <w:b/>
          <w:bCs/>
          <w:caps/>
        </w:rPr>
        <w:t xml:space="preserve"> </w:t>
      </w:r>
    </w:p>
    <w:p w14:paraId="10B1913E" w14:textId="77777777" w:rsidR="0086522A" w:rsidRPr="001E2C8D" w:rsidRDefault="0086522A" w:rsidP="00140558">
      <w:pPr>
        <w:spacing w:line="480" w:lineRule="auto"/>
        <w:jc w:val="center"/>
        <w:rPr>
          <w:rFonts w:ascii="Times New Roman Bold" w:hAnsi="Times New Roman Bold"/>
          <w:b/>
          <w:bCs/>
        </w:rPr>
      </w:pPr>
    </w:p>
    <w:p w14:paraId="071DAB9A" w14:textId="3532FB25" w:rsidR="0086522A" w:rsidRDefault="0018254E" w:rsidP="00140558">
      <w:pPr>
        <w:rPr>
          <w:b/>
          <w:bCs/>
        </w:rPr>
      </w:pPr>
      <w:r>
        <w:rPr>
          <w:noProof/>
        </w:rPr>
        <w:drawing>
          <wp:inline distT="0" distB="0" distL="0" distR="0" wp14:anchorId="7FD980B8" wp14:editId="562C2195">
            <wp:extent cx="5020181" cy="2920685"/>
            <wp:effectExtent l="0" t="0" r="9525" b="13335"/>
            <wp:docPr id="522439756" name="Chart 1">
              <a:extLst xmlns:a="http://schemas.openxmlformats.org/drawingml/2006/main">
                <a:ext uri="{FF2B5EF4-FFF2-40B4-BE49-F238E27FC236}">
                  <a16:creationId xmlns:a16="http://schemas.microsoft.com/office/drawing/2014/main" id="{6EED0495-7FD5-487E-A427-AFDDAF4C6B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6522A">
        <w:rPr>
          <w:b/>
          <w:bCs/>
        </w:rPr>
        <w:t xml:space="preserve"> </w:t>
      </w:r>
    </w:p>
    <w:p w14:paraId="184CEFA4" w14:textId="77777777" w:rsidR="0086522A" w:rsidRDefault="0086522A" w:rsidP="00140558">
      <w:pPr>
        <w:spacing w:line="480" w:lineRule="auto"/>
        <w:rPr>
          <w:i/>
          <w:iCs/>
          <w:sz w:val="20"/>
          <w:szCs w:val="20"/>
        </w:rPr>
      </w:pPr>
    </w:p>
    <w:p w14:paraId="5A921EFF" w14:textId="77777777" w:rsidR="0086522A" w:rsidRDefault="0086522A" w:rsidP="00140558">
      <w:pPr>
        <w:spacing w:line="480" w:lineRule="auto"/>
        <w:rPr>
          <w:sz w:val="20"/>
          <w:szCs w:val="20"/>
        </w:rPr>
      </w:pPr>
      <w:r>
        <w:rPr>
          <w:i/>
          <w:iCs/>
          <w:sz w:val="20"/>
          <w:szCs w:val="20"/>
        </w:rPr>
        <w:t xml:space="preserve">Note. </w:t>
      </w:r>
      <w:r>
        <w:rPr>
          <w:sz w:val="20"/>
          <w:szCs w:val="20"/>
        </w:rPr>
        <w:t>Error bars indicate + / - one standard error.</w:t>
      </w:r>
    </w:p>
    <w:p w14:paraId="3706D7EE" w14:textId="77777777" w:rsidR="00FB72F2" w:rsidRDefault="00FB72F2" w:rsidP="00140558">
      <w:pPr>
        <w:rPr>
          <w:b/>
          <w:bCs/>
        </w:rPr>
        <w:sectPr w:rsidR="00FB72F2" w:rsidSect="00140558">
          <w:endnotePr>
            <w:numFmt w:val="decimal"/>
          </w:endnotePr>
          <w:pgSz w:w="12240" w:h="15840"/>
          <w:pgMar w:top="1440" w:right="1440" w:bottom="1440" w:left="1440" w:header="720" w:footer="720" w:gutter="0"/>
          <w:cols w:space="720"/>
          <w:docGrid w:linePitch="326"/>
        </w:sectPr>
      </w:pPr>
    </w:p>
    <w:p w14:paraId="1C96896C" w14:textId="77777777" w:rsidR="00FB72F2" w:rsidRDefault="00FB72F2" w:rsidP="00FB72F2">
      <w:pPr>
        <w:spacing w:line="480" w:lineRule="auto"/>
        <w:jc w:val="center"/>
        <w:rPr>
          <w:b/>
          <w:bCs/>
        </w:rPr>
      </w:pPr>
      <w:r>
        <w:rPr>
          <w:b/>
          <w:bCs/>
        </w:rPr>
        <w:lastRenderedPageBreak/>
        <w:t>FIGURE 2</w:t>
      </w:r>
    </w:p>
    <w:p w14:paraId="0ED5B143" w14:textId="073F9743" w:rsidR="00FB72F2" w:rsidRDefault="00FB72F2" w:rsidP="001E035F">
      <w:pPr>
        <w:jc w:val="center"/>
        <w:rPr>
          <w:rFonts w:ascii="Times New Roman Bold" w:hAnsi="Times New Roman Bold"/>
          <w:b/>
          <w:bCs/>
          <w:caps/>
        </w:rPr>
      </w:pPr>
      <w:r w:rsidRPr="001E2C8D">
        <w:rPr>
          <w:rFonts w:ascii="Times New Roman Bold" w:hAnsi="Times New Roman Bold"/>
          <w:b/>
          <w:bCs/>
          <w:caps/>
        </w:rPr>
        <w:t>Comparing Estimat</w:t>
      </w:r>
      <w:r>
        <w:rPr>
          <w:rFonts w:ascii="Times New Roman Bold" w:hAnsi="Times New Roman Bold"/>
          <w:b/>
          <w:bCs/>
          <w:caps/>
        </w:rPr>
        <w:t xml:space="preserve">ed with actual </w:t>
      </w:r>
      <w:r w:rsidRPr="001E2C8D">
        <w:rPr>
          <w:rFonts w:ascii="Times New Roman Bold" w:hAnsi="Times New Roman Bold"/>
          <w:b/>
          <w:bCs/>
          <w:caps/>
        </w:rPr>
        <w:t>Gender Differences</w:t>
      </w:r>
      <w:r w:rsidR="002650D2">
        <w:rPr>
          <w:rFonts w:ascii="Times New Roman Bold" w:hAnsi="Times New Roman Bold"/>
          <w:b/>
          <w:bCs/>
          <w:caps/>
        </w:rPr>
        <w:t xml:space="preserve"> in compensation-related event</w:t>
      </w:r>
      <w:r w:rsidR="00CA68A2">
        <w:rPr>
          <w:rFonts w:ascii="Times New Roman Bold" w:hAnsi="Times New Roman Bold"/>
          <w:b/>
          <w:bCs/>
          <w:caps/>
        </w:rPr>
        <w:t>s</w:t>
      </w:r>
    </w:p>
    <w:p w14:paraId="25C843C1" w14:textId="77777777" w:rsidR="001E035F" w:rsidRDefault="001E035F" w:rsidP="001E035F">
      <w:pPr>
        <w:jc w:val="center"/>
        <w:rPr>
          <w:rFonts w:ascii="Times New Roman Bold" w:hAnsi="Times New Roman Bold"/>
          <w:b/>
          <w:bCs/>
          <w:caps/>
        </w:rPr>
      </w:pPr>
    </w:p>
    <w:p w14:paraId="68B0D6A3" w14:textId="5A0B2026" w:rsidR="001E035F" w:rsidRDefault="001E035F" w:rsidP="001E035F">
      <w:pPr>
        <w:jc w:val="center"/>
        <w:rPr>
          <w:rFonts w:ascii="Times New Roman Bold" w:hAnsi="Times New Roman Bold"/>
          <w:b/>
          <w:bCs/>
          <w:caps/>
        </w:rPr>
      </w:pPr>
    </w:p>
    <w:p w14:paraId="6FF60256" w14:textId="01526730" w:rsidR="001E035F" w:rsidRPr="001E035F" w:rsidRDefault="001E035F" w:rsidP="001E035F">
      <w:pPr>
        <w:jc w:val="center"/>
        <w:rPr>
          <w:rFonts w:ascii="Times New Roman Bold" w:hAnsi="Times New Roman Bold"/>
          <w:caps/>
        </w:rPr>
      </w:pPr>
      <w:r w:rsidRPr="001E035F">
        <w:rPr>
          <w:rFonts w:ascii="Times New Roman Bold" w:hAnsi="Times New Roman Bold"/>
          <w:caps/>
          <w:noProof/>
        </w:rPr>
        <w:drawing>
          <wp:inline distT="0" distB="0" distL="0" distR="0" wp14:anchorId="514D53F5" wp14:editId="6ED1F7FD">
            <wp:extent cx="6257299" cy="4551469"/>
            <wp:effectExtent l="0" t="0" r="3810" b="0"/>
            <wp:docPr id="175151872" name="Picture 1" descr="A picture containing text, receip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1872" name="Picture 1" descr="A picture containing text, receipt, diagram&#10;&#10;Description automatically generated"/>
                    <pic:cNvPicPr/>
                  </pic:nvPicPr>
                  <pic:blipFill>
                    <a:blip r:embed="rId13"/>
                    <a:stretch>
                      <a:fillRect/>
                    </a:stretch>
                  </pic:blipFill>
                  <pic:spPr>
                    <a:xfrm>
                      <a:off x="0" y="0"/>
                      <a:ext cx="6305814" cy="4586758"/>
                    </a:xfrm>
                    <a:prstGeom prst="rect">
                      <a:avLst/>
                    </a:prstGeom>
                  </pic:spPr>
                </pic:pic>
              </a:graphicData>
            </a:graphic>
          </wp:inline>
        </w:drawing>
      </w:r>
    </w:p>
    <w:p w14:paraId="1BE0AAAD" w14:textId="77777777" w:rsidR="006C3135" w:rsidRDefault="006C3135" w:rsidP="00B66AD7">
      <w:pPr>
        <w:spacing w:line="360" w:lineRule="auto"/>
        <w:rPr>
          <w:b/>
          <w:bCs/>
        </w:rPr>
      </w:pPr>
    </w:p>
    <w:p w14:paraId="5765A61B" w14:textId="7F60D6C0" w:rsidR="001E035F" w:rsidRPr="00B66AD7" w:rsidRDefault="001E035F" w:rsidP="001E035F">
      <w:pPr>
        <w:spacing w:line="480" w:lineRule="auto"/>
        <w:rPr>
          <w:sz w:val="20"/>
          <w:szCs w:val="20"/>
        </w:rPr>
        <w:sectPr w:rsidR="001E035F" w:rsidRPr="00B66AD7" w:rsidSect="00FB72F2">
          <w:endnotePr>
            <w:numFmt w:val="decimal"/>
          </w:endnotePr>
          <w:pgSz w:w="15840" w:h="12240" w:orient="landscape"/>
          <w:pgMar w:top="1440" w:right="1440" w:bottom="1440" w:left="1440" w:header="720" w:footer="720" w:gutter="0"/>
          <w:cols w:space="720"/>
          <w:docGrid w:linePitch="326"/>
        </w:sectPr>
      </w:pPr>
      <w:r>
        <w:rPr>
          <w:i/>
          <w:iCs/>
          <w:sz w:val="20"/>
          <w:szCs w:val="20"/>
        </w:rPr>
        <w:t xml:space="preserve">Note. </w:t>
      </w:r>
      <w:r>
        <w:rPr>
          <w:sz w:val="20"/>
          <w:szCs w:val="20"/>
        </w:rPr>
        <w:t>Error bars indicate + / - one standard error</w:t>
      </w:r>
    </w:p>
    <w:p w14:paraId="0C73F409" w14:textId="77DD49B0" w:rsidR="001E035F" w:rsidRDefault="001E035F">
      <w:pPr>
        <w:rPr>
          <w:b/>
          <w:bCs/>
        </w:rPr>
      </w:pPr>
    </w:p>
    <w:p w14:paraId="28792168" w14:textId="68F14F16" w:rsidR="00B24C61" w:rsidRDefault="00B24C61" w:rsidP="00183837">
      <w:pPr>
        <w:spacing w:line="360" w:lineRule="auto"/>
        <w:jc w:val="center"/>
        <w:rPr>
          <w:b/>
          <w:bCs/>
        </w:rPr>
      </w:pPr>
      <w:r>
        <w:rPr>
          <w:b/>
          <w:bCs/>
        </w:rPr>
        <w:t xml:space="preserve">FIGURE </w:t>
      </w:r>
      <w:r w:rsidR="00157C9A">
        <w:rPr>
          <w:b/>
          <w:bCs/>
        </w:rPr>
        <w:t>3</w:t>
      </w:r>
    </w:p>
    <w:p w14:paraId="224FF052" w14:textId="28907858" w:rsidR="00157C9A" w:rsidRDefault="00B24C61" w:rsidP="008553D3">
      <w:pPr>
        <w:spacing w:line="360" w:lineRule="auto"/>
        <w:jc w:val="center"/>
        <w:rPr>
          <w:b/>
          <w:bCs/>
        </w:rPr>
      </w:pPr>
      <w:r>
        <w:rPr>
          <w:rFonts w:ascii="Times New Roman Bold" w:hAnsi="Times New Roman Bold"/>
          <w:b/>
          <w:bCs/>
          <w:caps/>
        </w:rPr>
        <w:t xml:space="preserve">gender difference in </w:t>
      </w:r>
      <w:r w:rsidR="004A791B">
        <w:rPr>
          <w:rFonts w:ascii="Times New Roman Bold" w:hAnsi="Times New Roman Bold"/>
          <w:b/>
          <w:bCs/>
          <w:caps/>
        </w:rPr>
        <w:t>negotiation propensity</w:t>
      </w:r>
      <w:r>
        <w:rPr>
          <w:rFonts w:ascii="Times New Roman Bold" w:hAnsi="Times New Roman Bold"/>
          <w:b/>
          <w:bCs/>
          <w:caps/>
        </w:rPr>
        <w:t xml:space="preserve"> over time (INDIVIDUAL PARTICIPANT-LEVEL DATA) (study 2c)</w:t>
      </w:r>
    </w:p>
    <w:p w14:paraId="0A6B964C" w14:textId="77777777" w:rsidR="008553D3" w:rsidRDefault="008553D3" w:rsidP="00B24C61">
      <w:pPr>
        <w:spacing w:line="360" w:lineRule="auto"/>
        <w:rPr>
          <w:sz w:val="20"/>
          <w:szCs w:val="20"/>
        </w:rPr>
      </w:pPr>
    </w:p>
    <w:p w14:paraId="47C92724" w14:textId="57DD42E2" w:rsidR="004C416C" w:rsidRPr="00B66AD7" w:rsidRDefault="00982C20" w:rsidP="00B24C61">
      <w:pPr>
        <w:spacing w:line="360" w:lineRule="auto"/>
        <w:rPr>
          <w:sz w:val="20"/>
          <w:szCs w:val="20"/>
        </w:rPr>
      </w:pPr>
      <w:r>
        <w:rPr>
          <w:noProof/>
          <w:sz w:val="20"/>
          <w:szCs w:val="20"/>
        </w:rPr>
        <w:drawing>
          <wp:inline distT="0" distB="0" distL="0" distR="0" wp14:anchorId="5CDAF252" wp14:editId="6FD93272">
            <wp:extent cx="6199505" cy="3626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8600" cy="3637605"/>
                    </a:xfrm>
                    <a:prstGeom prst="rect">
                      <a:avLst/>
                    </a:prstGeom>
                    <a:noFill/>
                  </pic:spPr>
                </pic:pic>
              </a:graphicData>
            </a:graphic>
          </wp:inline>
        </w:drawing>
      </w:r>
    </w:p>
    <w:p w14:paraId="7A628F45" w14:textId="20461D75" w:rsidR="008553D3" w:rsidRPr="00B66AD7" w:rsidRDefault="00157C9A" w:rsidP="008553D3">
      <w:pPr>
        <w:spacing w:line="360" w:lineRule="auto"/>
        <w:rPr>
          <w:sz w:val="20"/>
          <w:szCs w:val="20"/>
        </w:rPr>
      </w:pPr>
      <w:r>
        <w:rPr>
          <w:i/>
          <w:iCs/>
          <w:sz w:val="20"/>
          <w:szCs w:val="20"/>
        </w:rPr>
        <w:t>Note</w:t>
      </w:r>
      <w:r w:rsidR="008553D3">
        <w:rPr>
          <w:i/>
          <w:iCs/>
          <w:sz w:val="20"/>
          <w:szCs w:val="20"/>
        </w:rPr>
        <w:t xml:space="preserve">: </w:t>
      </w:r>
      <w:r w:rsidR="008553D3" w:rsidRPr="008553D3">
        <w:rPr>
          <w:i/>
          <w:iCs/>
          <w:sz w:val="20"/>
          <w:szCs w:val="20"/>
        </w:rPr>
        <w:t xml:space="preserve">Depicts 9 studies from 1982-2015, as reported in Kugler et al. (2018), and 2 studies </w:t>
      </w:r>
      <w:r w:rsidR="002E6CD7">
        <w:rPr>
          <w:i/>
          <w:iCs/>
          <w:sz w:val="20"/>
          <w:szCs w:val="20"/>
        </w:rPr>
        <w:t>from</w:t>
      </w:r>
      <w:r w:rsidR="008553D3" w:rsidRPr="008553D3">
        <w:rPr>
          <w:i/>
          <w:iCs/>
          <w:sz w:val="20"/>
          <w:szCs w:val="20"/>
        </w:rPr>
        <w:t xml:space="preserve"> 2023 (current Studies 2a and 2b)</w:t>
      </w:r>
      <w:r w:rsidR="008553D3">
        <w:rPr>
          <w:i/>
          <w:iCs/>
          <w:sz w:val="20"/>
          <w:szCs w:val="20"/>
        </w:rPr>
        <w:t>.</w:t>
      </w:r>
    </w:p>
    <w:p w14:paraId="31089FAF" w14:textId="321F45B3" w:rsidR="00B24C61" w:rsidRPr="00B66AD7" w:rsidRDefault="00157C9A" w:rsidP="00B24C61">
      <w:pPr>
        <w:spacing w:line="360" w:lineRule="auto"/>
        <w:rPr>
          <w:sz w:val="20"/>
          <w:szCs w:val="20"/>
        </w:rPr>
      </w:pPr>
      <w:r>
        <w:rPr>
          <w:i/>
          <w:iCs/>
          <w:sz w:val="20"/>
          <w:szCs w:val="20"/>
        </w:rPr>
        <w:t xml:space="preserve"> </w:t>
      </w:r>
    </w:p>
    <w:p w14:paraId="32E2D464" w14:textId="77777777" w:rsidR="00B24C61" w:rsidRDefault="00B24C61" w:rsidP="00B24C61">
      <w:pPr>
        <w:spacing w:line="360" w:lineRule="auto"/>
        <w:rPr>
          <w:b/>
          <w:bCs/>
        </w:rPr>
      </w:pPr>
    </w:p>
    <w:p w14:paraId="7F92FC3B" w14:textId="267FA96B" w:rsidR="00B24C61" w:rsidRDefault="00B24C61">
      <w:pPr>
        <w:rPr>
          <w:b/>
          <w:bCs/>
        </w:rPr>
      </w:pPr>
      <w:r>
        <w:rPr>
          <w:b/>
          <w:bCs/>
        </w:rPr>
        <w:br w:type="page"/>
      </w:r>
    </w:p>
    <w:p w14:paraId="0A9336EE" w14:textId="77777777" w:rsidR="00B24C61" w:rsidRDefault="00B24C61">
      <w:pPr>
        <w:rPr>
          <w:b/>
          <w:bCs/>
        </w:rPr>
      </w:pPr>
    </w:p>
    <w:p w14:paraId="7460A4A6" w14:textId="0F6FE5BF" w:rsidR="0086522A" w:rsidRDefault="0086522A" w:rsidP="00FB72F2">
      <w:pPr>
        <w:spacing w:line="360" w:lineRule="auto"/>
        <w:jc w:val="center"/>
        <w:rPr>
          <w:b/>
          <w:bCs/>
        </w:rPr>
      </w:pPr>
      <w:r w:rsidRPr="009C2419">
        <w:rPr>
          <w:b/>
          <w:bCs/>
        </w:rPr>
        <w:t xml:space="preserve">FIGURE </w:t>
      </w:r>
      <w:r w:rsidR="006C3135">
        <w:rPr>
          <w:b/>
          <w:bCs/>
        </w:rPr>
        <w:t>4</w:t>
      </w:r>
    </w:p>
    <w:p w14:paraId="3A995B42" w14:textId="39D5A8C6" w:rsidR="0086522A" w:rsidRPr="001760DD" w:rsidRDefault="0086522A" w:rsidP="00FB72F2">
      <w:pPr>
        <w:spacing w:line="360" w:lineRule="auto"/>
        <w:jc w:val="center"/>
        <w:rPr>
          <w:rFonts w:ascii="Times New Roman Bold" w:hAnsi="Times New Roman Bold"/>
          <w:b/>
          <w:bCs/>
          <w:caps/>
        </w:rPr>
      </w:pPr>
      <w:r w:rsidRPr="001760DD">
        <w:rPr>
          <w:rFonts w:ascii="Times New Roman Bold" w:hAnsi="Times New Roman Bold"/>
          <w:b/>
          <w:bCs/>
          <w:caps/>
        </w:rPr>
        <w:t xml:space="preserve">Lay Beliefs about Causes of the Gender Pay Gap </w:t>
      </w:r>
      <w:r>
        <w:rPr>
          <w:rFonts w:ascii="Times New Roman Bold" w:hAnsi="Times New Roman Bold"/>
          <w:b/>
          <w:bCs/>
          <w:caps/>
        </w:rPr>
        <w:br/>
        <w:t>IN TWO POPULATIONS (GENERAL AND AMONG mbaS)</w:t>
      </w:r>
      <w:r w:rsidR="0090014F">
        <w:rPr>
          <w:rFonts w:ascii="Times New Roman Bold" w:hAnsi="Times New Roman Bold"/>
          <w:b/>
          <w:bCs/>
          <w:caps/>
        </w:rPr>
        <w:t xml:space="preserve"> (study 3)</w:t>
      </w:r>
    </w:p>
    <w:p w14:paraId="284EBCA2" w14:textId="54B87D22" w:rsidR="0086522A" w:rsidRDefault="0086522A" w:rsidP="00140558">
      <w:pPr>
        <w:spacing w:line="480" w:lineRule="auto"/>
      </w:pPr>
    </w:p>
    <w:p w14:paraId="6FA75B88" w14:textId="18BBA4B7" w:rsidR="0086522A" w:rsidRDefault="0086522A" w:rsidP="00140558">
      <w:pPr>
        <w:spacing w:line="480" w:lineRule="auto"/>
      </w:pPr>
      <w:r>
        <w:rPr>
          <w:noProof/>
        </w:rPr>
        <w:drawing>
          <wp:inline distT="0" distB="0" distL="0" distR="0" wp14:anchorId="354C0188" wp14:editId="3FE397CC">
            <wp:extent cx="4557485" cy="2702379"/>
            <wp:effectExtent l="0" t="0" r="14605" b="3175"/>
            <wp:docPr id="1" name="Chart 1">
              <a:extLst xmlns:a="http://schemas.openxmlformats.org/drawingml/2006/main">
                <a:ext uri="{FF2B5EF4-FFF2-40B4-BE49-F238E27FC236}">
                  <a16:creationId xmlns:a16="http://schemas.microsoft.com/office/drawing/2014/main" id="{5D637DF7-0326-4EF6-B8B6-87E658F770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6F5198" w14:textId="4FA4908D" w:rsidR="0086522A" w:rsidRDefault="0086522A" w:rsidP="00140558">
      <w:pPr>
        <w:spacing w:line="480" w:lineRule="auto"/>
        <w:rPr>
          <w:sz w:val="20"/>
          <w:szCs w:val="20"/>
        </w:rPr>
      </w:pPr>
      <w:r>
        <w:rPr>
          <w:i/>
          <w:iCs/>
          <w:sz w:val="20"/>
          <w:szCs w:val="20"/>
        </w:rPr>
        <w:t xml:space="preserve">Note. </w:t>
      </w:r>
      <w:r>
        <w:rPr>
          <w:sz w:val="20"/>
          <w:szCs w:val="20"/>
        </w:rPr>
        <w:t>Error bars indicate + / - one standard error.</w:t>
      </w:r>
    </w:p>
    <w:p w14:paraId="0DF9F7A9" w14:textId="77777777" w:rsidR="00A02EF1" w:rsidRPr="006632E2" w:rsidRDefault="00A02EF1" w:rsidP="00794600">
      <w:pPr>
        <w:rPr>
          <w:sz w:val="2"/>
          <w:szCs w:val="2"/>
        </w:rPr>
      </w:pPr>
    </w:p>
    <w:sectPr w:rsidR="00A02EF1" w:rsidRPr="006632E2" w:rsidSect="00140558">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B297" w14:textId="77777777" w:rsidR="00F5422D" w:rsidRDefault="00F5422D" w:rsidP="0086522A">
      <w:r>
        <w:separator/>
      </w:r>
    </w:p>
  </w:endnote>
  <w:endnote w:type="continuationSeparator" w:id="0">
    <w:p w14:paraId="0544E357" w14:textId="77777777" w:rsidR="00F5422D" w:rsidRDefault="00F5422D" w:rsidP="0086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 New Roman (Body CS)">
    <w:altName w:val="Times New Roman"/>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panose1 w:val="00000000000000000000"/>
    <w:charset w:val="80"/>
    <w:family w:val="auto"/>
    <w:notTrueType/>
    <w:pitch w:val="variable"/>
    <w:sig w:usb0="00000001" w:usb1="08070000" w:usb2="01000417"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5134" w14:textId="77777777" w:rsidR="00F5422D" w:rsidRDefault="00F5422D" w:rsidP="0086522A">
      <w:r>
        <w:separator/>
      </w:r>
    </w:p>
  </w:footnote>
  <w:footnote w:type="continuationSeparator" w:id="0">
    <w:p w14:paraId="127E5234" w14:textId="77777777" w:rsidR="00F5422D" w:rsidRDefault="00F5422D" w:rsidP="0086522A">
      <w:r>
        <w:continuationSeparator/>
      </w:r>
    </w:p>
  </w:footnote>
  <w:footnote w:id="1">
    <w:p w14:paraId="69DB5E47" w14:textId="57CAB533" w:rsidR="00123A60" w:rsidRPr="00370347" w:rsidRDefault="00123A60" w:rsidP="00140558">
      <w:pPr>
        <w:pStyle w:val="FootnoteText"/>
      </w:pPr>
      <w:r w:rsidRPr="00370347">
        <w:rPr>
          <w:rStyle w:val="FootnoteReference"/>
        </w:rPr>
        <w:footnoteRef/>
      </w:r>
      <w:r w:rsidRPr="00370347">
        <w:t xml:space="preserve"> The citation count was </w:t>
      </w:r>
      <w:r>
        <w:t>2,</w:t>
      </w:r>
      <w:r w:rsidR="000206B4">
        <w:t xml:space="preserve">109 </w:t>
      </w:r>
      <w:r w:rsidRPr="00370347">
        <w:t xml:space="preserve">on Google Scholar as of </w:t>
      </w:r>
      <w:r w:rsidR="000206B4">
        <w:t>May 15</w:t>
      </w:r>
      <w:r>
        <w:t xml:space="preserve">, </w:t>
      </w:r>
      <w:r w:rsidR="000206B4">
        <w:t>2023</w:t>
      </w:r>
      <w:r w:rsidRPr="00370347">
        <w:t>.</w:t>
      </w:r>
    </w:p>
  </w:footnote>
  <w:footnote w:id="2">
    <w:p w14:paraId="1FBCBC70" w14:textId="77777777" w:rsidR="00123A60" w:rsidRDefault="00123A60" w:rsidP="00140558">
      <w:pPr>
        <w:pStyle w:val="FootnoteText"/>
      </w:pPr>
      <w:r w:rsidRPr="00D550DF">
        <w:rPr>
          <w:rStyle w:val="FootnoteReference"/>
        </w:rPr>
        <w:footnoteRef/>
      </w:r>
      <w:r w:rsidRPr="00D550DF">
        <w:t xml:space="preserve"> </w:t>
      </w:r>
      <w:r>
        <w:rPr>
          <w:lang w:eastAsia="ko-KR"/>
        </w:rPr>
        <w:t>A</w:t>
      </w:r>
      <w:r w:rsidRPr="00D550DF">
        <w:t>ll alumni who had graduated between 1990 and a year prior to the survey year</w:t>
      </w:r>
      <w:r>
        <w:t xml:space="preserve">, for whom </w:t>
      </w:r>
      <w:r w:rsidRPr="00D550DF">
        <w:t>the school had e-mail addresses for</w:t>
      </w:r>
      <w:r>
        <w:t>, and who had not opted out of e-mails from the alumni office</w:t>
      </w:r>
      <w:r w:rsidRPr="00D550DF">
        <w:t xml:space="preserve"> received the invitation.</w:t>
      </w:r>
      <w:r>
        <w:t xml:space="preserve"> The response rate was 22%. </w:t>
      </w:r>
    </w:p>
  </w:footnote>
  <w:footnote w:id="3">
    <w:p w14:paraId="2695C4B8" w14:textId="12D8C66E" w:rsidR="00123A60" w:rsidRPr="00534BCE" w:rsidRDefault="00123A60" w:rsidP="00140558">
      <w:pPr>
        <w:pStyle w:val="FootnoteText"/>
      </w:pPr>
      <w:r w:rsidRPr="00534BCE">
        <w:rPr>
          <w:rStyle w:val="FootnoteReference"/>
        </w:rPr>
        <w:footnoteRef/>
      </w:r>
      <w:r w:rsidRPr="00534BCE">
        <w:t xml:space="preserve"> </w:t>
      </w:r>
      <w:r>
        <w:t>In a separate study of MBAs (</w:t>
      </w:r>
      <w:r>
        <w:rPr>
          <w:i/>
          <w:iCs/>
        </w:rPr>
        <w:t xml:space="preserve">n </w:t>
      </w:r>
      <w:r>
        <w:t xml:space="preserve">= 445), we tested whether women and men asked for different quantities of base salary, bonus, and shares using the </w:t>
      </w:r>
      <w:r>
        <w:rPr>
          <w:i/>
          <w:iCs/>
        </w:rPr>
        <w:t>Name Your Price</w:t>
      </w:r>
      <w:r>
        <w:t xml:space="preserve"> negotiation exercise (</w:t>
      </w:r>
      <w:r w:rsidRPr="00534BCE">
        <w:t>Hall, Malhotra, &amp; Bennett, 2008</w:t>
      </w:r>
      <w:r>
        <w:t xml:space="preserve">). </w:t>
      </w:r>
      <w:r w:rsidRPr="0055392C">
        <w:t>Men (</w:t>
      </w:r>
      <w:r w:rsidRPr="0055392C">
        <w:rPr>
          <w:i/>
          <w:iCs/>
        </w:rPr>
        <w:t>M</w:t>
      </w:r>
      <w:r w:rsidRPr="0055392C">
        <w:t xml:space="preserve"> = $116,052, </w:t>
      </w:r>
      <w:r w:rsidRPr="0055392C">
        <w:rPr>
          <w:i/>
          <w:iCs/>
        </w:rPr>
        <w:t>SD</w:t>
      </w:r>
      <w:r w:rsidRPr="0055392C">
        <w:t xml:space="preserve"> = 19,221) and women (</w:t>
      </w:r>
      <w:r w:rsidRPr="0055392C">
        <w:rPr>
          <w:i/>
          <w:iCs/>
        </w:rPr>
        <w:t>M</w:t>
      </w:r>
      <w:r w:rsidRPr="0055392C">
        <w:t xml:space="preserve"> = $118,673, </w:t>
      </w:r>
      <w:r w:rsidRPr="0055392C">
        <w:rPr>
          <w:i/>
          <w:iCs/>
        </w:rPr>
        <w:t>SD</w:t>
      </w:r>
      <w:r w:rsidRPr="0055392C">
        <w:t xml:space="preserve"> = 22,192) did not significantly differ in their request</w:t>
      </w:r>
      <w:r>
        <w:t xml:space="preserve"> for salary</w:t>
      </w:r>
      <w:r w:rsidRPr="0055392C">
        <w:t xml:space="preserve">, </w:t>
      </w:r>
      <w:r w:rsidRPr="0055392C">
        <w:rPr>
          <w:i/>
          <w:iCs/>
        </w:rPr>
        <w:t>t</w:t>
      </w:r>
      <w:r w:rsidRPr="0055392C">
        <w:t xml:space="preserve">(440) = -1.282, </w:t>
      </w:r>
      <w:r w:rsidRPr="0055392C">
        <w:rPr>
          <w:i/>
          <w:iCs/>
        </w:rPr>
        <w:t>p</w:t>
      </w:r>
      <w:r w:rsidRPr="0055392C">
        <w:t xml:space="preserve"> = .20, η</w:t>
      </w:r>
      <w:r w:rsidRPr="0055392C">
        <w:rPr>
          <w:vertAlign w:val="subscript"/>
        </w:rPr>
        <w:t>p</w:t>
      </w:r>
      <w:r w:rsidRPr="0055392C">
        <w:rPr>
          <w:vertAlign w:val="superscript"/>
        </w:rPr>
        <w:t>2</w:t>
      </w:r>
      <w:r w:rsidRPr="0055392C">
        <w:t xml:space="preserve"> = .004. </w:t>
      </w:r>
      <w:r>
        <w:t>Bonus requests also did not differ across m</w:t>
      </w:r>
      <w:r w:rsidRPr="0055392C">
        <w:t>en (</w:t>
      </w:r>
      <w:r w:rsidRPr="0055392C">
        <w:rPr>
          <w:i/>
          <w:iCs/>
        </w:rPr>
        <w:t>M</w:t>
      </w:r>
      <w:r w:rsidRPr="0055392C">
        <w:t xml:space="preserve"> = $52,396, </w:t>
      </w:r>
      <w:r w:rsidRPr="0055392C">
        <w:rPr>
          <w:i/>
          <w:iCs/>
        </w:rPr>
        <w:t>SD</w:t>
      </w:r>
      <w:r w:rsidRPr="0055392C">
        <w:t xml:space="preserve"> = 71,847) and women (</w:t>
      </w:r>
      <w:r w:rsidRPr="0055392C">
        <w:rPr>
          <w:i/>
          <w:iCs/>
        </w:rPr>
        <w:t>M</w:t>
      </w:r>
      <w:r w:rsidRPr="0055392C">
        <w:t xml:space="preserve"> = $54,761, </w:t>
      </w:r>
      <w:r w:rsidRPr="0055392C">
        <w:rPr>
          <w:i/>
          <w:iCs/>
        </w:rPr>
        <w:t>SD</w:t>
      </w:r>
      <w:r w:rsidRPr="0055392C">
        <w:t xml:space="preserve"> = 90,532), </w:t>
      </w:r>
      <w:r w:rsidRPr="0055392C">
        <w:rPr>
          <w:i/>
          <w:iCs/>
        </w:rPr>
        <w:t>t</w:t>
      </w:r>
      <w:r w:rsidRPr="0055392C">
        <w:t xml:space="preserve">(430) = .295, </w:t>
      </w:r>
      <w:r w:rsidRPr="0055392C">
        <w:rPr>
          <w:i/>
          <w:iCs/>
        </w:rPr>
        <w:t>p</w:t>
      </w:r>
      <w:r w:rsidRPr="0055392C">
        <w:t xml:space="preserve"> = .77, η</w:t>
      </w:r>
      <w:r w:rsidRPr="0055392C">
        <w:rPr>
          <w:vertAlign w:val="subscript"/>
        </w:rPr>
        <w:t>p</w:t>
      </w:r>
      <w:r w:rsidRPr="0055392C">
        <w:rPr>
          <w:vertAlign w:val="superscript"/>
        </w:rPr>
        <w:t>2</w:t>
      </w:r>
      <w:r w:rsidRPr="0055392C">
        <w:t xml:space="preserve"> = .000.</w:t>
      </w:r>
      <w:r>
        <w:t xml:space="preserve"> Finally, the number of s</w:t>
      </w:r>
      <w:r w:rsidRPr="0055392C">
        <w:t>hares</w:t>
      </w:r>
      <w:r>
        <w:t xml:space="preserve"> requested by m</w:t>
      </w:r>
      <w:r w:rsidRPr="0055392C">
        <w:t>en (</w:t>
      </w:r>
      <w:r w:rsidRPr="00637A0A">
        <w:rPr>
          <w:i/>
          <w:iCs/>
        </w:rPr>
        <w:t>M</w:t>
      </w:r>
      <w:r w:rsidRPr="0055392C">
        <w:t xml:space="preserve"> = 15,115, </w:t>
      </w:r>
      <w:r w:rsidRPr="00637A0A">
        <w:rPr>
          <w:i/>
          <w:iCs/>
        </w:rPr>
        <w:t>SD</w:t>
      </w:r>
      <w:r w:rsidRPr="0055392C">
        <w:t xml:space="preserve"> = 18,908) and women (</w:t>
      </w:r>
      <w:r w:rsidRPr="00637A0A">
        <w:rPr>
          <w:i/>
          <w:iCs/>
        </w:rPr>
        <w:t>M</w:t>
      </w:r>
      <w:r w:rsidRPr="0055392C">
        <w:t xml:space="preserve"> = 14,167, </w:t>
      </w:r>
      <w:r w:rsidRPr="00637A0A">
        <w:rPr>
          <w:i/>
          <w:iCs/>
        </w:rPr>
        <w:t>SD</w:t>
      </w:r>
      <w:r w:rsidRPr="0055392C">
        <w:t xml:space="preserve"> = 13,942) did not significantly differ, </w:t>
      </w:r>
      <w:r w:rsidRPr="00637A0A">
        <w:rPr>
          <w:i/>
          <w:iCs/>
        </w:rPr>
        <w:t>t</w:t>
      </w:r>
      <w:r w:rsidRPr="0055392C">
        <w:t xml:space="preserve">(432) = .534, </w:t>
      </w:r>
      <w:r w:rsidRPr="00637A0A">
        <w:rPr>
          <w:i/>
          <w:iCs/>
        </w:rPr>
        <w:t>p</w:t>
      </w:r>
      <w:r w:rsidRPr="0055392C">
        <w:t xml:space="preserve"> = .59, η</w:t>
      </w:r>
      <w:r w:rsidRPr="00637A0A">
        <w:rPr>
          <w:vertAlign w:val="subscript"/>
        </w:rPr>
        <w:t>p</w:t>
      </w:r>
      <w:r w:rsidRPr="00637A0A">
        <w:rPr>
          <w:vertAlign w:val="superscript"/>
        </w:rPr>
        <w:t>2</w:t>
      </w:r>
      <w:r w:rsidRPr="0055392C">
        <w:t xml:space="preserve"> = .001.</w:t>
      </w:r>
      <w:r>
        <w:t xml:space="preserve"> The results suggest men and women are similarly ambitious in their requests.</w:t>
      </w:r>
    </w:p>
  </w:footnote>
  <w:footnote w:id="4">
    <w:p w14:paraId="7C6A5AD1" w14:textId="77777777" w:rsidR="00BB741C" w:rsidRDefault="00BB741C" w:rsidP="00BB741C">
      <w:pPr>
        <w:pStyle w:val="FootnoteText"/>
      </w:pPr>
      <w:r>
        <w:rPr>
          <w:rStyle w:val="FootnoteReference"/>
          <w:rFonts w:eastAsiaTheme="minorEastAsia"/>
        </w:rPr>
        <w:footnoteRef/>
      </w:r>
      <w:r>
        <w:t xml:space="preserve"> We thank the authors for generously volunteering their retrospective/prospective data to facilitate this analysis. While re-analyzing their full results is beyond the scope of our investigation, we hope our analyses help to shed light on the specific pattern underlying the heterogeneity found in their results. After first confirming that we could reproduce their result of a Hedges’ </w:t>
      </w:r>
      <w:r w:rsidRPr="00196F3A">
        <w:rPr>
          <w:i/>
          <w:iCs/>
        </w:rPr>
        <w:t>g</w:t>
      </w:r>
      <w:r>
        <w:t xml:space="preserve"> = .13 for the </w:t>
      </w:r>
      <w:r w:rsidRPr="002B5C6A">
        <w:rPr>
          <w:i/>
          <w:iCs/>
        </w:rPr>
        <w:t>k</w:t>
      </w:r>
      <w:r>
        <w:t xml:space="preserve"> = 18 retrospective/prospective studies, we excluded the studies with dependent measures incomparable to ours, including self-reported assertiveness on Likert scales, open-ended self-reported time since last negotiation (any topic), negotiations over grades, and studies drawing from teenage populations. </w:t>
      </w:r>
    </w:p>
  </w:footnote>
  <w:footnote w:id="5">
    <w:p w14:paraId="0BC7CBA6" w14:textId="2DD8F74E" w:rsidR="00102849" w:rsidRDefault="00102849">
      <w:pPr>
        <w:pStyle w:val="FootnoteText"/>
      </w:pPr>
      <w:r>
        <w:rPr>
          <w:rStyle w:val="FootnoteReference"/>
        </w:rPr>
        <w:footnoteRef/>
      </w:r>
      <w:r>
        <w:t xml:space="preserve"> </w:t>
      </w:r>
      <w:r w:rsidRPr="00102849">
        <w:t xml:space="preserve">To explore whether additional studies with a comparable dependent measure were published between 2015-2023, we conducted a literature search on Web of Science using the identical search terms used by Kugler and colleagues (p. 11). While our search generated 50 articles within this timeframe, none of them had dependent measures that fit our inclusion criteria. </w:t>
      </w:r>
    </w:p>
  </w:footnote>
  <w:footnote w:id="6">
    <w:p w14:paraId="172AEEA0" w14:textId="77777777" w:rsidR="00BB741C" w:rsidRDefault="00BB741C" w:rsidP="00BB741C">
      <w:pPr>
        <w:pStyle w:val="FootnoteText"/>
      </w:pPr>
      <w:r>
        <w:rPr>
          <w:rStyle w:val="FootnoteReference"/>
          <w:rFonts w:eastAsiaTheme="minorEastAsia"/>
        </w:rPr>
        <w:footnoteRef/>
      </w:r>
      <w:r>
        <w:t xml:space="preserve"> Retrieved from </w:t>
      </w:r>
      <w:r w:rsidRPr="002B7C6B">
        <w:t>https://www.meta-analysis.com/</w:t>
      </w:r>
    </w:p>
  </w:footnote>
  <w:footnote w:id="7">
    <w:p w14:paraId="2A1B7273" w14:textId="3DF8D614" w:rsidR="005D4B34" w:rsidRDefault="005D4B34" w:rsidP="00B66AD7">
      <w:r w:rsidRPr="005D4B34">
        <w:rPr>
          <w:rStyle w:val="FootnoteReference"/>
          <w:sz w:val="20"/>
          <w:szCs w:val="20"/>
        </w:rPr>
        <w:footnoteRef/>
      </w:r>
      <w:r w:rsidRPr="005D4B34">
        <w:rPr>
          <w:sz w:val="20"/>
          <w:szCs w:val="20"/>
        </w:rPr>
        <w:t xml:space="preserve"> The Supplemental Online Materials describes a pilot study </w:t>
      </w:r>
      <w:r>
        <w:rPr>
          <w:sz w:val="20"/>
          <w:szCs w:val="20"/>
        </w:rPr>
        <w:t>(</w:t>
      </w:r>
      <w:r w:rsidRPr="00C13359">
        <w:rPr>
          <w:i/>
          <w:iCs/>
          <w:sz w:val="20"/>
          <w:szCs w:val="20"/>
        </w:rPr>
        <w:t>n</w:t>
      </w:r>
      <w:r>
        <w:rPr>
          <w:sz w:val="20"/>
          <w:szCs w:val="20"/>
        </w:rPr>
        <w:t xml:space="preserve"> = 697) </w:t>
      </w:r>
      <w:r w:rsidRPr="005D4B34">
        <w:rPr>
          <w:sz w:val="20"/>
          <w:szCs w:val="20"/>
        </w:rPr>
        <w:t>conducted to establish negotiation-based explanations for the pay gap as distinct from choice and fairness-based explanations (Connor &amp; Fiske, 2019). This study examined support for endorsement of 22 explanations for the gender pay gap that were drawn from both the academic literature and the popular press on a 7-point scale with endpoints of 1 (“entirely untrue”) to 7 (“entirely true”). Replicating Connor and Fiske</w:t>
      </w:r>
      <w:r w:rsidR="003C288B">
        <w:rPr>
          <w:sz w:val="20"/>
          <w:szCs w:val="20"/>
        </w:rPr>
        <w:t>’s (2019) results</w:t>
      </w:r>
      <w:r w:rsidRPr="005D4B34">
        <w:rPr>
          <w:sz w:val="20"/>
          <w:szCs w:val="20"/>
        </w:rPr>
        <w:t xml:space="preserve">, we observed distinct choice and unfairness clusters. Additionally, </w:t>
      </w:r>
      <w:r w:rsidR="004A791B">
        <w:rPr>
          <w:sz w:val="20"/>
          <w:szCs w:val="20"/>
        </w:rPr>
        <w:t>negotiation propensity</w:t>
      </w:r>
      <w:r w:rsidRPr="005D4B34">
        <w:rPr>
          <w:sz w:val="20"/>
          <w:szCs w:val="20"/>
        </w:rPr>
        <w:t xml:space="preserve"> constituted a third factor.</w:t>
      </w:r>
      <w:r>
        <w:t xml:space="preserve"> </w:t>
      </w:r>
    </w:p>
    <w:p w14:paraId="56FDE47A" w14:textId="7A027400" w:rsidR="005D4B34" w:rsidRDefault="005D4B34">
      <w:pPr>
        <w:pStyle w:val="FootnoteText"/>
      </w:pPr>
    </w:p>
  </w:footnote>
  <w:footnote w:id="8">
    <w:p w14:paraId="44CE7517" w14:textId="78D55C21" w:rsidR="00123A60" w:rsidRPr="00831FE8" w:rsidRDefault="00123A60">
      <w:pPr>
        <w:pStyle w:val="FootnoteText"/>
      </w:pPr>
      <w:r w:rsidRPr="00831FE8">
        <w:rPr>
          <w:rStyle w:val="FootnoteReference"/>
        </w:rPr>
        <w:footnoteRef/>
      </w:r>
      <w:r w:rsidRPr="00831FE8">
        <w:t xml:space="preserve"> </w:t>
      </w:r>
      <w:r w:rsidR="00BF3D1F">
        <w:t xml:space="preserve">Acknowledging </w:t>
      </w:r>
      <w:r>
        <w:t>that</w:t>
      </w:r>
      <w:r w:rsidRPr="00831FE8">
        <w:t xml:space="preserve"> our attitudinal measure of willingness to sign a petition implies behavior</w:t>
      </w:r>
      <w:r>
        <w:t xml:space="preserve"> given </w:t>
      </w:r>
      <w:r w:rsidRPr="00831FE8">
        <w:t xml:space="preserve">the endpoints of “no” and “yes”, </w:t>
      </w:r>
      <w:r w:rsidR="00BF3D1F">
        <w:t>we considered whether it was</w:t>
      </w:r>
      <w:r>
        <w:t xml:space="preserve"> </w:t>
      </w:r>
      <w:r w:rsidR="00BF3D1F">
        <w:t>appropriate to combine this measure</w:t>
      </w:r>
      <w:r>
        <w:t xml:space="preserve"> with the support measure</w:t>
      </w:r>
      <w:r w:rsidR="00BF3D1F">
        <w:t xml:space="preserve"> by analyzing</w:t>
      </w:r>
      <w:r>
        <w:t xml:space="preserve"> them</w:t>
      </w:r>
      <w:r w:rsidRPr="00831FE8">
        <w:t xml:space="preserve"> separately. The two items were highly correlated (</w:t>
      </w:r>
      <w:r w:rsidRPr="00CB585F">
        <w:rPr>
          <w:i/>
          <w:iCs/>
        </w:rPr>
        <w:t>r</w:t>
      </w:r>
      <w:r w:rsidRPr="00831FE8">
        <w:t xml:space="preserve">(449) = .72, </w:t>
      </w:r>
      <w:r w:rsidRPr="00CB585F">
        <w:rPr>
          <w:i/>
          <w:iCs/>
        </w:rPr>
        <w:t>p</w:t>
      </w:r>
      <w:r w:rsidRPr="00831FE8">
        <w:t xml:space="preserve"> &lt; .001), and all results for the support for legislation measure were virtually identical when examining the two items separately. </w:t>
      </w:r>
    </w:p>
  </w:footnote>
  <w:footnote w:id="9">
    <w:p w14:paraId="5AA88AE1" w14:textId="1538F79A" w:rsidR="00123A60" w:rsidRPr="00F5728A" w:rsidRDefault="00123A60" w:rsidP="00140558">
      <w:pPr>
        <w:pStyle w:val="FootnoteText"/>
      </w:pPr>
      <w:r w:rsidRPr="00D765C6">
        <w:rPr>
          <w:rStyle w:val="FootnoteReference"/>
        </w:rPr>
        <w:footnoteRef/>
      </w:r>
      <w:r w:rsidRPr="00F5728A">
        <w:t xml:space="preserve"> We conducted a pretest </w:t>
      </w:r>
      <w:r>
        <w:t>(</w:t>
      </w:r>
      <w:r w:rsidRPr="00F5728A">
        <w:rPr>
          <w:i/>
        </w:rPr>
        <w:t>n</w:t>
      </w:r>
      <w:r w:rsidRPr="00F5728A">
        <w:t xml:space="preserve"> = 402</w:t>
      </w:r>
      <w:r>
        <w:t>) with</w:t>
      </w:r>
      <w:r w:rsidRPr="00F5728A">
        <w:t xml:space="preserve"> </w:t>
      </w:r>
      <w:r w:rsidRPr="00F5728A">
        <w:t xml:space="preserve">MTurk workers to ensure that the articles were rated equivalently in persuasiveness, writing clarity, and accuracy (all </w:t>
      </w:r>
      <w:r w:rsidRPr="00F5728A">
        <w:rPr>
          <w:i/>
        </w:rPr>
        <w:t>p</w:t>
      </w:r>
      <w:r w:rsidRPr="00F5728A">
        <w:t>s &gt; .16)</w:t>
      </w:r>
      <w:r>
        <w:t>.</w:t>
      </w:r>
      <w:r w:rsidRPr="00F5728A">
        <w:t xml:space="preserve"> </w:t>
      </w:r>
      <w:r>
        <w:t>T</w:t>
      </w:r>
      <w:r w:rsidRPr="00F5728A">
        <w:t xml:space="preserve">he “women don’t ask” essay was rated as more novel than the control essay, </w:t>
      </w:r>
      <w:r w:rsidRPr="00F5728A">
        <w:rPr>
          <w:i/>
        </w:rPr>
        <w:t>t</w:t>
      </w:r>
      <w:r w:rsidRPr="00F5728A">
        <w:t xml:space="preserve">(400) = 3.06, </w:t>
      </w:r>
      <w:r w:rsidRPr="00F5728A">
        <w:rPr>
          <w:i/>
        </w:rPr>
        <w:t>p</w:t>
      </w:r>
      <w:r w:rsidRPr="00F5728A">
        <w:t xml:space="preserve"> &lt; .001. A second pretest </w:t>
      </w:r>
      <w:r>
        <w:t>(</w:t>
      </w:r>
      <w:r w:rsidRPr="00F5728A">
        <w:rPr>
          <w:i/>
        </w:rPr>
        <w:t>n</w:t>
      </w:r>
      <w:r w:rsidRPr="00F5728A">
        <w:t xml:space="preserve"> = 201</w:t>
      </w:r>
      <w:r>
        <w:t>) with</w:t>
      </w:r>
      <w:r w:rsidRPr="00F5728A">
        <w:t xml:space="preserve"> MTurk workers ensured the essays did not differ in the extent to which they communicated the importance of negotiating skills in the workplace (all </w:t>
      </w:r>
      <w:r w:rsidRPr="00F5728A">
        <w:rPr>
          <w:i/>
        </w:rPr>
        <w:t>p</w:t>
      </w:r>
      <w:r w:rsidRPr="00F5728A">
        <w:t>s &gt; .56)</w:t>
      </w:r>
      <w:r>
        <w:t>. H</w:t>
      </w:r>
      <w:r w:rsidRPr="00F5728A">
        <w:t>owever, participants’ beliefs that men and women negotiate differently (</w:t>
      </w:r>
      <w:r w:rsidRPr="00F5728A">
        <w:rPr>
          <w:i/>
        </w:rPr>
        <w:t>t</w:t>
      </w:r>
      <w:r w:rsidRPr="00F5728A">
        <w:t xml:space="preserve">(200) = 2.05, </w:t>
      </w:r>
      <w:r w:rsidRPr="00F5728A">
        <w:rPr>
          <w:i/>
        </w:rPr>
        <w:t>p</w:t>
      </w:r>
      <w:r w:rsidRPr="00F5728A">
        <w:t xml:space="preserve"> = .04) and women especially need to learn how to negotiate better (</w:t>
      </w:r>
      <w:r w:rsidRPr="00F5728A">
        <w:rPr>
          <w:i/>
        </w:rPr>
        <w:t>t</w:t>
      </w:r>
      <w:r w:rsidRPr="00F5728A">
        <w:t xml:space="preserve">(200) = 2.14, </w:t>
      </w:r>
      <w:r w:rsidRPr="00F5728A">
        <w:rPr>
          <w:i/>
        </w:rPr>
        <w:t>p</w:t>
      </w:r>
      <w:r w:rsidRPr="00F5728A">
        <w:t xml:space="preserve"> = .03) were greater after exposure to the “women don’t ask” essay compared to the control essay and a no-essay control</w:t>
      </w:r>
      <w:r>
        <w:t>. T</w:t>
      </w:r>
      <w:r w:rsidRPr="00F5728A">
        <w:t>he control essay did not differ from the no-essay control on any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C30" w14:textId="77777777" w:rsidR="00123A60" w:rsidRDefault="00123A60" w:rsidP="001405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43775" w14:textId="77777777" w:rsidR="00123A60" w:rsidRDefault="00123A60" w:rsidP="001405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2727" w14:textId="77777777" w:rsidR="00123A60" w:rsidRPr="00976419" w:rsidRDefault="00123A60" w:rsidP="00140558">
    <w:pPr>
      <w:pStyle w:val="Header"/>
      <w:framePr w:wrap="around" w:vAnchor="text" w:hAnchor="margin" w:xAlign="right" w:y="1"/>
      <w:rPr>
        <w:rStyle w:val="PageNumber"/>
      </w:rPr>
    </w:pPr>
    <w:r w:rsidRPr="00976419">
      <w:rPr>
        <w:rStyle w:val="PageNumber"/>
      </w:rPr>
      <w:fldChar w:fldCharType="begin"/>
    </w:r>
    <w:r w:rsidRPr="00976419">
      <w:rPr>
        <w:rStyle w:val="PageNumber"/>
      </w:rPr>
      <w:instrText xml:space="preserve">PAGE  </w:instrText>
    </w:r>
    <w:r w:rsidRPr="00976419">
      <w:rPr>
        <w:rStyle w:val="PageNumber"/>
      </w:rPr>
      <w:fldChar w:fldCharType="separate"/>
    </w:r>
    <w:r>
      <w:rPr>
        <w:rStyle w:val="PageNumber"/>
        <w:noProof/>
      </w:rPr>
      <w:t>2</w:t>
    </w:r>
    <w:r w:rsidRPr="00976419">
      <w:rPr>
        <w:rStyle w:val="PageNumber"/>
      </w:rPr>
      <w:fldChar w:fldCharType="end"/>
    </w:r>
  </w:p>
  <w:p w14:paraId="5CAFE386" w14:textId="4D34D470" w:rsidR="00123A60" w:rsidRPr="000C3C0C" w:rsidRDefault="009C39CD" w:rsidP="00140558">
    <w:pPr>
      <w:pStyle w:val="Header"/>
      <w:ind w:right="360"/>
    </w:pPr>
    <w:r>
      <w:t>NOW, WOMEN DO ASK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6569"/>
    <w:multiLevelType w:val="hybridMultilevel"/>
    <w:tmpl w:val="699A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E6432"/>
    <w:multiLevelType w:val="hybridMultilevel"/>
    <w:tmpl w:val="EA80E6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115288">
    <w:abstractNumId w:val="0"/>
  </w:num>
  <w:num w:numId="2" w16cid:durableId="1000153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wNTYzM7GwMDI3tDBW0lEKTi0uzszPAymwqAUAphXbOywAAAA="/>
    <w:docVar w:name="EN.InstantFormat" w:val="&lt;ENInstantFormat&gt;&lt;Enabled&gt;1&lt;/Enabled&gt;&lt;ScanUnformatted&gt;1&lt;/ScanUnformatted&gt;&lt;ScanChanges&gt;1&lt;/ScanChanges&gt;&lt;Suspended&gt;1&lt;/Suspended&gt;&lt;/ENInstantFormat&gt;"/>
  </w:docVars>
  <w:rsids>
    <w:rsidRoot w:val="0086522A"/>
    <w:rsid w:val="000005FD"/>
    <w:rsid w:val="000048E4"/>
    <w:rsid w:val="00007295"/>
    <w:rsid w:val="00007E4C"/>
    <w:rsid w:val="00010560"/>
    <w:rsid w:val="00010CEE"/>
    <w:rsid w:val="00011C59"/>
    <w:rsid w:val="00012482"/>
    <w:rsid w:val="00012DCA"/>
    <w:rsid w:val="000135D4"/>
    <w:rsid w:val="00013B04"/>
    <w:rsid w:val="00016B19"/>
    <w:rsid w:val="000206B4"/>
    <w:rsid w:val="000222C7"/>
    <w:rsid w:val="00023AE3"/>
    <w:rsid w:val="00023E4B"/>
    <w:rsid w:val="00024415"/>
    <w:rsid w:val="0002557E"/>
    <w:rsid w:val="00026EB0"/>
    <w:rsid w:val="00026F79"/>
    <w:rsid w:val="00027451"/>
    <w:rsid w:val="00027537"/>
    <w:rsid w:val="00027AA7"/>
    <w:rsid w:val="00027B07"/>
    <w:rsid w:val="00027BEA"/>
    <w:rsid w:val="00030196"/>
    <w:rsid w:val="000328EC"/>
    <w:rsid w:val="00032CEB"/>
    <w:rsid w:val="0003387F"/>
    <w:rsid w:val="00034A88"/>
    <w:rsid w:val="00034F47"/>
    <w:rsid w:val="000359FE"/>
    <w:rsid w:val="00036B62"/>
    <w:rsid w:val="00037C13"/>
    <w:rsid w:val="00040BFC"/>
    <w:rsid w:val="00042D12"/>
    <w:rsid w:val="00045461"/>
    <w:rsid w:val="0004551A"/>
    <w:rsid w:val="00045E39"/>
    <w:rsid w:val="00045E9B"/>
    <w:rsid w:val="00047AF5"/>
    <w:rsid w:val="000500DC"/>
    <w:rsid w:val="00050715"/>
    <w:rsid w:val="00051829"/>
    <w:rsid w:val="00053ADA"/>
    <w:rsid w:val="000540F6"/>
    <w:rsid w:val="000577B0"/>
    <w:rsid w:val="00057900"/>
    <w:rsid w:val="00061ABC"/>
    <w:rsid w:val="000650F6"/>
    <w:rsid w:val="000652CE"/>
    <w:rsid w:val="000659A9"/>
    <w:rsid w:val="00070528"/>
    <w:rsid w:val="0007231D"/>
    <w:rsid w:val="0007438C"/>
    <w:rsid w:val="00075632"/>
    <w:rsid w:val="000763AD"/>
    <w:rsid w:val="00077A06"/>
    <w:rsid w:val="0008085C"/>
    <w:rsid w:val="00080CD5"/>
    <w:rsid w:val="000824C4"/>
    <w:rsid w:val="00086A0A"/>
    <w:rsid w:val="00090E1C"/>
    <w:rsid w:val="0009494C"/>
    <w:rsid w:val="00094D8B"/>
    <w:rsid w:val="000976F9"/>
    <w:rsid w:val="000A14CB"/>
    <w:rsid w:val="000A1627"/>
    <w:rsid w:val="000A4FB3"/>
    <w:rsid w:val="000A5125"/>
    <w:rsid w:val="000A535C"/>
    <w:rsid w:val="000A6267"/>
    <w:rsid w:val="000A6701"/>
    <w:rsid w:val="000B10F8"/>
    <w:rsid w:val="000B1F23"/>
    <w:rsid w:val="000B5ACB"/>
    <w:rsid w:val="000C321B"/>
    <w:rsid w:val="000D07D7"/>
    <w:rsid w:val="000D22E2"/>
    <w:rsid w:val="000D2A19"/>
    <w:rsid w:val="000D2AAA"/>
    <w:rsid w:val="000D2C1A"/>
    <w:rsid w:val="000D2E75"/>
    <w:rsid w:val="000D366B"/>
    <w:rsid w:val="000D661B"/>
    <w:rsid w:val="000D6E9E"/>
    <w:rsid w:val="000D73B2"/>
    <w:rsid w:val="000E29C5"/>
    <w:rsid w:val="000E3DFF"/>
    <w:rsid w:val="000E5B24"/>
    <w:rsid w:val="000E65A3"/>
    <w:rsid w:val="000F0F85"/>
    <w:rsid w:val="000F1D67"/>
    <w:rsid w:val="000F1FE7"/>
    <w:rsid w:val="000F335D"/>
    <w:rsid w:val="000F4CD7"/>
    <w:rsid w:val="000F5A8D"/>
    <w:rsid w:val="000F5D2D"/>
    <w:rsid w:val="000F62D1"/>
    <w:rsid w:val="000F6CA8"/>
    <w:rsid w:val="001026BD"/>
    <w:rsid w:val="00102849"/>
    <w:rsid w:val="0010624E"/>
    <w:rsid w:val="00106E1A"/>
    <w:rsid w:val="001100AC"/>
    <w:rsid w:val="00110BDC"/>
    <w:rsid w:val="001122B5"/>
    <w:rsid w:val="00112440"/>
    <w:rsid w:val="0011518C"/>
    <w:rsid w:val="00115295"/>
    <w:rsid w:val="001169B9"/>
    <w:rsid w:val="00117F6C"/>
    <w:rsid w:val="0012016C"/>
    <w:rsid w:val="0012062F"/>
    <w:rsid w:val="00120778"/>
    <w:rsid w:val="00120B5E"/>
    <w:rsid w:val="00121552"/>
    <w:rsid w:val="00123A60"/>
    <w:rsid w:val="0012515B"/>
    <w:rsid w:val="00130B3B"/>
    <w:rsid w:val="00131AB7"/>
    <w:rsid w:val="00132AC2"/>
    <w:rsid w:val="001351D6"/>
    <w:rsid w:val="001360D3"/>
    <w:rsid w:val="00136BCD"/>
    <w:rsid w:val="00136C01"/>
    <w:rsid w:val="00136EAE"/>
    <w:rsid w:val="00140558"/>
    <w:rsid w:val="001406D5"/>
    <w:rsid w:val="00143435"/>
    <w:rsid w:val="00143A26"/>
    <w:rsid w:val="00145575"/>
    <w:rsid w:val="00145CFB"/>
    <w:rsid w:val="0015079E"/>
    <w:rsid w:val="00157C9A"/>
    <w:rsid w:val="00157E4A"/>
    <w:rsid w:val="001608E0"/>
    <w:rsid w:val="00160D51"/>
    <w:rsid w:val="00162095"/>
    <w:rsid w:val="00163111"/>
    <w:rsid w:val="0016377A"/>
    <w:rsid w:val="00163EAA"/>
    <w:rsid w:val="0016685C"/>
    <w:rsid w:val="00166C15"/>
    <w:rsid w:val="00167B86"/>
    <w:rsid w:val="001710B3"/>
    <w:rsid w:val="001759A6"/>
    <w:rsid w:val="00176BD1"/>
    <w:rsid w:val="0018239C"/>
    <w:rsid w:val="0018254E"/>
    <w:rsid w:val="0018375D"/>
    <w:rsid w:val="00183837"/>
    <w:rsid w:val="001908F9"/>
    <w:rsid w:val="001961E7"/>
    <w:rsid w:val="00197077"/>
    <w:rsid w:val="001972B8"/>
    <w:rsid w:val="001A1315"/>
    <w:rsid w:val="001A17F3"/>
    <w:rsid w:val="001A74AE"/>
    <w:rsid w:val="001A7CCB"/>
    <w:rsid w:val="001B0835"/>
    <w:rsid w:val="001B1641"/>
    <w:rsid w:val="001B298F"/>
    <w:rsid w:val="001B316F"/>
    <w:rsid w:val="001B6DF4"/>
    <w:rsid w:val="001C036E"/>
    <w:rsid w:val="001C1120"/>
    <w:rsid w:val="001C2349"/>
    <w:rsid w:val="001C291D"/>
    <w:rsid w:val="001C3333"/>
    <w:rsid w:val="001C5F96"/>
    <w:rsid w:val="001C6085"/>
    <w:rsid w:val="001C611E"/>
    <w:rsid w:val="001C6D73"/>
    <w:rsid w:val="001C7615"/>
    <w:rsid w:val="001D094C"/>
    <w:rsid w:val="001D5062"/>
    <w:rsid w:val="001D6958"/>
    <w:rsid w:val="001E035F"/>
    <w:rsid w:val="001E1420"/>
    <w:rsid w:val="001E26D6"/>
    <w:rsid w:val="001E5883"/>
    <w:rsid w:val="001E6307"/>
    <w:rsid w:val="001F0535"/>
    <w:rsid w:val="001F09A6"/>
    <w:rsid w:val="001F146C"/>
    <w:rsid w:val="001F190B"/>
    <w:rsid w:val="001F1A77"/>
    <w:rsid w:val="001F29F1"/>
    <w:rsid w:val="001F3F6C"/>
    <w:rsid w:val="001F3F77"/>
    <w:rsid w:val="001F5F24"/>
    <w:rsid w:val="001F62E3"/>
    <w:rsid w:val="001F6A79"/>
    <w:rsid w:val="00205A24"/>
    <w:rsid w:val="00205C19"/>
    <w:rsid w:val="002070F1"/>
    <w:rsid w:val="00210831"/>
    <w:rsid w:val="00211B35"/>
    <w:rsid w:val="00212858"/>
    <w:rsid w:val="00215294"/>
    <w:rsid w:val="0021622E"/>
    <w:rsid w:val="00220049"/>
    <w:rsid w:val="00221003"/>
    <w:rsid w:val="00221A7D"/>
    <w:rsid w:val="00222C7B"/>
    <w:rsid w:val="002236DF"/>
    <w:rsid w:val="00226FA2"/>
    <w:rsid w:val="00231E6B"/>
    <w:rsid w:val="0023262A"/>
    <w:rsid w:val="00234063"/>
    <w:rsid w:val="002353FF"/>
    <w:rsid w:val="00235528"/>
    <w:rsid w:val="00235DA6"/>
    <w:rsid w:val="00240938"/>
    <w:rsid w:val="00242965"/>
    <w:rsid w:val="00243B69"/>
    <w:rsid w:val="0024403D"/>
    <w:rsid w:val="0024606D"/>
    <w:rsid w:val="0024673D"/>
    <w:rsid w:val="00247A19"/>
    <w:rsid w:val="00252B53"/>
    <w:rsid w:val="00254C6B"/>
    <w:rsid w:val="00257BC5"/>
    <w:rsid w:val="0026156D"/>
    <w:rsid w:val="00261684"/>
    <w:rsid w:val="00261D98"/>
    <w:rsid w:val="0026248F"/>
    <w:rsid w:val="00262A77"/>
    <w:rsid w:val="00264421"/>
    <w:rsid w:val="002650D2"/>
    <w:rsid w:val="00267188"/>
    <w:rsid w:val="002705E3"/>
    <w:rsid w:val="002710F1"/>
    <w:rsid w:val="002713D9"/>
    <w:rsid w:val="00271A1D"/>
    <w:rsid w:val="00271FC0"/>
    <w:rsid w:val="00275BB0"/>
    <w:rsid w:val="00276C22"/>
    <w:rsid w:val="00282525"/>
    <w:rsid w:val="002835A4"/>
    <w:rsid w:val="00285A67"/>
    <w:rsid w:val="00285C71"/>
    <w:rsid w:val="00287299"/>
    <w:rsid w:val="002917DF"/>
    <w:rsid w:val="00291C3D"/>
    <w:rsid w:val="002946A4"/>
    <w:rsid w:val="00295DCF"/>
    <w:rsid w:val="00296FA4"/>
    <w:rsid w:val="002978AB"/>
    <w:rsid w:val="002A03F5"/>
    <w:rsid w:val="002A1BA6"/>
    <w:rsid w:val="002A1D5D"/>
    <w:rsid w:val="002A2B88"/>
    <w:rsid w:val="002A2E6C"/>
    <w:rsid w:val="002A6B6A"/>
    <w:rsid w:val="002A75C0"/>
    <w:rsid w:val="002A7B58"/>
    <w:rsid w:val="002B1D23"/>
    <w:rsid w:val="002B20E6"/>
    <w:rsid w:val="002B2E37"/>
    <w:rsid w:val="002B3425"/>
    <w:rsid w:val="002B38E7"/>
    <w:rsid w:val="002B3F3A"/>
    <w:rsid w:val="002B47B0"/>
    <w:rsid w:val="002B6E57"/>
    <w:rsid w:val="002C19E5"/>
    <w:rsid w:val="002C1A01"/>
    <w:rsid w:val="002C1ADC"/>
    <w:rsid w:val="002C2788"/>
    <w:rsid w:val="002C4632"/>
    <w:rsid w:val="002C51F0"/>
    <w:rsid w:val="002D13FA"/>
    <w:rsid w:val="002D275E"/>
    <w:rsid w:val="002D2D9D"/>
    <w:rsid w:val="002D4150"/>
    <w:rsid w:val="002D46A0"/>
    <w:rsid w:val="002D58B3"/>
    <w:rsid w:val="002D6CEF"/>
    <w:rsid w:val="002D6FCA"/>
    <w:rsid w:val="002E0D87"/>
    <w:rsid w:val="002E1CBA"/>
    <w:rsid w:val="002E1E36"/>
    <w:rsid w:val="002E366E"/>
    <w:rsid w:val="002E4825"/>
    <w:rsid w:val="002E51FE"/>
    <w:rsid w:val="002E6A01"/>
    <w:rsid w:val="002E6CD7"/>
    <w:rsid w:val="002E6FA1"/>
    <w:rsid w:val="002E79A4"/>
    <w:rsid w:val="002E7FEF"/>
    <w:rsid w:val="002F2183"/>
    <w:rsid w:val="002F4066"/>
    <w:rsid w:val="002F6A32"/>
    <w:rsid w:val="002F7024"/>
    <w:rsid w:val="002F7C56"/>
    <w:rsid w:val="00300040"/>
    <w:rsid w:val="00302178"/>
    <w:rsid w:val="003043A0"/>
    <w:rsid w:val="003067E6"/>
    <w:rsid w:val="00307753"/>
    <w:rsid w:val="003103D0"/>
    <w:rsid w:val="003109B5"/>
    <w:rsid w:val="00313606"/>
    <w:rsid w:val="00313D7D"/>
    <w:rsid w:val="00314604"/>
    <w:rsid w:val="00316CCF"/>
    <w:rsid w:val="00317A0B"/>
    <w:rsid w:val="00321BEF"/>
    <w:rsid w:val="00322AC0"/>
    <w:rsid w:val="0033062E"/>
    <w:rsid w:val="00331E7D"/>
    <w:rsid w:val="003320A6"/>
    <w:rsid w:val="00333890"/>
    <w:rsid w:val="0033449A"/>
    <w:rsid w:val="00334EE2"/>
    <w:rsid w:val="00335D86"/>
    <w:rsid w:val="003370BD"/>
    <w:rsid w:val="003403AB"/>
    <w:rsid w:val="00340A4B"/>
    <w:rsid w:val="00346486"/>
    <w:rsid w:val="003519B7"/>
    <w:rsid w:val="00352D05"/>
    <w:rsid w:val="003530C1"/>
    <w:rsid w:val="00354F1F"/>
    <w:rsid w:val="0035568A"/>
    <w:rsid w:val="003620C0"/>
    <w:rsid w:val="00364CFA"/>
    <w:rsid w:val="00366BFE"/>
    <w:rsid w:val="00367E1D"/>
    <w:rsid w:val="0037071A"/>
    <w:rsid w:val="00370C63"/>
    <w:rsid w:val="003754B8"/>
    <w:rsid w:val="00381FFD"/>
    <w:rsid w:val="003827DC"/>
    <w:rsid w:val="00383E28"/>
    <w:rsid w:val="00385956"/>
    <w:rsid w:val="00387B9E"/>
    <w:rsid w:val="003940CC"/>
    <w:rsid w:val="00394AF5"/>
    <w:rsid w:val="00394E03"/>
    <w:rsid w:val="00396447"/>
    <w:rsid w:val="00397A6C"/>
    <w:rsid w:val="003A05D6"/>
    <w:rsid w:val="003A1E67"/>
    <w:rsid w:val="003A3EF5"/>
    <w:rsid w:val="003A4F03"/>
    <w:rsid w:val="003A51D9"/>
    <w:rsid w:val="003A5B7E"/>
    <w:rsid w:val="003A5D0C"/>
    <w:rsid w:val="003A6624"/>
    <w:rsid w:val="003B0323"/>
    <w:rsid w:val="003B2128"/>
    <w:rsid w:val="003B5C5A"/>
    <w:rsid w:val="003C0145"/>
    <w:rsid w:val="003C1629"/>
    <w:rsid w:val="003C288B"/>
    <w:rsid w:val="003C5793"/>
    <w:rsid w:val="003C730D"/>
    <w:rsid w:val="003D069D"/>
    <w:rsid w:val="003D1D9F"/>
    <w:rsid w:val="003D1E9B"/>
    <w:rsid w:val="003D30C8"/>
    <w:rsid w:val="003D624E"/>
    <w:rsid w:val="003E1B52"/>
    <w:rsid w:val="003E287B"/>
    <w:rsid w:val="003E2C66"/>
    <w:rsid w:val="003E460E"/>
    <w:rsid w:val="003E4662"/>
    <w:rsid w:val="003E4E0C"/>
    <w:rsid w:val="003E5E33"/>
    <w:rsid w:val="003E736E"/>
    <w:rsid w:val="003E7D53"/>
    <w:rsid w:val="003E7F2A"/>
    <w:rsid w:val="003E7FF2"/>
    <w:rsid w:val="003F149C"/>
    <w:rsid w:val="003F1CC5"/>
    <w:rsid w:val="003F2395"/>
    <w:rsid w:val="003F2638"/>
    <w:rsid w:val="003F2A75"/>
    <w:rsid w:val="003F6AB8"/>
    <w:rsid w:val="003F7AA6"/>
    <w:rsid w:val="004009A5"/>
    <w:rsid w:val="00403163"/>
    <w:rsid w:val="00405695"/>
    <w:rsid w:val="00405821"/>
    <w:rsid w:val="00407CD4"/>
    <w:rsid w:val="004113F8"/>
    <w:rsid w:val="00411CA4"/>
    <w:rsid w:val="00411EB8"/>
    <w:rsid w:val="00412419"/>
    <w:rsid w:val="0041439F"/>
    <w:rsid w:val="0041693B"/>
    <w:rsid w:val="0042031B"/>
    <w:rsid w:val="004214A3"/>
    <w:rsid w:val="004214C6"/>
    <w:rsid w:val="0042337C"/>
    <w:rsid w:val="00424089"/>
    <w:rsid w:val="0042446F"/>
    <w:rsid w:val="004272C1"/>
    <w:rsid w:val="00427B09"/>
    <w:rsid w:val="00431B78"/>
    <w:rsid w:val="00431CEA"/>
    <w:rsid w:val="0043217A"/>
    <w:rsid w:val="00432644"/>
    <w:rsid w:val="0044187B"/>
    <w:rsid w:val="00441BA5"/>
    <w:rsid w:val="0044615B"/>
    <w:rsid w:val="004467AA"/>
    <w:rsid w:val="00450C42"/>
    <w:rsid w:val="00455232"/>
    <w:rsid w:val="004568C1"/>
    <w:rsid w:val="004569B9"/>
    <w:rsid w:val="004575B2"/>
    <w:rsid w:val="004578C3"/>
    <w:rsid w:val="004600A6"/>
    <w:rsid w:val="0046070F"/>
    <w:rsid w:val="00460A1C"/>
    <w:rsid w:val="00461765"/>
    <w:rsid w:val="004632D0"/>
    <w:rsid w:val="00464368"/>
    <w:rsid w:val="0046549C"/>
    <w:rsid w:val="0046697E"/>
    <w:rsid w:val="0047011E"/>
    <w:rsid w:val="004709FB"/>
    <w:rsid w:val="00471E08"/>
    <w:rsid w:val="00472F41"/>
    <w:rsid w:val="00474A5B"/>
    <w:rsid w:val="00476F7D"/>
    <w:rsid w:val="00477AFE"/>
    <w:rsid w:val="00480E54"/>
    <w:rsid w:val="00484475"/>
    <w:rsid w:val="00484BD1"/>
    <w:rsid w:val="00486364"/>
    <w:rsid w:val="00486897"/>
    <w:rsid w:val="0048791E"/>
    <w:rsid w:val="00487E5D"/>
    <w:rsid w:val="0049064C"/>
    <w:rsid w:val="004916EA"/>
    <w:rsid w:val="00492C7F"/>
    <w:rsid w:val="00493C52"/>
    <w:rsid w:val="00494323"/>
    <w:rsid w:val="00496BF1"/>
    <w:rsid w:val="004A0636"/>
    <w:rsid w:val="004A1583"/>
    <w:rsid w:val="004A15B3"/>
    <w:rsid w:val="004A4ACB"/>
    <w:rsid w:val="004A5C78"/>
    <w:rsid w:val="004A689E"/>
    <w:rsid w:val="004A7675"/>
    <w:rsid w:val="004A791B"/>
    <w:rsid w:val="004B0604"/>
    <w:rsid w:val="004B10E7"/>
    <w:rsid w:val="004B3760"/>
    <w:rsid w:val="004B3DC6"/>
    <w:rsid w:val="004B4814"/>
    <w:rsid w:val="004C1605"/>
    <w:rsid w:val="004C17D3"/>
    <w:rsid w:val="004C1E8C"/>
    <w:rsid w:val="004C3F86"/>
    <w:rsid w:val="004C416C"/>
    <w:rsid w:val="004C7C44"/>
    <w:rsid w:val="004D3870"/>
    <w:rsid w:val="004D6A3C"/>
    <w:rsid w:val="004D6CE4"/>
    <w:rsid w:val="004E2A0D"/>
    <w:rsid w:val="004E363B"/>
    <w:rsid w:val="004E5C37"/>
    <w:rsid w:val="004E5E17"/>
    <w:rsid w:val="004E61AD"/>
    <w:rsid w:val="004E7B4B"/>
    <w:rsid w:val="004E7BD5"/>
    <w:rsid w:val="004F17B5"/>
    <w:rsid w:val="004F48EE"/>
    <w:rsid w:val="004F575A"/>
    <w:rsid w:val="004F5AB4"/>
    <w:rsid w:val="004F6C2F"/>
    <w:rsid w:val="004F7D43"/>
    <w:rsid w:val="00500551"/>
    <w:rsid w:val="00500B33"/>
    <w:rsid w:val="005010DD"/>
    <w:rsid w:val="00502D80"/>
    <w:rsid w:val="00503770"/>
    <w:rsid w:val="00504235"/>
    <w:rsid w:val="00504767"/>
    <w:rsid w:val="0050492A"/>
    <w:rsid w:val="00504BE4"/>
    <w:rsid w:val="0050570A"/>
    <w:rsid w:val="00506550"/>
    <w:rsid w:val="00511040"/>
    <w:rsid w:val="005115F7"/>
    <w:rsid w:val="0051240F"/>
    <w:rsid w:val="005133BF"/>
    <w:rsid w:val="00513751"/>
    <w:rsid w:val="00513D0E"/>
    <w:rsid w:val="005144AE"/>
    <w:rsid w:val="00516969"/>
    <w:rsid w:val="00517E35"/>
    <w:rsid w:val="00520202"/>
    <w:rsid w:val="00522E61"/>
    <w:rsid w:val="005231D2"/>
    <w:rsid w:val="00523A79"/>
    <w:rsid w:val="00524A50"/>
    <w:rsid w:val="00527310"/>
    <w:rsid w:val="0053060A"/>
    <w:rsid w:val="0053263D"/>
    <w:rsid w:val="00532E2E"/>
    <w:rsid w:val="005333B3"/>
    <w:rsid w:val="00533881"/>
    <w:rsid w:val="005362CA"/>
    <w:rsid w:val="0053745B"/>
    <w:rsid w:val="00537D36"/>
    <w:rsid w:val="00541484"/>
    <w:rsid w:val="00544444"/>
    <w:rsid w:val="00544B9E"/>
    <w:rsid w:val="00546627"/>
    <w:rsid w:val="00553238"/>
    <w:rsid w:val="00553E69"/>
    <w:rsid w:val="00554CFD"/>
    <w:rsid w:val="00557032"/>
    <w:rsid w:val="00561C61"/>
    <w:rsid w:val="00561C8E"/>
    <w:rsid w:val="00562853"/>
    <w:rsid w:val="00562A99"/>
    <w:rsid w:val="005643C3"/>
    <w:rsid w:val="005650DE"/>
    <w:rsid w:val="0056511E"/>
    <w:rsid w:val="00566247"/>
    <w:rsid w:val="00570337"/>
    <w:rsid w:val="00573CAC"/>
    <w:rsid w:val="0057465F"/>
    <w:rsid w:val="00576925"/>
    <w:rsid w:val="00580DDB"/>
    <w:rsid w:val="00580E32"/>
    <w:rsid w:val="0058381F"/>
    <w:rsid w:val="00585095"/>
    <w:rsid w:val="005869C3"/>
    <w:rsid w:val="00587F58"/>
    <w:rsid w:val="00590FCF"/>
    <w:rsid w:val="0059362C"/>
    <w:rsid w:val="005946CB"/>
    <w:rsid w:val="0059601B"/>
    <w:rsid w:val="005977B5"/>
    <w:rsid w:val="005A1623"/>
    <w:rsid w:val="005A16BB"/>
    <w:rsid w:val="005A199B"/>
    <w:rsid w:val="005A1D3F"/>
    <w:rsid w:val="005A26B1"/>
    <w:rsid w:val="005A37CB"/>
    <w:rsid w:val="005A40C6"/>
    <w:rsid w:val="005A451C"/>
    <w:rsid w:val="005A4CCB"/>
    <w:rsid w:val="005B23A1"/>
    <w:rsid w:val="005B4563"/>
    <w:rsid w:val="005B5F0F"/>
    <w:rsid w:val="005C02F7"/>
    <w:rsid w:val="005C08D2"/>
    <w:rsid w:val="005C2969"/>
    <w:rsid w:val="005C342E"/>
    <w:rsid w:val="005C6176"/>
    <w:rsid w:val="005C6254"/>
    <w:rsid w:val="005C7628"/>
    <w:rsid w:val="005D2836"/>
    <w:rsid w:val="005D35E4"/>
    <w:rsid w:val="005D48EE"/>
    <w:rsid w:val="005D4AA7"/>
    <w:rsid w:val="005D4B12"/>
    <w:rsid w:val="005D4B34"/>
    <w:rsid w:val="005D650F"/>
    <w:rsid w:val="005D7771"/>
    <w:rsid w:val="005E193F"/>
    <w:rsid w:val="005E21B9"/>
    <w:rsid w:val="005E26E0"/>
    <w:rsid w:val="005E28B8"/>
    <w:rsid w:val="005E29A2"/>
    <w:rsid w:val="005E3506"/>
    <w:rsid w:val="005E3CEA"/>
    <w:rsid w:val="005E4F1C"/>
    <w:rsid w:val="005E5923"/>
    <w:rsid w:val="005E6168"/>
    <w:rsid w:val="005E6520"/>
    <w:rsid w:val="005E7AB9"/>
    <w:rsid w:val="005F3081"/>
    <w:rsid w:val="005F3458"/>
    <w:rsid w:val="005F36A0"/>
    <w:rsid w:val="005F3ED3"/>
    <w:rsid w:val="005F4BDE"/>
    <w:rsid w:val="005F5C9D"/>
    <w:rsid w:val="005F625F"/>
    <w:rsid w:val="005F6459"/>
    <w:rsid w:val="006016CE"/>
    <w:rsid w:val="00602360"/>
    <w:rsid w:val="0060301E"/>
    <w:rsid w:val="006054ED"/>
    <w:rsid w:val="0060661D"/>
    <w:rsid w:val="0060717C"/>
    <w:rsid w:val="00610D9D"/>
    <w:rsid w:val="00611398"/>
    <w:rsid w:val="006119BB"/>
    <w:rsid w:val="0061217E"/>
    <w:rsid w:val="0061306A"/>
    <w:rsid w:val="00613289"/>
    <w:rsid w:val="0061412A"/>
    <w:rsid w:val="0061473D"/>
    <w:rsid w:val="00615A8E"/>
    <w:rsid w:val="00616074"/>
    <w:rsid w:val="006163CE"/>
    <w:rsid w:val="006171AA"/>
    <w:rsid w:val="006175AF"/>
    <w:rsid w:val="00617725"/>
    <w:rsid w:val="00622221"/>
    <w:rsid w:val="00622432"/>
    <w:rsid w:val="0062600D"/>
    <w:rsid w:val="0063141E"/>
    <w:rsid w:val="006346D8"/>
    <w:rsid w:val="0063512F"/>
    <w:rsid w:val="00635262"/>
    <w:rsid w:val="0063610E"/>
    <w:rsid w:val="00637A59"/>
    <w:rsid w:val="0064278A"/>
    <w:rsid w:val="00642957"/>
    <w:rsid w:val="006429E2"/>
    <w:rsid w:val="006438B6"/>
    <w:rsid w:val="006459EE"/>
    <w:rsid w:val="00650176"/>
    <w:rsid w:val="00653940"/>
    <w:rsid w:val="00654949"/>
    <w:rsid w:val="00654DC8"/>
    <w:rsid w:val="00656C65"/>
    <w:rsid w:val="006614C4"/>
    <w:rsid w:val="006632E2"/>
    <w:rsid w:val="00664673"/>
    <w:rsid w:val="006648BC"/>
    <w:rsid w:val="00664AF6"/>
    <w:rsid w:val="00664D99"/>
    <w:rsid w:val="00665594"/>
    <w:rsid w:val="006671E3"/>
    <w:rsid w:val="00667747"/>
    <w:rsid w:val="006703FD"/>
    <w:rsid w:val="00672403"/>
    <w:rsid w:val="006742AE"/>
    <w:rsid w:val="006743AC"/>
    <w:rsid w:val="00674E67"/>
    <w:rsid w:val="00675ECC"/>
    <w:rsid w:val="006819C9"/>
    <w:rsid w:val="00682AB7"/>
    <w:rsid w:val="006837B0"/>
    <w:rsid w:val="00683F1C"/>
    <w:rsid w:val="00685A9D"/>
    <w:rsid w:val="006862BE"/>
    <w:rsid w:val="00687195"/>
    <w:rsid w:val="0069077F"/>
    <w:rsid w:val="00691B00"/>
    <w:rsid w:val="00693630"/>
    <w:rsid w:val="00693AFE"/>
    <w:rsid w:val="00693BDE"/>
    <w:rsid w:val="0069522A"/>
    <w:rsid w:val="006953D5"/>
    <w:rsid w:val="00697BAB"/>
    <w:rsid w:val="006A030F"/>
    <w:rsid w:val="006A11E2"/>
    <w:rsid w:val="006A1668"/>
    <w:rsid w:val="006A1EB0"/>
    <w:rsid w:val="006A3ACD"/>
    <w:rsid w:val="006A47EF"/>
    <w:rsid w:val="006A712E"/>
    <w:rsid w:val="006B147A"/>
    <w:rsid w:val="006B50D1"/>
    <w:rsid w:val="006B6C0A"/>
    <w:rsid w:val="006B6F5D"/>
    <w:rsid w:val="006C1097"/>
    <w:rsid w:val="006C16AA"/>
    <w:rsid w:val="006C239C"/>
    <w:rsid w:val="006C27A2"/>
    <w:rsid w:val="006C2E12"/>
    <w:rsid w:val="006C2F9D"/>
    <w:rsid w:val="006C3135"/>
    <w:rsid w:val="006C3A2E"/>
    <w:rsid w:val="006C4DC7"/>
    <w:rsid w:val="006D13F1"/>
    <w:rsid w:val="006D1FBF"/>
    <w:rsid w:val="006D4D14"/>
    <w:rsid w:val="006E2E00"/>
    <w:rsid w:val="006E4B21"/>
    <w:rsid w:val="006E51C0"/>
    <w:rsid w:val="006E6B65"/>
    <w:rsid w:val="006E73FC"/>
    <w:rsid w:val="006E7A21"/>
    <w:rsid w:val="006F0BAA"/>
    <w:rsid w:val="006F1144"/>
    <w:rsid w:val="006F2713"/>
    <w:rsid w:val="006F2AAB"/>
    <w:rsid w:val="006F3221"/>
    <w:rsid w:val="006F3D81"/>
    <w:rsid w:val="006F4ABD"/>
    <w:rsid w:val="006F6152"/>
    <w:rsid w:val="006F6534"/>
    <w:rsid w:val="006F65DB"/>
    <w:rsid w:val="006F707F"/>
    <w:rsid w:val="006F7C57"/>
    <w:rsid w:val="006F7ECE"/>
    <w:rsid w:val="00705F27"/>
    <w:rsid w:val="00706534"/>
    <w:rsid w:val="00706969"/>
    <w:rsid w:val="00711577"/>
    <w:rsid w:val="007123BD"/>
    <w:rsid w:val="007137F4"/>
    <w:rsid w:val="00713E78"/>
    <w:rsid w:val="007157C9"/>
    <w:rsid w:val="00717C1B"/>
    <w:rsid w:val="00720DE0"/>
    <w:rsid w:val="007218B1"/>
    <w:rsid w:val="00722AB0"/>
    <w:rsid w:val="0072641C"/>
    <w:rsid w:val="00730200"/>
    <w:rsid w:val="00730256"/>
    <w:rsid w:val="00730617"/>
    <w:rsid w:val="00730FE8"/>
    <w:rsid w:val="00731333"/>
    <w:rsid w:val="00731735"/>
    <w:rsid w:val="00731E20"/>
    <w:rsid w:val="007321A7"/>
    <w:rsid w:val="007339DE"/>
    <w:rsid w:val="0073672B"/>
    <w:rsid w:val="00736FB9"/>
    <w:rsid w:val="00737D92"/>
    <w:rsid w:val="00737DA9"/>
    <w:rsid w:val="007417DF"/>
    <w:rsid w:val="00742BF1"/>
    <w:rsid w:val="0074561A"/>
    <w:rsid w:val="00745792"/>
    <w:rsid w:val="0074585D"/>
    <w:rsid w:val="00746FA9"/>
    <w:rsid w:val="0074766B"/>
    <w:rsid w:val="0075117F"/>
    <w:rsid w:val="007513F8"/>
    <w:rsid w:val="00751EBE"/>
    <w:rsid w:val="007522B8"/>
    <w:rsid w:val="0075276D"/>
    <w:rsid w:val="00753B11"/>
    <w:rsid w:val="007546AB"/>
    <w:rsid w:val="00754754"/>
    <w:rsid w:val="007559C2"/>
    <w:rsid w:val="00757683"/>
    <w:rsid w:val="00757E86"/>
    <w:rsid w:val="00762BC5"/>
    <w:rsid w:val="007631E9"/>
    <w:rsid w:val="00763975"/>
    <w:rsid w:val="00763C15"/>
    <w:rsid w:val="00765E3D"/>
    <w:rsid w:val="00765EA3"/>
    <w:rsid w:val="00766CF3"/>
    <w:rsid w:val="00770FC5"/>
    <w:rsid w:val="00771432"/>
    <w:rsid w:val="00775F61"/>
    <w:rsid w:val="00783646"/>
    <w:rsid w:val="007842FD"/>
    <w:rsid w:val="0078433E"/>
    <w:rsid w:val="00785038"/>
    <w:rsid w:val="00787F32"/>
    <w:rsid w:val="007908E5"/>
    <w:rsid w:val="007923EB"/>
    <w:rsid w:val="00794121"/>
    <w:rsid w:val="00794600"/>
    <w:rsid w:val="007958C0"/>
    <w:rsid w:val="00795C94"/>
    <w:rsid w:val="00795F6F"/>
    <w:rsid w:val="007977D4"/>
    <w:rsid w:val="0079799A"/>
    <w:rsid w:val="007A0491"/>
    <w:rsid w:val="007A1D8B"/>
    <w:rsid w:val="007A1FC6"/>
    <w:rsid w:val="007A40BF"/>
    <w:rsid w:val="007A41AE"/>
    <w:rsid w:val="007A4D28"/>
    <w:rsid w:val="007A5DD9"/>
    <w:rsid w:val="007A66C1"/>
    <w:rsid w:val="007B12DD"/>
    <w:rsid w:val="007B1757"/>
    <w:rsid w:val="007B5940"/>
    <w:rsid w:val="007B6C19"/>
    <w:rsid w:val="007C0527"/>
    <w:rsid w:val="007C1661"/>
    <w:rsid w:val="007C1C37"/>
    <w:rsid w:val="007C1D71"/>
    <w:rsid w:val="007C4DC5"/>
    <w:rsid w:val="007C5B35"/>
    <w:rsid w:val="007C659B"/>
    <w:rsid w:val="007D01AF"/>
    <w:rsid w:val="007D1044"/>
    <w:rsid w:val="007D1716"/>
    <w:rsid w:val="007D17E2"/>
    <w:rsid w:val="007D3B7D"/>
    <w:rsid w:val="007D4C38"/>
    <w:rsid w:val="007D519B"/>
    <w:rsid w:val="007D7082"/>
    <w:rsid w:val="007E038A"/>
    <w:rsid w:val="007E0755"/>
    <w:rsid w:val="007E1610"/>
    <w:rsid w:val="007E206F"/>
    <w:rsid w:val="007E4942"/>
    <w:rsid w:val="007E502C"/>
    <w:rsid w:val="007E51F0"/>
    <w:rsid w:val="007E52E2"/>
    <w:rsid w:val="007E54FF"/>
    <w:rsid w:val="007E740D"/>
    <w:rsid w:val="007E77F4"/>
    <w:rsid w:val="007F706D"/>
    <w:rsid w:val="00804254"/>
    <w:rsid w:val="00805A6E"/>
    <w:rsid w:val="00806EA2"/>
    <w:rsid w:val="0080735A"/>
    <w:rsid w:val="008136A1"/>
    <w:rsid w:val="00814FEA"/>
    <w:rsid w:val="0081717A"/>
    <w:rsid w:val="008172C5"/>
    <w:rsid w:val="00824CB7"/>
    <w:rsid w:val="008253D5"/>
    <w:rsid w:val="00825E7C"/>
    <w:rsid w:val="00830564"/>
    <w:rsid w:val="00831FE8"/>
    <w:rsid w:val="00832B25"/>
    <w:rsid w:val="00832D01"/>
    <w:rsid w:val="0083448E"/>
    <w:rsid w:val="00834B7D"/>
    <w:rsid w:val="008351BA"/>
    <w:rsid w:val="00836243"/>
    <w:rsid w:val="00837B8D"/>
    <w:rsid w:val="0084183F"/>
    <w:rsid w:val="00841FE2"/>
    <w:rsid w:val="008442D7"/>
    <w:rsid w:val="00844E7F"/>
    <w:rsid w:val="00851EA4"/>
    <w:rsid w:val="00853AAB"/>
    <w:rsid w:val="00854526"/>
    <w:rsid w:val="008553D3"/>
    <w:rsid w:val="00860745"/>
    <w:rsid w:val="00862C89"/>
    <w:rsid w:val="00863882"/>
    <w:rsid w:val="00864047"/>
    <w:rsid w:val="00864461"/>
    <w:rsid w:val="008648F7"/>
    <w:rsid w:val="0086522A"/>
    <w:rsid w:val="00867B70"/>
    <w:rsid w:val="00872419"/>
    <w:rsid w:val="00876D71"/>
    <w:rsid w:val="008845A5"/>
    <w:rsid w:val="00884829"/>
    <w:rsid w:val="00884ADF"/>
    <w:rsid w:val="00885A97"/>
    <w:rsid w:val="00886EFC"/>
    <w:rsid w:val="0089065A"/>
    <w:rsid w:val="00890BD3"/>
    <w:rsid w:val="00892D2C"/>
    <w:rsid w:val="0089383C"/>
    <w:rsid w:val="00893A29"/>
    <w:rsid w:val="00893BDA"/>
    <w:rsid w:val="008975B7"/>
    <w:rsid w:val="008A019F"/>
    <w:rsid w:val="008A0617"/>
    <w:rsid w:val="008A0F1D"/>
    <w:rsid w:val="008A1DDE"/>
    <w:rsid w:val="008A510E"/>
    <w:rsid w:val="008A6F24"/>
    <w:rsid w:val="008A79F5"/>
    <w:rsid w:val="008B1788"/>
    <w:rsid w:val="008B3B87"/>
    <w:rsid w:val="008B484E"/>
    <w:rsid w:val="008B4D4F"/>
    <w:rsid w:val="008C2109"/>
    <w:rsid w:val="008C2242"/>
    <w:rsid w:val="008C2650"/>
    <w:rsid w:val="008C6B14"/>
    <w:rsid w:val="008C704B"/>
    <w:rsid w:val="008D2AB3"/>
    <w:rsid w:val="008D3286"/>
    <w:rsid w:val="008D494E"/>
    <w:rsid w:val="008D4987"/>
    <w:rsid w:val="008E1196"/>
    <w:rsid w:val="008E2CBC"/>
    <w:rsid w:val="008E2FC7"/>
    <w:rsid w:val="008E5E9F"/>
    <w:rsid w:val="008E6816"/>
    <w:rsid w:val="008E6BBB"/>
    <w:rsid w:val="008E7888"/>
    <w:rsid w:val="008F06A1"/>
    <w:rsid w:val="008F0C7E"/>
    <w:rsid w:val="008F1001"/>
    <w:rsid w:val="008F4E37"/>
    <w:rsid w:val="0090014F"/>
    <w:rsid w:val="009035E1"/>
    <w:rsid w:val="009039F4"/>
    <w:rsid w:val="00904BE3"/>
    <w:rsid w:val="00905320"/>
    <w:rsid w:val="00905637"/>
    <w:rsid w:val="00906D24"/>
    <w:rsid w:val="00907FA6"/>
    <w:rsid w:val="0091127F"/>
    <w:rsid w:val="00914055"/>
    <w:rsid w:val="00916013"/>
    <w:rsid w:val="0091664F"/>
    <w:rsid w:val="00916696"/>
    <w:rsid w:val="00916A47"/>
    <w:rsid w:val="0091719B"/>
    <w:rsid w:val="009202C5"/>
    <w:rsid w:val="00921116"/>
    <w:rsid w:val="00923607"/>
    <w:rsid w:val="00924F15"/>
    <w:rsid w:val="0093021A"/>
    <w:rsid w:val="00934069"/>
    <w:rsid w:val="009374C4"/>
    <w:rsid w:val="0094096C"/>
    <w:rsid w:val="00940CEB"/>
    <w:rsid w:val="00941415"/>
    <w:rsid w:val="00946567"/>
    <w:rsid w:val="009475CF"/>
    <w:rsid w:val="00947B11"/>
    <w:rsid w:val="00947B6D"/>
    <w:rsid w:val="00952876"/>
    <w:rsid w:val="00953FBB"/>
    <w:rsid w:val="0095698F"/>
    <w:rsid w:val="009619CD"/>
    <w:rsid w:val="009622A8"/>
    <w:rsid w:val="00964672"/>
    <w:rsid w:val="0096579E"/>
    <w:rsid w:val="00965F7C"/>
    <w:rsid w:val="00966A1F"/>
    <w:rsid w:val="00972593"/>
    <w:rsid w:val="00973A3B"/>
    <w:rsid w:val="00973BAB"/>
    <w:rsid w:val="00974B0C"/>
    <w:rsid w:val="00974E1F"/>
    <w:rsid w:val="009754CE"/>
    <w:rsid w:val="009764C1"/>
    <w:rsid w:val="0097731D"/>
    <w:rsid w:val="009777DD"/>
    <w:rsid w:val="009800C1"/>
    <w:rsid w:val="009812F4"/>
    <w:rsid w:val="00982C20"/>
    <w:rsid w:val="00983C8E"/>
    <w:rsid w:val="0098676E"/>
    <w:rsid w:val="00986BD5"/>
    <w:rsid w:val="0099087F"/>
    <w:rsid w:val="00992A4F"/>
    <w:rsid w:val="009945FA"/>
    <w:rsid w:val="00995656"/>
    <w:rsid w:val="0099725E"/>
    <w:rsid w:val="009A171D"/>
    <w:rsid w:val="009A1BF9"/>
    <w:rsid w:val="009A4640"/>
    <w:rsid w:val="009A4DEA"/>
    <w:rsid w:val="009A590F"/>
    <w:rsid w:val="009A6141"/>
    <w:rsid w:val="009B00BF"/>
    <w:rsid w:val="009B1EA4"/>
    <w:rsid w:val="009B2A4A"/>
    <w:rsid w:val="009B306B"/>
    <w:rsid w:val="009B3B66"/>
    <w:rsid w:val="009B46C7"/>
    <w:rsid w:val="009B5379"/>
    <w:rsid w:val="009B5C7F"/>
    <w:rsid w:val="009C0941"/>
    <w:rsid w:val="009C0968"/>
    <w:rsid w:val="009C0FD3"/>
    <w:rsid w:val="009C2419"/>
    <w:rsid w:val="009C2AC0"/>
    <w:rsid w:val="009C39CD"/>
    <w:rsid w:val="009C3FC2"/>
    <w:rsid w:val="009C485F"/>
    <w:rsid w:val="009C4F1A"/>
    <w:rsid w:val="009C553D"/>
    <w:rsid w:val="009C6D61"/>
    <w:rsid w:val="009C70D9"/>
    <w:rsid w:val="009C785C"/>
    <w:rsid w:val="009C7ADC"/>
    <w:rsid w:val="009D0B81"/>
    <w:rsid w:val="009D1DC5"/>
    <w:rsid w:val="009D2219"/>
    <w:rsid w:val="009D373D"/>
    <w:rsid w:val="009D3A7A"/>
    <w:rsid w:val="009D3D30"/>
    <w:rsid w:val="009D3EE0"/>
    <w:rsid w:val="009D4247"/>
    <w:rsid w:val="009D60F2"/>
    <w:rsid w:val="009E1A71"/>
    <w:rsid w:val="009E3874"/>
    <w:rsid w:val="009E591A"/>
    <w:rsid w:val="009E5D85"/>
    <w:rsid w:val="009E66D3"/>
    <w:rsid w:val="009F004C"/>
    <w:rsid w:val="009F1772"/>
    <w:rsid w:val="009F1A85"/>
    <w:rsid w:val="009F32B4"/>
    <w:rsid w:val="009F359B"/>
    <w:rsid w:val="009F789A"/>
    <w:rsid w:val="00A0043A"/>
    <w:rsid w:val="00A0088C"/>
    <w:rsid w:val="00A02EF1"/>
    <w:rsid w:val="00A0456F"/>
    <w:rsid w:val="00A05C71"/>
    <w:rsid w:val="00A073DB"/>
    <w:rsid w:val="00A07404"/>
    <w:rsid w:val="00A11F2C"/>
    <w:rsid w:val="00A128B6"/>
    <w:rsid w:val="00A148F8"/>
    <w:rsid w:val="00A16E0E"/>
    <w:rsid w:val="00A22226"/>
    <w:rsid w:val="00A23971"/>
    <w:rsid w:val="00A25B5E"/>
    <w:rsid w:val="00A269DD"/>
    <w:rsid w:val="00A27F89"/>
    <w:rsid w:val="00A27FFE"/>
    <w:rsid w:val="00A304E8"/>
    <w:rsid w:val="00A305BE"/>
    <w:rsid w:val="00A30810"/>
    <w:rsid w:val="00A31580"/>
    <w:rsid w:val="00A32D4B"/>
    <w:rsid w:val="00A336B2"/>
    <w:rsid w:val="00A34B79"/>
    <w:rsid w:val="00A35D80"/>
    <w:rsid w:val="00A36A09"/>
    <w:rsid w:val="00A36FCB"/>
    <w:rsid w:val="00A4126B"/>
    <w:rsid w:val="00A41C95"/>
    <w:rsid w:val="00A42C7A"/>
    <w:rsid w:val="00A431AA"/>
    <w:rsid w:val="00A43C47"/>
    <w:rsid w:val="00A4558B"/>
    <w:rsid w:val="00A4658B"/>
    <w:rsid w:val="00A46AA4"/>
    <w:rsid w:val="00A46D01"/>
    <w:rsid w:val="00A5096D"/>
    <w:rsid w:val="00A525AB"/>
    <w:rsid w:val="00A52D76"/>
    <w:rsid w:val="00A53678"/>
    <w:rsid w:val="00A56D5F"/>
    <w:rsid w:val="00A6023A"/>
    <w:rsid w:val="00A606A6"/>
    <w:rsid w:val="00A620A4"/>
    <w:rsid w:val="00A630B5"/>
    <w:rsid w:val="00A645FB"/>
    <w:rsid w:val="00A67A9A"/>
    <w:rsid w:val="00A67C60"/>
    <w:rsid w:val="00A707FC"/>
    <w:rsid w:val="00A714A7"/>
    <w:rsid w:val="00A71E59"/>
    <w:rsid w:val="00A74EE6"/>
    <w:rsid w:val="00A75992"/>
    <w:rsid w:val="00A809D7"/>
    <w:rsid w:val="00A81341"/>
    <w:rsid w:val="00A8610B"/>
    <w:rsid w:val="00A868D4"/>
    <w:rsid w:val="00A8710E"/>
    <w:rsid w:val="00A87282"/>
    <w:rsid w:val="00A90857"/>
    <w:rsid w:val="00A91FCE"/>
    <w:rsid w:val="00A94192"/>
    <w:rsid w:val="00A943A0"/>
    <w:rsid w:val="00AA084E"/>
    <w:rsid w:val="00AA1D5C"/>
    <w:rsid w:val="00AA2C18"/>
    <w:rsid w:val="00AA5E77"/>
    <w:rsid w:val="00AA6BCC"/>
    <w:rsid w:val="00AB032E"/>
    <w:rsid w:val="00AB0B3C"/>
    <w:rsid w:val="00AB1678"/>
    <w:rsid w:val="00AB1860"/>
    <w:rsid w:val="00AB25CA"/>
    <w:rsid w:val="00AB50F3"/>
    <w:rsid w:val="00AB524B"/>
    <w:rsid w:val="00AB545C"/>
    <w:rsid w:val="00AB5B61"/>
    <w:rsid w:val="00AB725F"/>
    <w:rsid w:val="00AC1444"/>
    <w:rsid w:val="00AC2254"/>
    <w:rsid w:val="00AC78B0"/>
    <w:rsid w:val="00AD2963"/>
    <w:rsid w:val="00AD3E54"/>
    <w:rsid w:val="00AD4B8B"/>
    <w:rsid w:val="00AD4D05"/>
    <w:rsid w:val="00AD553F"/>
    <w:rsid w:val="00AD62C3"/>
    <w:rsid w:val="00AD78E8"/>
    <w:rsid w:val="00AD7E5E"/>
    <w:rsid w:val="00AE095F"/>
    <w:rsid w:val="00AE11AA"/>
    <w:rsid w:val="00AE73CC"/>
    <w:rsid w:val="00AE7D88"/>
    <w:rsid w:val="00AF05AB"/>
    <w:rsid w:val="00AF579C"/>
    <w:rsid w:val="00AF5955"/>
    <w:rsid w:val="00AF64EC"/>
    <w:rsid w:val="00AF6D75"/>
    <w:rsid w:val="00AF7A06"/>
    <w:rsid w:val="00B00225"/>
    <w:rsid w:val="00B0170D"/>
    <w:rsid w:val="00B01BA8"/>
    <w:rsid w:val="00B028E3"/>
    <w:rsid w:val="00B0294B"/>
    <w:rsid w:val="00B02953"/>
    <w:rsid w:val="00B04763"/>
    <w:rsid w:val="00B05B61"/>
    <w:rsid w:val="00B07C52"/>
    <w:rsid w:val="00B13CF5"/>
    <w:rsid w:val="00B16EAC"/>
    <w:rsid w:val="00B174AC"/>
    <w:rsid w:val="00B21C63"/>
    <w:rsid w:val="00B23401"/>
    <w:rsid w:val="00B24C61"/>
    <w:rsid w:val="00B2651F"/>
    <w:rsid w:val="00B27AB6"/>
    <w:rsid w:val="00B27BD5"/>
    <w:rsid w:val="00B3075B"/>
    <w:rsid w:val="00B31098"/>
    <w:rsid w:val="00B31500"/>
    <w:rsid w:val="00B35499"/>
    <w:rsid w:val="00B37E3B"/>
    <w:rsid w:val="00B41B7E"/>
    <w:rsid w:val="00B4327C"/>
    <w:rsid w:val="00B439A1"/>
    <w:rsid w:val="00B43BD6"/>
    <w:rsid w:val="00B43F2D"/>
    <w:rsid w:val="00B45898"/>
    <w:rsid w:val="00B47313"/>
    <w:rsid w:val="00B51DB2"/>
    <w:rsid w:val="00B52E83"/>
    <w:rsid w:val="00B54E64"/>
    <w:rsid w:val="00B567DF"/>
    <w:rsid w:val="00B569A0"/>
    <w:rsid w:val="00B57251"/>
    <w:rsid w:val="00B57AA0"/>
    <w:rsid w:val="00B62F24"/>
    <w:rsid w:val="00B63761"/>
    <w:rsid w:val="00B65851"/>
    <w:rsid w:val="00B65F4F"/>
    <w:rsid w:val="00B660BF"/>
    <w:rsid w:val="00B66AD7"/>
    <w:rsid w:val="00B67FDB"/>
    <w:rsid w:val="00B70881"/>
    <w:rsid w:val="00B72B65"/>
    <w:rsid w:val="00B73444"/>
    <w:rsid w:val="00B74C94"/>
    <w:rsid w:val="00B75A34"/>
    <w:rsid w:val="00B75C76"/>
    <w:rsid w:val="00B77302"/>
    <w:rsid w:val="00B813DA"/>
    <w:rsid w:val="00B82648"/>
    <w:rsid w:val="00B8296B"/>
    <w:rsid w:val="00B82FAC"/>
    <w:rsid w:val="00B85C7C"/>
    <w:rsid w:val="00B867C6"/>
    <w:rsid w:val="00B90634"/>
    <w:rsid w:val="00B920F7"/>
    <w:rsid w:val="00B937D2"/>
    <w:rsid w:val="00B966CD"/>
    <w:rsid w:val="00B9692F"/>
    <w:rsid w:val="00B96CC3"/>
    <w:rsid w:val="00BA0EBA"/>
    <w:rsid w:val="00BA134F"/>
    <w:rsid w:val="00BA1F86"/>
    <w:rsid w:val="00BA2224"/>
    <w:rsid w:val="00BA3D4C"/>
    <w:rsid w:val="00BA5A00"/>
    <w:rsid w:val="00BB184E"/>
    <w:rsid w:val="00BB2061"/>
    <w:rsid w:val="00BB4C69"/>
    <w:rsid w:val="00BB6480"/>
    <w:rsid w:val="00BB741C"/>
    <w:rsid w:val="00BB7CE0"/>
    <w:rsid w:val="00BC2A39"/>
    <w:rsid w:val="00BC3C2C"/>
    <w:rsid w:val="00BC6A70"/>
    <w:rsid w:val="00BD0047"/>
    <w:rsid w:val="00BD1C27"/>
    <w:rsid w:val="00BD320F"/>
    <w:rsid w:val="00BD678F"/>
    <w:rsid w:val="00BD7D07"/>
    <w:rsid w:val="00BE13D7"/>
    <w:rsid w:val="00BE2A10"/>
    <w:rsid w:val="00BE33AD"/>
    <w:rsid w:val="00BE38B9"/>
    <w:rsid w:val="00BE4AAC"/>
    <w:rsid w:val="00BE51B7"/>
    <w:rsid w:val="00BF0B2B"/>
    <w:rsid w:val="00BF2BD8"/>
    <w:rsid w:val="00BF3B47"/>
    <w:rsid w:val="00BF3D1F"/>
    <w:rsid w:val="00BF7021"/>
    <w:rsid w:val="00C00D08"/>
    <w:rsid w:val="00C04023"/>
    <w:rsid w:val="00C056F8"/>
    <w:rsid w:val="00C060BA"/>
    <w:rsid w:val="00C06B8E"/>
    <w:rsid w:val="00C06C3F"/>
    <w:rsid w:val="00C06FA0"/>
    <w:rsid w:val="00C06FE1"/>
    <w:rsid w:val="00C07660"/>
    <w:rsid w:val="00C07FF0"/>
    <w:rsid w:val="00C102D2"/>
    <w:rsid w:val="00C10797"/>
    <w:rsid w:val="00C10985"/>
    <w:rsid w:val="00C13359"/>
    <w:rsid w:val="00C15753"/>
    <w:rsid w:val="00C2029A"/>
    <w:rsid w:val="00C221C8"/>
    <w:rsid w:val="00C222BB"/>
    <w:rsid w:val="00C26664"/>
    <w:rsid w:val="00C32E87"/>
    <w:rsid w:val="00C33862"/>
    <w:rsid w:val="00C3482D"/>
    <w:rsid w:val="00C36922"/>
    <w:rsid w:val="00C37E22"/>
    <w:rsid w:val="00C37E73"/>
    <w:rsid w:val="00C42CC0"/>
    <w:rsid w:val="00C4328E"/>
    <w:rsid w:val="00C43B9D"/>
    <w:rsid w:val="00C46F88"/>
    <w:rsid w:val="00C51A8B"/>
    <w:rsid w:val="00C526DB"/>
    <w:rsid w:val="00C52DAF"/>
    <w:rsid w:val="00C53E15"/>
    <w:rsid w:val="00C540F8"/>
    <w:rsid w:val="00C56CCB"/>
    <w:rsid w:val="00C57B30"/>
    <w:rsid w:val="00C60AEB"/>
    <w:rsid w:val="00C610FB"/>
    <w:rsid w:val="00C61C43"/>
    <w:rsid w:val="00C61E1C"/>
    <w:rsid w:val="00C64C38"/>
    <w:rsid w:val="00C64F0C"/>
    <w:rsid w:val="00C6562A"/>
    <w:rsid w:val="00C65BD1"/>
    <w:rsid w:val="00C66C6F"/>
    <w:rsid w:val="00C719FB"/>
    <w:rsid w:val="00C7264C"/>
    <w:rsid w:val="00C74CB8"/>
    <w:rsid w:val="00C7507C"/>
    <w:rsid w:val="00C75DFC"/>
    <w:rsid w:val="00C75FA4"/>
    <w:rsid w:val="00C806A8"/>
    <w:rsid w:val="00C853BF"/>
    <w:rsid w:val="00C86C0E"/>
    <w:rsid w:val="00C871D8"/>
    <w:rsid w:val="00C879BD"/>
    <w:rsid w:val="00C90CA1"/>
    <w:rsid w:val="00C91990"/>
    <w:rsid w:val="00C93C07"/>
    <w:rsid w:val="00C942F2"/>
    <w:rsid w:val="00C95555"/>
    <w:rsid w:val="00CA10E5"/>
    <w:rsid w:val="00CA2308"/>
    <w:rsid w:val="00CA36F7"/>
    <w:rsid w:val="00CA3E44"/>
    <w:rsid w:val="00CA526B"/>
    <w:rsid w:val="00CA68A2"/>
    <w:rsid w:val="00CA6EF4"/>
    <w:rsid w:val="00CB085B"/>
    <w:rsid w:val="00CB20F0"/>
    <w:rsid w:val="00CB324B"/>
    <w:rsid w:val="00CB585F"/>
    <w:rsid w:val="00CB6E3B"/>
    <w:rsid w:val="00CB733E"/>
    <w:rsid w:val="00CC1D64"/>
    <w:rsid w:val="00CC1FBF"/>
    <w:rsid w:val="00CC20B8"/>
    <w:rsid w:val="00CC394E"/>
    <w:rsid w:val="00CC5E64"/>
    <w:rsid w:val="00CD2681"/>
    <w:rsid w:val="00CD5304"/>
    <w:rsid w:val="00CD72D0"/>
    <w:rsid w:val="00CE0590"/>
    <w:rsid w:val="00CE10DF"/>
    <w:rsid w:val="00CE224B"/>
    <w:rsid w:val="00CE3D85"/>
    <w:rsid w:val="00CE7CA6"/>
    <w:rsid w:val="00CF091B"/>
    <w:rsid w:val="00CF2C28"/>
    <w:rsid w:val="00CF2F8A"/>
    <w:rsid w:val="00CF3952"/>
    <w:rsid w:val="00CF3CD6"/>
    <w:rsid w:val="00CF403C"/>
    <w:rsid w:val="00CF54FB"/>
    <w:rsid w:val="00CF56DB"/>
    <w:rsid w:val="00CF5F44"/>
    <w:rsid w:val="00CF65BA"/>
    <w:rsid w:val="00CF7952"/>
    <w:rsid w:val="00D01018"/>
    <w:rsid w:val="00D010AD"/>
    <w:rsid w:val="00D045DD"/>
    <w:rsid w:val="00D12466"/>
    <w:rsid w:val="00D13556"/>
    <w:rsid w:val="00D14EA4"/>
    <w:rsid w:val="00D14EF1"/>
    <w:rsid w:val="00D2133B"/>
    <w:rsid w:val="00D22453"/>
    <w:rsid w:val="00D254AC"/>
    <w:rsid w:val="00D25643"/>
    <w:rsid w:val="00D26685"/>
    <w:rsid w:val="00D30620"/>
    <w:rsid w:val="00D31AFF"/>
    <w:rsid w:val="00D33C75"/>
    <w:rsid w:val="00D3423E"/>
    <w:rsid w:val="00D34F90"/>
    <w:rsid w:val="00D35F02"/>
    <w:rsid w:val="00D41AB5"/>
    <w:rsid w:val="00D42212"/>
    <w:rsid w:val="00D43249"/>
    <w:rsid w:val="00D43C77"/>
    <w:rsid w:val="00D447DE"/>
    <w:rsid w:val="00D44E90"/>
    <w:rsid w:val="00D44F96"/>
    <w:rsid w:val="00D45BD8"/>
    <w:rsid w:val="00D6004D"/>
    <w:rsid w:val="00D60E8C"/>
    <w:rsid w:val="00D633D1"/>
    <w:rsid w:val="00D640B5"/>
    <w:rsid w:val="00D65A79"/>
    <w:rsid w:val="00D66667"/>
    <w:rsid w:val="00D73991"/>
    <w:rsid w:val="00D748F1"/>
    <w:rsid w:val="00D76297"/>
    <w:rsid w:val="00D766CC"/>
    <w:rsid w:val="00D83229"/>
    <w:rsid w:val="00D844D6"/>
    <w:rsid w:val="00D87913"/>
    <w:rsid w:val="00D90971"/>
    <w:rsid w:val="00D90BD6"/>
    <w:rsid w:val="00D947B7"/>
    <w:rsid w:val="00D95AA8"/>
    <w:rsid w:val="00D96D52"/>
    <w:rsid w:val="00DA1B46"/>
    <w:rsid w:val="00DA32BD"/>
    <w:rsid w:val="00DA433C"/>
    <w:rsid w:val="00DA5065"/>
    <w:rsid w:val="00DA6F1F"/>
    <w:rsid w:val="00DA720B"/>
    <w:rsid w:val="00DA7620"/>
    <w:rsid w:val="00DB0765"/>
    <w:rsid w:val="00DB2DC9"/>
    <w:rsid w:val="00DB3A7D"/>
    <w:rsid w:val="00DB48F2"/>
    <w:rsid w:val="00DB4B0D"/>
    <w:rsid w:val="00DB4B8E"/>
    <w:rsid w:val="00DB7863"/>
    <w:rsid w:val="00DC22A6"/>
    <w:rsid w:val="00DC37B2"/>
    <w:rsid w:val="00DC5A7C"/>
    <w:rsid w:val="00DC5B9F"/>
    <w:rsid w:val="00DC5BB6"/>
    <w:rsid w:val="00DC5D96"/>
    <w:rsid w:val="00DC679E"/>
    <w:rsid w:val="00DC69F9"/>
    <w:rsid w:val="00DC7208"/>
    <w:rsid w:val="00DC726B"/>
    <w:rsid w:val="00DC7D37"/>
    <w:rsid w:val="00DD02AD"/>
    <w:rsid w:val="00DD031C"/>
    <w:rsid w:val="00DD07BF"/>
    <w:rsid w:val="00DD082E"/>
    <w:rsid w:val="00DD0E6B"/>
    <w:rsid w:val="00DD1B27"/>
    <w:rsid w:val="00DD4170"/>
    <w:rsid w:val="00DD4A4F"/>
    <w:rsid w:val="00DD55AA"/>
    <w:rsid w:val="00DD57C1"/>
    <w:rsid w:val="00DD6B55"/>
    <w:rsid w:val="00DD722A"/>
    <w:rsid w:val="00DD7A0B"/>
    <w:rsid w:val="00DE1F80"/>
    <w:rsid w:val="00DE2651"/>
    <w:rsid w:val="00DE33A1"/>
    <w:rsid w:val="00DE5E8E"/>
    <w:rsid w:val="00DE5F8E"/>
    <w:rsid w:val="00DE6165"/>
    <w:rsid w:val="00DF1F1A"/>
    <w:rsid w:val="00DF222C"/>
    <w:rsid w:val="00DF2FBE"/>
    <w:rsid w:val="00DF5936"/>
    <w:rsid w:val="00DF5FEB"/>
    <w:rsid w:val="00DF7A50"/>
    <w:rsid w:val="00DF7E11"/>
    <w:rsid w:val="00E005DF"/>
    <w:rsid w:val="00E02A5F"/>
    <w:rsid w:val="00E04112"/>
    <w:rsid w:val="00E04807"/>
    <w:rsid w:val="00E065AC"/>
    <w:rsid w:val="00E10581"/>
    <w:rsid w:val="00E1114C"/>
    <w:rsid w:val="00E125E2"/>
    <w:rsid w:val="00E12C8B"/>
    <w:rsid w:val="00E12E15"/>
    <w:rsid w:val="00E1317F"/>
    <w:rsid w:val="00E135C7"/>
    <w:rsid w:val="00E15DEC"/>
    <w:rsid w:val="00E213F4"/>
    <w:rsid w:val="00E267A2"/>
    <w:rsid w:val="00E27DDD"/>
    <w:rsid w:val="00E32065"/>
    <w:rsid w:val="00E3617B"/>
    <w:rsid w:val="00E40571"/>
    <w:rsid w:val="00E40B96"/>
    <w:rsid w:val="00E40C8B"/>
    <w:rsid w:val="00E45713"/>
    <w:rsid w:val="00E4674D"/>
    <w:rsid w:val="00E477C5"/>
    <w:rsid w:val="00E508B3"/>
    <w:rsid w:val="00E52A14"/>
    <w:rsid w:val="00E60542"/>
    <w:rsid w:val="00E60F0E"/>
    <w:rsid w:val="00E63240"/>
    <w:rsid w:val="00E662DD"/>
    <w:rsid w:val="00E6789F"/>
    <w:rsid w:val="00E67ADD"/>
    <w:rsid w:val="00E74DD6"/>
    <w:rsid w:val="00E76926"/>
    <w:rsid w:val="00E773F6"/>
    <w:rsid w:val="00E77F8F"/>
    <w:rsid w:val="00E80E3C"/>
    <w:rsid w:val="00E81031"/>
    <w:rsid w:val="00E81932"/>
    <w:rsid w:val="00E83510"/>
    <w:rsid w:val="00E84129"/>
    <w:rsid w:val="00E85273"/>
    <w:rsid w:val="00E875C4"/>
    <w:rsid w:val="00E90CE0"/>
    <w:rsid w:val="00E9272F"/>
    <w:rsid w:val="00E93A00"/>
    <w:rsid w:val="00E93AD6"/>
    <w:rsid w:val="00E93BC7"/>
    <w:rsid w:val="00E94E33"/>
    <w:rsid w:val="00E95D63"/>
    <w:rsid w:val="00E9637E"/>
    <w:rsid w:val="00E96E45"/>
    <w:rsid w:val="00E96E4C"/>
    <w:rsid w:val="00EA4518"/>
    <w:rsid w:val="00EA4CA8"/>
    <w:rsid w:val="00EA507C"/>
    <w:rsid w:val="00EA61F9"/>
    <w:rsid w:val="00EA6225"/>
    <w:rsid w:val="00EB002E"/>
    <w:rsid w:val="00EB09C3"/>
    <w:rsid w:val="00EB23D4"/>
    <w:rsid w:val="00EB3E67"/>
    <w:rsid w:val="00EB59B4"/>
    <w:rsid w:val="00EB59BC"/>
    <w:rsid w:val="00EB6C6A"/>
    <w:rsid w:val="00EC03B2"/>
    <w:rsid w:val="00EC1FC0"/>
    <w:rsid w:val="00EC2DD8"/>
    <w:rsid w:val="00EC4BF9"/>
    <w:rsid w:val="00EC73D8"/>
    <w:rsid w:val="00ED0B44"/>
    <w:rsid w:val="00ED16A4"/>
    <w:rsid w:val="00ED1F1A"/>
    <w:rsid w:val="00ED467C"/>
    <w:rsid w:val="00ED569D"/>
    <w:rsid w:val="00ED60CE"/>
    <w:rsid w:val="00ED6C37"/>
    <w:rsid w:val="00EE0EAE"/>
    <w:rsid w:val="00EE1492"/>
    <w:rsid w:val="00EE1926"/>
    <w:rsid w:val="00EE1C3E"/>
    <w:rsid w:val="00EE287F"/>
    <w:rsid w:val="00EE2A45"/>
    <w:rsid w:val="00EE2B7A"/>
    <w:rsid w:val="00EE35FB"/>
    <w:rsid w:val="00EE370E"/>
    <w:rsid w:val="00EE61D8"/>
    <w:rsid w:val="00EE6281"/>
    <w:rsid w:val="00EE6BA6"/>
    <w:rsid w:val="00EE7220"/>
    <w:rsid w:val="00EF0C46"/>
    <w:rsid w:val="00EF0D98"/>
    <w:rsid w:val="00EF178F"/>
    <w:rsid w:val="00EF1D5E"/>
    <w:rsid w:val="00EF2084"/>
    <w:rsid w:val="00EF30E4"/>
    <w:rsid w:val="00EF3B68"/>
    <w:rsid w:val="00EF5C86"/>
    <w:rsid w:val="00EF728D"/>
    <w:rsid w:val="00EF7D85"/>
    <w:rsid w:val="00F01426"/>
    <w:rsid w:val="00F01481"/>
    <w:rsid w:val="00F01815"/>
    <w:rsid w:val="00F01BDE"/>
    <w:rsid w:val="00F036D0"/>
    <w:rsid w:val="00F03A2C"/>
    <w:rsid w:val="00F076F2"/>
    <w:rsid w:val="00F10017"/>
    <w:rsid w:val="00F104C4"/>
    <w:rsid w:val="00F10E92"/>
    <w:rsid w:val="00F12243"/>
    <w:rsid w:val="00F1762A"/>
    <w:rsid w:val="00F2027D"/>
    <w:rsid w:val="00F237A5"/>
    <w:rsid w:val="00F2708F"/>
    <w:rsid w:val="00F27B12"/>
    <w:rsid w:val="00F27DEB"/>
    <w:rsid w:val="00F30713"/>
    <w:rsid w:val="00F319AD"/>
    <w:rsid w:val="00F32364"/>
    <w:rsid w:val="00F405BF"/>
    <w:rsid w:val="00F40F64"/>
    <w:rsid w:val="00F423A7"/>
    <w:rsid w:val="00F43E9F"/>
    <w:rsid w:val="00F468BE"/>
    <w:rsid w:val="00F52D99"/>
    <w:rsid w:val="00F5306D"/>
    <w:rsid w:val="00F53ACD"/>
    <w:rsid w:val="00F53CAB"/>
    <w:rsid w:val="00F5422D"/>
    <w:rsid w:val="00F573F9"/>
    <w:rsid w:val="00F6097B"/>
    <w:rsid w:val="00F61183"/>
    <w:rsid w:val="00F62C13"/>
    <w:rsid w:val="00F63D2D"/>
    <w:rsid w:val="00F65D1D"/>
    <w:rsid w:val="00F66683"/>
    <w:rsid w:val="00F66879"/>
    <w:rsid w:val="00F66D98"/>
    <w:rsid w:val="00F67BB3"/>
    <w:rsid w:val="00F67F22"/>
    <w:rsid w:val="00F70589"/>
    <w:rsid w:val="00F73394"/>
    <w:rsid w:val="00F74B4A"/>
    <w:rsid w:val="00F752F2"/>
    <w:rsid w:val="00F77EE6"/>
    <w:rsid w:val="00F80661"/>
    <w:rsid w:val="00F86B4F"/>
    <w:rsid w:val="00F94349"/>
    <w:rsid w:val="00F94509"/>
    <w:rsid w:val="00F94DBC"/>
    <w:rsid w:val="00F960D1"/>
    <w:rsid w:val="00F9691C"/>
    <w:rsid w:val="00F96F19"/>
    <w:rsid w:val="00FA1661"/>
    <w:rsid w:val="00FA1FD7"/>
    <w:rsid w:val="00FA386B"/>
    <w:rsid w:val="00FA3938"/>
    <w:rsid w:val="00FA50B2"/>
    <w:rsid w:val="00FA6BB0"/>
    <w:rsid w:val="00FB1D03"/>
    <w:rsid w:val="00FB42BE"/>
    <w:rsid w:val="00FB4CD5"/>
    <w:rsid w:val="00FB677C"/>
    <w:rsid w:val="00FB72F2"/>
    <w:rsid w:val="00FB73EA"/>
    <w:rsid w:val="00FB7C89"/>
    <w:rsid w:val="00FC047E"/>
    <w:rsid w:val="00FC1529"/>
    <w:rsid w:val="00FC2262"/>
    <w:rsid w:val="00FC6618"/>
    <w:rsid w:val="00FC6FB5"/>
    <w:rsid w:val="00FC7241"/>
    <w:rsid w:val="00FC73A2"/>
    <w:rsid w:val="00FD1FF9"/>
    <w:rsid w:val="00FD2F1A"/>
    <w:rsid w:val="00FD4317"/>
    <w:rsid w:val="00FD6693"/>
    <w:rsid w:val="00FD6741"/>
    <w:rsid w:val="00FE0C8F"/>
    <w:rsid w:val="00FE1052"/>
    <w:rsid w:val="00FE18E7"/>
    <w:rsid w:val="00FE238D"/>
    <w:rsid w:val="00FE45C2"/>
    <w:rsid w:val="00FE5076"/>
    <w:rsid w:val="00FF0054"/>
    <w:rsid w:val="00FF3810"/>
    <w:rsid w:val="00FF3DFD"/>
    <w:rsid w:val="00FF409C"/>
    <w:rsid w:val="00FF575A"/>
    <w:rsid w:val="00FF5D20"/>
    <w:rsid w:val="00FF62F1"/>
    <w:rsid w:val="00F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421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7CE0"/>
    <w:rPr>
      <w:rFonts w:ascii="Times New Roman" w:eastAsia="Times New Roman" w:hAnsi="Times New Roman" w:cs="Times New Roman"/>
    </w:rPr>
  </w:style>
  <w:style w:type="paragraph" w:styleId="Heading1">
    <w:name w:val="heading 1"/>
    <w:basedOn w:val="Normal"/>
    <w:next w:val="Normal"/>
    <w:link w:val="Heading1Char"/>
    <w:uiPriority w:val="9"/>
    <w:qFormat/>
    <w:rsid w:val="0086522A"/>
    <w:pPr>
      <w:keepNext/>
      <w:spacing w:line="480" w:lineRule="auto"/>
      <w:jc w:val="center"/>
      <w:outlineLvl w:val="0"/>
    </w:pPr>
    <w:rPr>
      <w:b/>
    </w:rPr>
  </w:style>
  <w:style w:type="paragraph" w:styleId="Heading2">
    <w:name w:val="heading 2"/>
    <w:basedOn w:val="Normal"/>
    <w:next w:val="Normal"/>
    <w:link w:val="Heading2Char"/>
    <w:uiPriority w:val="9"/>
    <w:unhideWhenUsed/>
    <w:qFormat/>
    <w:rsid w:val="0086522A"/>
    <w:pPr>
      <w:keepNext/>
      <w:spacing w:line="480" w:lineRule="auto"/>
      <w:outlineLvl w:val="1"/>
    </w:pPr>
    <w:rPr>
      <w:b/>
      <w:bCs/>
    </w:rPr>
  </w:style>
  <w:style w:type="paragraph" w:styleId="Heading3">
    <w:name w:val="heading 3"/>
    <w:basedOn w:val="Normal"/>
    <w:next w:val="Normal"/>
    <w:link w:val="Heading3Char"/>
    <w:uiPriority w:val="9"/>
    <w:unhideWhenUsed/>
    <w:qFormat/>
    <w:rsid w:val="0086522A"/>
    <w:pPr>
      <w:keepNext/>
      <w:spacing w:line="480" w:lineRule="auto"/>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2A"/>
    <w:rPr>
      <w:rFonts w:ascii="Times New Roman" w:eastAsiaTheme="minorEastAsia" w:hAnsi="Times New Roman" w:cs="Times New Roman"/>
      <w:b/>
      <w:lang w:eastAsia="ja-JP"/>
    </w:rPr>
  </w:style>
  <w:style w:type="character" w:customStyle="1" w:styleId="Heading2Char">
    <w:name w:val="Heading 2 Char"/>
    <w:basedOn w:val="DefaultParagraphFont"/>
    <w:link w:val="Heading2"/>
    <w:uiPriority w:val="9"/>
    <w:rsid w:val="0086522A"/>
    <w:rPr>
      <w:rFonts w:ascii="Times New Roman" w:eastAsiaTheme="minorEastAsia" w:hAnsi="Times New Roman" w:cs="Times New Roman"/>
      <w:b/>
      <w:bCs/>
      <w:lang w:eastAsia="ja-JP"/>
    </w:rPr>
  </w:style>
  <w:style w:type="character" w:customStyle="1" w:styleId="Heading3Char">
    <w:name w:val="Heading 3 Char"/>
    <w:basedOn w:val="DefaultParagraphFont"/>
    <w:link w:val="Heading3"/>
    <w:uiPriority w:val="9"/>
    <w:rsid w:val="0086522A"/>
    <w:rPr>
      <w:rFonts w:ascii="Times New Roman" w:eastAsiaTheme="minorEastAsia" w:hAnsi="Times New Roman" w:cs="Times New Roman"/>
      <w:b/>
      <w:bCs/>
      <w:i/>
      <w:iCs/>
      <w:lang w:eastAsia="ja-JP"/>
    </w:rPr>
  </w:style>
  <w:style w:type="paragraph" w:styleId="BalloonText">
    <w:name w:val="Balloon Text"/>
    <w:basedOn w:val="Normal"/>
    <w:link w:val="BalloonTextChar"/>
    <w:uiPriority w:val="99"/>
    <w:semiHidden/>
    <w:unhideWhenUsed/>
    <w:rsid w:val="0086522A"/>
    <w:rPr>
      <w:sz w:val="18"/>
      <w:szCs w:val="18"/>
    </w:rPr>
  </w:style>
  <w:style w:type="character" w:customStyle="1" w:styleId="BalloonTextChar">
    <w:name w:val="Balloon Text Char"/>
    <w:basedOn w:val="DefaultParagraphFont"/>
    <w:link w:val="BalloonText"/>
    <w:uiPriority w:val="99"/>
    <w:semiHidden/>
    <w:rsid w:val="0086522A"/>
    <w:rPr>
      <w:rFonts w:ascii="Times New Roman" w:eastAsiaTheme="minorEastAsia" w:hAnsi="Times New Roman" w:cs="Times New Roman"/>
      <w:sz w:val="18"/>
      <w:szCs w:val="18"/>
      <w:lang w:eastAsia="ja-JP"/>
    </w:rPr>
  </w:style>
  <w:style w:type="table" w:styleId="TableGrid">
    <w:name w:val="Table Grid"/>
    <w:basedOn w:val="TableNormal"/>
    <w:uiPriority w:val="39"/>
    <w:rsid w:val="0086522A"/>
    <w:rPr>
      <w:rFonts w:ascii="Times New Roman" w:eastAsiaTheme="minorEastAsia"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522A"/>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86522A"/>
    <w:rPr>
      <w:sz w:val="20"/>
      <w:szCs w:val="20"/>
    </w:rPr>
  </w:style>
  <w:style w:type="character" w:customStyle="1" w:styleId="FootnoteTextChar">
    <w:name w:val="Footnote Text Char"/>
    <w:basedOn w:val="DefaultParagraphFont"/>
    <w:link w:val="FootnoteText"/>
    <w:uiPriority w:val="99"/>
    <w:rsid w:val="0086522A"/>
    <w:rPr>
      <w:rFonts w:eastAsiaTheme="minorEastAsia"/>
      <w:sz w:val="20"/>
      <w:szCs w:val="20"/>
      <w:lang w:eastAsia="ja-JP"/>
    </w:rPr>
  </w:style>
  <w:style w:type="character" w:styleId="FootnoteReference">
    <w:name w:val="footnote reference"/>
    <w:basedOn w:val="DefaultParagraphFont"/>
    <w:uiPriority w:val="99"/>
    <w:semiHidden/>
    <w:unhideWhenUsed/>
    <w:rsid w:val="0086522A"/>
    <w:rPr>
      <w:vertAlign w:val="superscript"/>
    </w:rPr>
  </w:style>
  <w:style w:type="character" w:styleId="CommentReference">
    <w:name w:val="annotation reference"/>
    <w:basedOn w:val="DefaultParagraphFont"/>
    <w:uiPriority w:val="99"/>
    <w:semiHidden/>
    <w:unhideWhenUsed/>
    <w:rsid w:val="0086522A"/>
    <w:rPr>
      <w:sz w:val="18"/>
      <w:szCs w:val="18"/>
    </w:rPr>
  </w:style>
  <w:style w:type="paragraph" w:styleId="CommentText">
    <w:name w:val="annotation text"/>
    <w:basedOn w:val="Normal"/>
    <w:link w:val="CommentTextChar"/>
    <w:uiPriority w:val="99"/>
    <w:unhideWhenUsed/>
    <w:rsid w:val="0086522A"/>
    <w:rPr>
      <w:rFonts w:ascii="Helvetica Neue Light" w:hAnsi="Helvetica Neue Light" w:cs="Times New Roman (Body CS)"/>
      <w:lang w:val="en-GB" w:eastAsia="ko-KR"/>
    </w:rPr>
  </w:style>
  <w:style w:type="character" w:customStyle="1" w:styleId="CommentTextChar">
    <w:name w:val="Comment Text Char"/>
    <w:basedOn w:val="DefaultParagraphFont"/>
    <w:link w:val="CommentText"/>
    <w:uiPriority w:val="99"/>
    <w:rsid w:val="0086522A"/>
    <w:rPr>
      <w:rFonts w:ascii="Helvetica Neue Light" w:eastAsiaTheme="minorEastAsia" w:hAnsi="Helvetica Neue Light" w:cs="Times New Roman (Body CS)"/>
      <w:lang w:val="en-GB" w:eastAsia="ko-KR"/>
    </w:rPr>
  </w:style>
  <w:style w:type="paragraph" w:styleId="CommentSubject">
    <w:name w:val="annotation subject"/>
    <w:basedOn w:val="CommentText"/>
    <w:next w:val="CommentText"/>
    <w:link w:val="CommentSubjectChar"/>
    <w:uiPriority w:val="99"/>
    <w:semiHidden/>
    <w:unhideWhenUsed/>
    <w:rsid w:val="0086522A"/>
    <w:rPr>
      <w:b/>
      <w:bCs/>
      <w:sz w:val="20"/>
      <w:szCs w:val="20"/>
      <w:lang w:eastAsia="ja-JP"/>
    </w:rPr>
  </w:style>
  <w:style w:type="character" w:customStyle="1" w:styleId="CommentSubjectChar">
    <w:name w:val="Comment Subject Char"/>
    <w:basedOn w:val="CommentTextChar"/>
    <w:link w:val="CommentSubject"/>
    <w:uiPriority w:val="99"/>
    <w:semiHidden/>
    <w:rsid w:val="0086522A"/>
    <w:rPr>
      <w:rFonts w:ascii="Helvetica Neue Light" w:eastAsiaTheme="minorEastAsia" w:hAnsi="Helvetica Neue Light" w:cs="Times New Roman (Body CS)"/>
      <w:b/>
      <w:bCs/>
      <w:sz w:val="20"/>
      <w:szCs w:val="20"/>
      <w:lang w:val="en-GB" w:eastAsia="ja-JP"/>
    </w:rPr>
  </w:style>
  <w:style w:type="paragraph" w:styleId="Header">
    <w:name w:val="header"/>
    <w:basedOn w:val="Normal"/>
    <w:link w:val="HeaderChar"/>
    <w:uiPriority w:val="99"/>
    <w:unhideWhenUsed/>
    <w:rsid w:val="0086522A"/>
    <w:pPr>
      <w:tabs>
        <w:tab w:val="center" w:pos="4320"/>
        <w:tab w:val="right" w:pos="8640"/>
      </w:tabs>
    </w:pPr>
  </w:style>
  <w:style w:type="character" w:customStyle="1" w:styleId="HeaderChar">
    <w:name w:val="Header Char"/>
    <w:basedOn w:val="DefaultParagraphFont"/>
    <w:link w:val="Header"/>
    <w:uiPriority w:val="99"/>
    <w:rsid w:val="0086522A"/>
    <w:rPr>
      <w:rFonts w:eastAsiaTheme="minorEastAsia"/>
      <w:lang w:eastAsia="ja-JP"/>
    </w:rPr>
  </w:style>
  <w:style w:type="character" w:styleId="PageNumber">
    <w:name w:val="page number"/>
    <w:basedOn w:val="DefaultParagraphFont"/>
    <w:uiPriority w:val="99"/>
    <w:semiHidden/>
    <w:unhideWhenUsed/>
    <w:rsid w:val="0086522A"/>
  </w:style>
  <w:style w:type="paragraph" w:styleId="Footer">
    <w:name w:val="footer"/>
    <w:basedOn w:val="Normal"/>
    <w:link w:val="FooterChar"/>
    <w:uiPriority w:val="99"/>
    <w:unhideWhenUsed/>
    <w:rsid w:val="0086522A"/>
    <w:pPr>
      <w:tabs>
        <w:tab w:val="center" w:pos="4320"/>
        <w:tab w:val="right" w:pos="8640"/>
      </w:tabs>
    </w:pPr>
  </w:style>
  <w:style w:type="character" w:customStyle="1" w:styleId="FooterChar">
    <w:name w:val="Footer Char"/>
    <w:basedOn w:val="DefaultParagraphFont"/>
    <w:link w:val="Footer"/>
    <w:uiPriority w:val="99"/>
    <w:rsid w:val="0086522A"/>
    <w:rPr>
      <w:rFonts w:eastAsiaTheme="minorEastAsia"/>
      <w:lang w:eastAsia="ja-JP"/>
    </w:rPr>
  </w:style>
  <w:style w:type="paragraph" w:styleId="Revision">
    <w:name w:val="Revision"/>
    <w:hidden/>
    <w:uiPriority w:val="99"/>
    <w:semiHidden/>
    <w:rsid w:val="0086522A"/>
    <w:rPr>
      <w:rFonts w:eastAsiaTheme="minorEastAsia"/>
      <w:lang w:eastAsia="ja-JP"/>
    </w:rPr>
  </w:style>
  <w:style w:type="paragraph" w:styleId="EndnoteText">
    <w:name w:val="endnote text"/>
    <w:basedOn w:val="Normal"/>
    <w:link w:val="EndnoteTextChar"/>
    <w:uiPriority w:val="99"/>
    <w:unhideWhenUsed/>
    <w:rsid w:val="0086522A"/>
    <w:rPr>
      <w:sz w:val="20"/>
      <w:szCs w:val="20"/>
    </w:rPr>
  </w:style>
  <w:style w:type="character" w:customStyle="1" w:styleId="EndnoteTextChar">
    <w:name w:val="Endnote Text Char"/>
    <w:basedOn w:val="DefaultParagraphFont"/>
    <w:link w:val="EndnoteText"/>
    <w:uiPriority w:val="99"/>
    <w:rsid w:val="0086522A"/>
    <w:rPr>
      <w:rFonts w:eastAsiaTheme="minorEastAsia"/>
      <w:sz w:val="20"/>
      <w:szCs w:val="20"/>
      <w:lang w:eastAsia="ja-JP"/>
    </w:rPr>
  </w:style>
  <w:style w:type="character" w:styleId="EndnoteReference">
    <w:name w:val="endnote reference"/>
    <w:basedOn w:val="DefaultParagraphFont"/>
    <w:uiPriority w:val="99"/>
    <w:semiHidden/>
    <w:unhideWhenUsed/>
    <w:rsid w:val="0086522A"/>
    <w:rPr>
      <w:vertAlign w:val="superscript"/>
    </w:rPr>
  </w:style>
  <w:style w:type="paragraph" w:customStyle="1" w:styleId="EndNoteBibliographyTitle">
    <w:name w:val="EndNote Bibliography Title"/>
    <w:basedOn w:val="Normal"/>
    <w:link w:val="EndNoteBibliographyTitleChar"/>
    <w:rsid w:val="0086522A"/>
    <w:pPr>
      <w:jc w:val="center"/>
    </w:pPr>
  </w:style>
  <w:style w:type="character" w:customStyle="1" w:styleId="EndNoteBibliographyTitleChar">
    <w:name w:val="EndNote Bibliography Title Char"/>
    <w:basedOn w:val="DefaultParagraphFont"/>
    <w:link w:val="EndNoteBibliographyTitle"/>
    <w:rsid w:val="0086522A"/>
    <w:rPr>
      <w:rFonts w:ascii="Times New Roman" w:eastAsiaTheme="minorEastAsia" w:hAnsi="Times New Roman" w:cs="Times New Roman"/>
      <w:lang w:eastAsia="ja-JP"/>
    </w:rPr>
  </w:style>
  <w:style w:type="paragraph" w:customStyle="1" w:styleId="EndNoteBibliography">
    <w:name w:val="EndNote Bibliography"/>
    <w:basedOn w:val="Normal"/>
    <w:link w:val="EndNoteBibliographyChar"/>
    <w:rsid w:val="0086522A"/>
    <w:pPr>
      <w:spacing w:line="480" w:lineRule="auto"/>
    </w:pPr>
  </w:style>
  <w:style w:type="character" w:customStyle="1" w:styleId="EndNoteBibliographyChar">
    <w:name w:val="EndNote Bibliography Char"/>
    <w:basedOn w:val="DefaultParagraphFont"/>
    <w:link w:val="EndNoteBibliography"/>
    <w:rsid w:val="0086522A"/>
    <w:rPr>
      <w:rFonts w:ascii="Times New Roman" w:eastAsiaTheme="minorEastAsia" w:hAnsi="Times New Roman" w:cs="Times New Roman"/>
      <w:lang w:eastAsia="ja-JP"/>
    </w:rPr>
  </w:style>
  <w:style w:type="character" w:styleId="Hyperlink">
    <w:name w:val="Hyperlink"/>
    <w:basedOn w:val="DefaultParagraphFont"/>
    <w:uiPriority w:val="99"/>
    <w:unhideWhenUsed/>
    <w:rsid w:val="0086522A"/>
    <w:rPr>
      <w:color w:val="0563C1" w:themeColor="hyperlink"/>
      <w:u w:val="single"/>
    </w:rPr>
  </w:style>
  <w:style w:type="character" w:customStyle="1" w:styleId="UnresolvedMention1">
    <w:name w:val="Unresolved Mention1"/>
    <w:basedOn w:val="DefaultParagraphFont"/>
    <w:uiPriority w:val="99"/>
    <w:semiHidden/>
    <w:unhideWhenUsed/>
    <w:rsid w:val="0086522A"/>
    <w:rPr>
      <w:color w:val="605E5C"/>
      <w:shd w:val="clear" w:color="auto" w:fill="E1DFDD"/>
    </w:rPr>
  </w:style>
  <w:style w:type="character" w:customStyle="1" w:styleId="UnresolvedMention2">
    <w:name w:val="Unresolved Mention2"/>
    <w:basedOn w:val="DefaultParagraphFont"/>
    <w:uiPriority w:val="99"/>
    <w:semiHidden/>
    <w:unhideWhenUsed/>
    <w:rsid w:val="0086522A"/>
    <w:rPr>
      <w:color w:val="605E5C"/>
      <w:shd w:val="clear" w:color="auto" w:fill="E1DFDD"/>
    </w:rPr>
  </w:style>
  <w:style w:type="character" w:customStyle="1" w:styleId="UnresolvedMention3">
    <w:name w:val="Unresolved Mention3"/>
    <w:basedOn w:val="DefaultParagraphFont"/>
    <w:uiPriority w:val="99"/>
    <w:semiHidden/>
    <w:unhideWhenUsed/>
    <w:rsid w:val="0086522A"/>
    <w:rPr>
      <w:color w:val="605E5C"/>
      <w:shd w:val="clear" w:color="auto" w:fill="E1DFDD"/>
    </w:rPr>
  </w:style>
  <w:style w:type="character" w:customStyle="1" w:styleId="UnresolvedMention4">
    <w:name w:val="Unresolved Mention4"/>
    <w:basedOn w:val="DefaultParagraphFont"/>
    <w:uiPriority w:val="99"/>
    <w:semiHidden/>
    <w:unhideWhenUsed/>
    <w:rsid w:val="0086522A"/>
    <w:rPr>
      <w:color w:val="605E5C"/>
      <w:shd w:val="clear" w:color="auto" w:fill="E1DFDD"/>
    </w:rPr>
  </w:style>
  <w:style w:type="character" w:customStyle="1" w:styleId="UnresolvedMention5">
    <w:name w:val="Unresolved Mention5"/>
    <w:basedOn w:val="DefaultParagraphFont"/>
    <w:uiPriority w:val="99"/>
    <w:semiHidden/>
    <w:unhideWhenUsed/>
    <w:rsid w:val="0086522A"/>
    <w:rPr>
      <w:color w:val="605E5C"/>
      <w:shd w:val="clear" w:color="auto" w:fill="E1DFDD"/>
    </w:rPr>
  </w:style>
  <w:style w:type="character" w:customStyle="1" w:styleId="UnresolvedMention6">
    <w:name w:val="Unresolved Mention6"/>
    <w:basedOn w:val="DefaultParagraphFont"/>
    <w:uiPriority w:val="99"/>
    <w:semiHidden/>
    <w:unhideWhenUsed/>
    <w:rsid w:val="0086522A"/>
    <w:rPr>
      <w:color w:val="605E5C"/>
      <w:shd w:val="clear" w:color="auto" w:fill="E1DFDD"/>
    </w:rPr>
  </w:style>
  <w:style w:type="character" w:styleId="UnresolvedMention">
    <w:name w:val="Unresolved Mention"/>
    <w:basedOn w:val="DefaultParagraphFont"/>
    <w:uiPriority w:val="99"/>
    <w:unhideWhenUsed/>
    <w:rsid w:val="0086522A"/>
    <w:rPr>
      <w:color w:val="605E5C"/>
      <w:shd w:val="clear" w:color="auto" w:fill="E1DFDD"/>
    </w:rPr>
  </w:style>
  <w:style w:type="character" w:styleId="FollowedHyperlink">
    <w:name w:val="FollowedHyperlink"/>
    <w:basedOn w:val="DefaultParagraphFont"/>
    <w:uiPriority w:val="99"/>
    <w:semiHidden/>
    <w:unhideWhenUsed/>
    <w:rsid w:val="0086522A"/>
    <w:rPr>
      <w:color w:val="954F72" w:themeColor="followedHyperlink"/>
      <w:u w:val="single"/>
    </w:rPr>
  </w:style>
  <w:style w:type="paragraph" w:styleId="ListParagraph">
    <w:name w:val="List Paragraph"/>
    <w:basedOn w:val="Normal"/>
    <w:uiPriority w:val="34"/>
    <w:qFormat/>
    <w:rsid w:val="00222C7B"/>
    <w:pPr>
      <w:ind w:left="720"/>
      <w:contextualSpacing/>
    </w:pPr>
  </w:style>
  <w:style w:type="paragraph" w:customStyle="1" w:styleId="Body">
    <w:name w:val="Body"/>
    <w:rsid w:val="00A35D80"/>
    <w:rPr>
      <w:rFonts w:ascii="Helvetica" w:eastAsia="ヒラギノ角ゴ Pro W3" w:hAnsi="Helvetica" w:cs="Times New Roman"/>
      <w:color w:val="000000"/>
      <w:szCs w:val="20"/>
    </w:rPr>
  </w:style>
  <w:style w:type="character" w:customStyle="1" w:styleId="apple-converted-space">
    <w:name w:val="apple-converted-space"/>
    <w:basedOn w:val="DefaultParagraphFont"/>
    <w:rsid w:val="00BB7CE0"/>
  </w:style>
  <w:style w:type="character" w:styleId="Emphasis">
    <w:name w:val="Emphasis"/>
    <w:basedOn w:val="DefaultParagraphFont"/>
    <w:uiPriority w:val="20"/>
    <w:qFormat/>
    <w:rsid w:val="00BB7C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282">
      <w:bodyDiv w:val="1"/>
      <w:marLeft w:val="0"/>
      <w:marRight w:val="0"/>
      <w:marTop w:val="0"/>
      <w:marBottom w:val="0"/>
      <w:divBdr>
        <w:top w:val="none" w:sz="0" w:space="0" w:color="auto"/>
        <w:left w:val="none" w:sz="0" w:space="0" w:color="auto"/>
        <w:bottom w:val="none" w:sz="0" w:space="0" w:color="auto"/>
        <w:right w:val="none" w:sz="0" w:space="0" w:color="auto"/>
      </w:divBdr>
    </w:div>
    <w:div w:id="123667640">
      <w:bodyDiv w:val="1"/>
      <w:marLeft w:val="0"/>
      <w:marRight w:val="0"/>
      <w:marTop w:val="0"/>
      <w:marBottom w:val="0"/>
      <w:divBdr>
        <w:top w:val="none" w:sz="0" w:space="0" w:color="auto"/>
        <w:left w:val="none" w:sz="0" w:space="0" w:color="auto"/>
        <w:bottom w:val="none" w:sz="0" w:space="0" w:color="auto"/>
        <w:right w:val="none" w:sz="0" w:space="0" w:color="auto"/>
      </w:divBdr>
    </w:div>
    <w:div w:id="211894588">
      <w:bodyDiv w:val="1"/>
      <w:marLeft w:val="0"/>
      <w:marRight w:val="0"/>
      <w:marTop w:val="0"/>
      <w:marBottom w:val="0"/>
      <w:divBdr>
        <w:top w:val="none" w:sz="0" w:space="0" w:color="auto"/>
        <w:left w:val="none" w:sz="0" w:space="0" w:color="auto"/>
        <w:bottom w:val="none" w:sz="0" w:space="0" w:color="auto"/>
        <w:right w:val="none" w:sz="0" w:space="0" w:color="auto"/>
      </w:divBdr>
      <w:divsChild>
        <w:div w:id="1779909664">
          <w:marLeft w:val="0"/>
          <w:marRight w:val="0"/>
          <w:marTop w:val="0"/>
          <w:marBottom w:val="0"/>
          <w:divBdr>
            <w:top w:val="none" w:sz="0" w:space="0" w:color="auto"/>
            <w:left w:val="none" w:sz="0" w:space="0" w:color="auto"/>
            <w:bottom w:val="none" w:sz="0" w:space="0" w:color="auto"/>
            <w:right w:val="none" w:sz="0" w:space="0" w:color="auto"/>
          </w:divBdr>
          <w:divsChild>
            <w:div w:id="1223440451">
              <w:marLeft w:val="0"/>
              <w:marRight w:val="0"/>
              <w:marTop w:val="0"/>
              <w:marBottom w:val="0"/>
              <w:divBdr>
                <w:top w:val="none" w:sz="0" w:space="0" w:color="auto"/>
                <w:left w:val="none" w:sz="0" w:space="0" w:color="auto"/>
                <w:bottom w:val="none" w:sz="0" w:space="0" w:color="auto"/>
                <w:right w:val="none" w:sz="0" w:space="0" w:color="auto"/>
              </w:divBdr>
              <w:divsChild>
                <w:div w:id="12007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6080">
      <w:bodyDiv w:val="1"/>
      <w:marLeft w:val="0"/>
      <w:marRight w:val="0"/>
      <w:marTop w:val="0"/>
      <w:marBottom w:val="0"/>
      <w:divBdr>
        <w:top w:val="none" w:sz="0" w:space="0" w:color="auto"/>
        <w:left w:val="none" w:sz="0" w:space="0" w:color="auto"/>
        <w:bottom w:val="none" w:sz="0" w:space="0" w:color="auto"/>
        <w:right w:val="none" w:sz="0" w:space="0" w:color="auto"/>
      </w:divBdr>
      <w:divsChild>
        <w:div w:id="2142532089">
          <w:marLeft w:val="0"/>
          <w:marRight w:val="0"/>
          <w:marTop w:val="0"/>
          <w:marBottom w:val="0"/>
          <w:divBdr>
            <w:top w:val="none" w:sz="0" w:space="0" w:color="auto"/>
            <w:left w:val="none" w:sz="0" w:space="0" w:color="auto"/>
            <w:bottom w:val="none" w:sz="0" w:space="0" w:color="auto"/>
            <w:right w:val="none" w:sz="0" w:space="0" w:color="auto"/>
          </w:divBdr>
          <w:divsChild>
            <w:div w:id="1891920199">
              <w:marLeft w:val="0"/>
              <w:marRight w:val="0"/>
              <w:marTop w:val="0"/>
              <w:marBottom w:val="0"/>
              <w:divBdr>
                <w:top w:val="none" w:sz="0" w:space="0" w:color="auto"/>
                <w:left w:val="none" w:sz="0" w:space="0" w:color="auto"/>
                <w:bottom w:val="none" w:sz="0" w:space="0" w:color="auto"/>
                <w:right w:val="none" w:sz="0" w:space="0" w:color="auto"/>
              </w:divBdr>
              <w:divsChild>
                <w:div w:id="7357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9620">
      <w:bodyDiv w:val="1"/>
      <w:marLeft w:val="0"/>
      <w:marRight w:val="0"/>
      <w:marTop w:val="0"/>
      <w:marBottom w:val="0"/>
      <w:divBdr>
        <w:top w:val="none" w:sz="0" w:space="0" w:color="auto"/>
        <w:left w:val="none" w:sz="0" w:space="0" w:color="auto"/>
        <w:bottom w:val="none" w:sz="0" w:space="0" w:color="auto"/>
        <w:right w:val="none" w:sz="0" w:space="0" w:color="auto"/>
      </w:divBdr>
    </w:div>
    <w:div w:id="429660405">
      <w:bodyDiv w:val="1"/>
      <w:marLeft w:val="0"/>
      <w:marRight w:val="0"/>
      <w:marTop w:val="0"/>
      <w:marBottom w:val="0"/>
      <w:divBdr>
        <w:top w:val="none" w:sz="0" w:space="0" w:color="auto"/>
        <w:left w:val="none" w:sz="0" w:space="0" w:color="auto"/>
        <w:bottom w:val="none" w:sz="0" w:space="0" w:color="auto"/>
        <w:right w:val="none" w:sz="0" w:space="0" w:color="auto"/>
      </w:divBdr>
      <w:divsChild>
        <w:div w:id="2119986965">
          <w:marLeft w:val="0"/>
          <w:marRight w:val="0"/>
          <w:marTop w:val="0"/>
          <w:marBottom w:val="0"/>
          <w:divBdr>
            <w:top w:val="none" w:sz="0" w:space="0" w:color="auto"/>
            <w:left w:val="none" w:sz="0" w:space="0" w:color="auto"/>
            <w:bottom w:val="none" w:sz="0" w:space="0" w:color="auto"/>
            <w:right w:val="none" w:sz="0" w:space="0" w:color="auto"/>
          </w:divBdr>
          <w:divsChild>
            <w:div w:id="1237471968">
              <w:marLeft w:val="0"/>
              <w:marRight w:val="0"/>
              <w:marTop w:val="0"/>
              <w:marBottom w:val="0"/>
              <w:divBdr>
                <w:top w:val="none" w:sz="0" w:space="0" w:color="auto"/>
                <w:left w:val="none" w:sz="0" w:space="0" w:color="auto"/>
                <w:bottom w:val="none" w:sz="0" w:space="0" w:color="auto"/>
                <w:right w:val="none" w:sz="0" w:space="0" w:color="auto"/>
              </w:divBdr>
              <w:divsChild>
                <w:div w:id="360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5023">
      <w:bodyDiv w:val="1"/>
      <w:marLeft w:val="0"/>
      <w:marRight w:val="0"/>
      <w:marTop w:val="0"/>
      <w:marBottom w:val="0"/>
      <w:divBdr>
        <w:top w:val="none" w:sz="0" w:space="0" w:color="auto"/>
        <w:left w:val="none" w:sz="0" w:space="0" w:color="auto"/>
        <w:bottom w:val="none" w:sz="0" w:space="0" w:color="auto"/>
        <w:right w:val="none" w:sz="0" w:space="0" w:color="auto"/>
      </w:divBdr>
      <w:divsChild>
        <w:div w:id="1249655126">
          <w:marLeft w:val="0"/>
          <w:marRight w:val="0"/>
          <w:marTop w:val="0"/>
          <w:marBottom w:val="0"/>
          <w:divBdr>
            <w:top w:val="none" w:sz="0" w:space="0" w:color="auto"/>
            <w:left w:val="none" w:sz="0" w:space="0" w:color="auto"/>
            <w:bottom w:val="none" w:sz="0" w:space="0" w:color="auto"/>
            <w:right w:val="none" w:sz="0" w:space="0" w:color="auto"/>
          </w:divBdr>
          <w:divsChild>
            <w:div w:id="1036662386">
              <w:marLeft w:val="0"/>
              <w:marRight w:val="0"/>
              <w:marTop w:val="0"/>
              <w:marBottom w:val="0"/>
              <w:divBdr>
                <w:top w:val="none" w:sz="0" w:space="0" w:color="auto"/>
                <w:left w:val="none" w:sz="0" w:space="0" w:color="auto"/>
                <w:bottom w:val="none" w:sz="0" w:space="0" w:color="auto"/>
                <w:right w:val="none" w:sz="0" w:space="0" w:color="auto"/>
              </w:divBdr>
              <w:divsChild>
                <w:div w:id="5005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6008">
      <w:bodyDiv w:val="1"/>
      <w:marLeft w:val="0"/>
      <w:marRight w:val="0"/>
      <w:marTop w:val="0"/>
      <w:marBottom w:val="0"/>
      <w:divBdr>
        <w:top w:val="none" w:sz="0" w:space="0" w:color="auto"/>
        <w:left w:val="none" w:sz="0" w:space="0" w:color="auto"/>
        <w:bottom w:val="none" w:sz="0" w:space="0" w:color="auto"/>
        <w:right w:val="none" w:sz="0" w:space="0" w:color="auto"/>
      </w:divBdr>
      <w:divsChild>
        <w:div w:id="313340639">
          <w:marLeft w:val="0"/>
          <w:marRight w:val="0"/>
          <w:marTop w:val="0"/>
          <w:marBottom w:val="0"/>
          <w:divBdr>
            <w:top w:val="none" w:sz="0" w:space="0" w:color="auto"/>
            <w:left w:val="none" w:sz="0" w:space="0" w:color="auto"/>
            <w:bottom w:val="none" w:sz="0" w:space="0" w:color="auto"/>
            <w:right w:val="none" w:sz="0" w:space="0" w:color="auto"/>
          </w:divBdr>
          <w:divsChild>
            <w:div w:id="2140562226">
              <w:marLeft w:val="0"/>
              <w:marRight w:val="0"/>
              <w:marTop w:val="0"/>
              <w:marBottom w:val="0"/>
              <w:divBdr>
                <w:top w:val="none" w:sz="0" w:space="0" w:color="auto"/>
                <w:left w:val="none" w:sz="0" w:space="0" w:color="auto"/>
                <w:bottom w:val="none" w:sz="0" w:space="0" w:color="auto"/>
                <w:right w:val="none" w:sz="0" w:space="0" w:color="auto"/>
              </w:divBdr>
              <w:divsChild>
                <w:div w:id="154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1884">
      <w:bodyDiv w:val="1"/>
      <w:marLeft w:val="0"/>
      <w:marRight w:val="0"/>
      <w:marTop w:val="0"/>
      <w:marBottom w:val="0"/>
      <w:divBdr>
        <w:top w:val="none" w:sz="0" w:space="0" w:color="auto"/>
        <w:left w:val="none" w:sz="0" w:space="0" w:color="auto"/>
        <w:bottom w:val="none" w:sz="0" w:space="0" w:color="auto"/>
        <w:right w:val="none" w:sz="0" w:space="0" w:color="auto"/>
      </w:divBdr>
    </w:div>
    <w:div w:id="754593959">
      <w:bodyDiv w:val="1"/>
      <w:marLeft w:val="0"/>
      <w:marRight w:val="0"/>
      <w:marTop w:val="0"/>
      <w:marBottom w:val="0"/>
      <w:divBdr>
        <w:top w:val="none" w:sz="0" w:space="0" w:color="auto"/>
        <w:left w:val="none" w:sz="0" w:space="0" w:color="auto"/>
        <w:bottom w:val="none" w:sz="0" w:space="0" w:color="auto"/>
        <w:right w:val="none" w:sz="0" w:space="0" w:color="auto"/>
      </w:divBdr>
      <w:divsChild>
        <w:div w:id="1650745045">
          <w:marLeft w:val="0"/>
          <w:marRight w:val="0"/>
          <w:marTop w:val="0"/>
          <w:marBottom w:val="0"/>
          <w:divBdr>
            <w:top w:val="none" w:sz="0" w:space="0" w:color="auto"/>
            <w:left w:val="none" w:sz="0" w:space="0" w:color="auto"/>
            <w:bottom w:val="none" w:sz="0" w:space="0" w:color="auto"/>
            <w:right w:val="none" w:sz="0" w:space="0" w:color="auto"/>
          </w:divBdr>
          <w:divsChild>
            <w:div w:id="1193572793">
              <w:marLeft w:val="0"/>
              <w:marRight w:val="0"/>
              <w:marTop w:val="0"/>
              <w:marBottom w:val="0"/>
              <w:divBdr>
                <w:top w:val="none" w:sz="0" w:space="0" w:color="auto"/>
                <w:left w:val="none" w:sz="0" w:space="0" w:color="auto"/>
                <w:bottom w:val="none" w:sz="0" w:space="0" w:color="auto"/>
                <w:right w:val="none" w:sz="0" w:space="0" w:color="auto"/>
              </w:divBdr>
              <w:divsChild>
                <w:div w:id="701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38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843">
          <w:marLeft w:val="0"/>
          <w:marRight w:val="0"/>
          <w:marTop w:val="0"/>
          <w:marBottom w:val="0"/>
          <w:divBdr>
            <w:top w:val="none" w:sz="0" w:space="0" w:color="auto"/>
            <w:left w:val="none" w:sz="0" w:space="0" w:color="auto"/>
            <w:bottom w:val="none" w:sz="0" w:space="0" w:color="auto"/>
            <w:right w:val="none" w:sz="0" w:space="0" w:color="auto"/>
          </w:divBdr>
          <w:divsChild>
            <w:div w:id="1866673397">
              <w:marLeft w:val="0"/>
              <w:marRight w:val="0"/>
              <w:marTop w:val="0"/>
              <w:marBottom w:val="0"/>
              <w:divBdr>
                <w:top w:val="none" w:sz="0" w:space="0" w:color="auto"/>
                <w:left w:val="none" w:sz="0" w:space="0" w:color="auto"/>
                <w:bottom w:val="none" w:sz="0" w:space="0" w:color="auto"/>
                <w:right w:val="none" w:sz="0" w:space="0" w:color="auto"/>
              </w:divBdr>
              <w:divsChild>
                <w:div w:id="1186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1863">
      <w:bodyDiv w:val="1"/>
      <w:marLeft w:val="0"/>
      <w:marRight w:val="0"/>
      <w:marTop w:val="0"/>
      <w:marBottom w:val="0"/>
      <w:divBdr>
        <w:top w:val="none" w:sz="0" w:space="0" w:color="auto"/>
        <w:left w:val="none" w:sz="0" w:space="0" w:color="auto"/>
        <w:bottom w:val="none" w:sz="0" w:space="0" w:color="auto"/>
        <w:right w:val="none" w:sz="0" w:space="0" w:color="auto"/>
      </w:divBdr>
      <w:divsChild>
        <w:div w:id="730426747">
          <w:marLeft w:val="0"/>
          <w:marRight w:val="0"/>
          <w:marTop w:val="0"/>
          <w:marBottom w:val="0"/>
          <w:divBdr>
            <w:top w:val="none" w:sz="0" w:space="0" w:color="auto"/>
            <w:left w:val="none" w:sz="0" w:space="0" w:color="auto"/>
            <w:bottom w:val="none" w:sz="0" w:space="0" w:color="auto"/>
            <w:right w:val="none" w:sz="0" w:space="0" w:color="auto"/>
          </w:divBdr>
          <w:divsChild>
            <w:div w:id="1755467235">
              <w:marLeft w:val="0"/>
              <w:marRight w:val="0"/>
              <w:marTop w:val="0"/>
              <w:marBottom w:val="0"/>
              <w:divBdr>
                <w:top w:val="none" w:sz="0" w:space="0" w:color="auto"/>
                <w:left w:val="none" w:sz="0" w:space="0" w:color="auto"/>
                <w:bottom w:val="none" w:sz="0" w:space="0" w:color="auto"/>
                <w:right w:val="none" w:sz="0" w:space="0" w:color="auto"/>
              </w:divBdr>
              <w:divsChild>
                <w:div w:id="10647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4640">
      <w:bodyDiv w:val="1"/>
      <w:marLeft w:val="0"/>
      <w:marRight w:val="0"/>
      <w:marTop w:val="0"/>
      <w:marBottom w:val="0"/>
      <w:divBdr>
        <w:top w:val="none" w:sz="0" w:space="0" w:color="auto"/>
        <w:left w:val="none" w:sz="0" w:space="0" w:color="auto"/>
        <w:bottom w:val="none" w:sz="0" w:space="0" w:color="auto"/>
        <w:right w:val="none" w:sz="0" w:space="0" w:color="auto"/>
      </w:divBdr>
      <w:divsChild>
        <w:div w:id="1645045492">
          <w:marLeft w:val="0"/>
          <w:marRight w:val="0"/>
          <w:marTop w:val="0"/>
          <w:marBottom w:val="0"/>
          <w:divBdr>
            <w:top w:val="none" w:sz="0" w:space="0" w:color="auto"/>
            <w:left w:val="none" w:sz="0" w:space="0" w:color="auto"/>
            <w:bottom w:val="none" w:sz="0" w:space="0" w:color="auto"/>
            <w:right w:val="none" w:sz="0" w:space="0" w:color="auto"/>
          </w:divBdr>
          <w:divsChild>
            <w:div w:id="1117798470">
              <w:marLeft w:val="0"/>
              <w:marRight w:val="0"/>
              <w:marTop w:val="0"/>
              <w:marBottom w:val="0"/>
              <w:divBdr>
                <w:top w:val="none" w:sz="0" w:space="0" w:color="auto"/>
                <w:left w:val="none" w:sz="0" w:space="0" w:color="auto"/>
                <w:bottom w:val="none" w:sz="0" w:space="0" w:color="auto"/>
                <w:right w:val="none" w:sz="0" w:space="0" w:color="auto"/>
              </w:divBdr>
              <w:divsChild>
                <w:div w:id="3897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00695">
      <w:bodyDiv w:val="1"/>
      <w:marLeft w:val="0"/>
      <w:marRight w:val="0"/>
      <w:marTop w:val="0"/>
      <w:marBottom w:val="0"/>
      <w:divBdr>
        <w:top w:val="none" w:sz="0" w:space="0" w:color="auto"/>
        <w:left w:val="none" w:sz="0" w:space="0" w:color="auto"/>
        <w:bottom w:val="none" w:sz="0" w:space="0" w:color="auto"/>
        <w:right w:val="none" w:sz="0" w:space="0" w:color="auto"/>
      </w:divBdr>
    </w:div>
    <w:div w:id="1246232817">
      <w:bodyDiv w:val="1"/>
      <w:marLeft w:val="0"/>
      <w:marRight w:val="0"/>
      <w:marTop w:val="0"/>
      <w:marBottom w:val="0"/>
      <w:divBdr>
        <w:top w:val="none" w:sz="0" w:space="0" w:color="auto"/>
        <w:left w:val="none" w:sz="0" w:space="0" w:color="auto"/>
        <w:bottom w:val="none" w:sz="0" w:space="0" w:color="auto"/>
        <w:right w:val="none" w:sz="0" w:space="0" w:color="auto"/>
      </w:divBdr>
      <w:divsChild>
        <w:div w:id="258828888">
          <w:marLeft w:val="0"/>
          <w:marRight w:val="0"/>
          <w:marTop w:val="0"/>
          <w:marBottom w:val="0"/>
          <w:divBdr>
            <w:top w:val="none" w:sz="0" w:space="0" w:color="auto"/>
            <w:left w:val="none" w:sz="0" w:space="0" w:color="auto"/>
            <w:bottom w:val="none" w:sz="0" w:space="0" w:color="auto"/>
            <w:right w:val="none" w:sz="0" w:space="0" w:color="auto"/>
          </w:divBdr>
          <w:divsChild>
            <w:div w:id="1794976728">
              <w:marLeft w:val="0"/>
              <w:marRight w:val="0"/>
              <w:marTop w:val="0"/>
              <w:marBottom w:val="0"/>
              <w:divBdr>
                <w:top w:val="none" w:sz="0" w:space="0" w:color="auto"/>
                <w:left w:val="none" w:sz="0" w:space="0" w:color="auto"/>
                <w:bottom w:val="none" w:sz="0" w:space="0" w:color="auto"/>
                <w:right w:val="none" w:sz="0" w:space="0" w:color="auto"/>
              </w:divBdr>
              <w:divsChild>
                <w:div w:id="19927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7039">
      <w:bodyDiv w:val="1"/>
      <w:marLeft w:val="0"/>
      <w:marRight w:val="0"/>
      <w:marTop w:val="0"/>
      <w:marBottom w:val="0"/>
      <w:divBdr>
        <w:top w:val="none" w:sz="0" w:space="0" w:color="auto"/>
        <w:left w:val="none" w:sz="0" w:space="0" w:color="auto"/>
        <w:bottom w:val="none" w:sz="0" w:space="0" w:color="auto"/>
        <w:right w:val="none" w:sz="0" w:space="0" w:color="auto"/>
      </w:divBdr>
    </w:div>
    <w:div w:id="1378820471">
      <w:bodyDiv w:val="1"/>
      <w:marLeft w:val="0"/>
      <w:marRight w:val="0"/>
      <w:marTop w:val="0"/>
      <w:marBottom w:val="0"/>
      <w:divBdr>
        <w:top w:val="none" w:sz="0" w:space="0" w:color="auto"/>
        <w:left w:val="none" w:sz="0" w:space="0" w:color="auto"/>
        <w:bottom w:val="none" w:sz="0" w:space="0" w:color="auto"/>
        <w:right w:val="none" w:sz="0" w:space="0" w:color="auto"/>
      </w:divBdr>
      <w:divsChild>
        <w:div w:id="581181865">
          <w:marLeft w:val="0"/>
          <w:marRight w:val="0"/>
          <w:marTop w:val="0"/>
          <w:marBottom w:val="0"/>
          <w:divBdr>
            <w:top w:val="none" w:sz="0" w:space="0" w:color="auto"/>
            <w:left w:val="none" w:sz="0" w:space="0" w:color="auto"/>
            <w:bottom w:val="none" w:sz="0" w:space="0" w:color="auto"/>
            <w:right w:val="none" w:sz="0" w:space="0" w:color="auto"/>
          </w:divBdr>
          <w:divsChild>
            <w:div w:id="2026177233">
              <w:marLeft w:val="0"/>
              <w:marRight w:val="0"/>
              <w:marTop w:val="0"/>
              <w:marBottom w:val="0"/>
              <w:divBdr>
                <w:top w:val="none" w:sz="0" w:space="0" w:color="auto"/>
                <w:left w:val="none" w:sz="0" w:space="0" w:color="auto"/>
                <w:bottom w:val="none" w:sz="0" w:space="0" w:color="auto"/>
                <w:right w:val="none" w:sz="0" w:space="0" w:color="auto"/>
              </w:divBdr>
              <w:divsChild>
                <w:div w:id="1222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1893">
      <w:bodyDiv w:val="1"/>
      <w:marLeft w:val="0"/>
      <w:marRight w:val="0"/>
      <w:marTop w:val="0"/>
      <w:marBottom w:val="0"/>
      <w:divBdr>
        <w:top w:val="none" w:sz="0" w:space="0" w:color="auto"/>
        <w:left w:val="none" w:sz="0" w:space="0" w:color="auto"/>
        <w:bottom w:val="none" w:sz="0" w:space="0" w:color="auto"/>
        <w:right w:val="none" w:sz="0" w:space="0" w:color="auto"/>
      </w:divBdr>
    </w:div>
    <w:div w:id="1631859486">
      <w:bodyDiv w:val="1"/>
      <w:marLeft w:val="0"/>
      <w:marRight w:val="0"/>
      <w:marTop w:val="0"/>
      <w:marBottom w:val="0"/>
      <w:divBdr>
        <w:top w:val="none" w:sz="0" w:space="0" w:color="auto"/>
        <w:left w:val="none" w:sz="0" w:space="0" w:color="auto"/>
        <w:bottom w:val="none" w:sz="0" w:space="0" w:color="auto"/>
        <w:right w:val="none" w:sz="0" w:space="0" w:color="auto"/>
      </w:divBdr>
      <w:divsChild>
        <w:div w:id="921334721">
          <w:marLeft w:val="0"/>
          <w:marRight w:val="0"/>
          <w:marTop w:val="0"/>
          <w:marBottom w:val="0"/>
          <w:divBdr>
            <w:top w:val="none" w:sz="0" w:space="0" w:color="auto"/>
            <w:left w:val="none" w:sz="0" w:space="0" w:color="auto"/>
            <w:bottom w:val="none" w:sz="0" w:space="0" w:color="auto"/>
            <w:right w:val="none" w:sz="0" w:space="0" w:color="auto"/>
          </w:divBdr>
          <w:divsChild>
            <w:div w:id="1601910492">
              <w:marLeft w:val="0"/>
              <w:marRight w:val="0"/>
              <w:marTop w:val="0"/>
              <w:marBottom w:val="0"/>
              <w:divBdr>
                <w:top w:val="none" w:sz="0" w:space="0" w:color="auto"/>
                <w:left w:val="none" w:sz="0" w:space="0" w:color="auto"/>
                <w:bottom w:val="none" w:sz="0" w:space="0" w:color="auto"/>
                <w:right w:val="none" w:sz="0" w:space="0" w:color="auto"/>
              </w:divBdr>
              <w:divsChild>
                <w:div w:id="6450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7500">
      <w:bodyDiv w:val="1"/>
      <w:marLeft w:val="0"/>
      <w:marRight w:val="0"/>
      <w:marTop w:val="0"/>
      <w:marBottom w:val="0"/>
      <w:divBdr>
        <w:top w:val="none" w:sz="0" w:space="0" w:color="auto"/>
        <w:left w:val="none" w:sz="0" w:space="0" w:color="auto"/>
        <w:bottom w:val="none" w:sz="0" w:space="0" w:color="auto"/>
        <w:right w:val="none" w:sz="0" w:space="0" w:color="auto"/>
      </w:divBdr>
      <w:divsChild>
        <w:div w:id="471794430">
          <w:marLeft w:val="0"/>
          <w:marRight w:val="0"/>
          <w:marTop w:val="0"/>
          <w:marBottom w:val="0"/>
          <w:divBdr>
            <w:top w:val="none" w:sz="0" w:space="0" w:color="auto"/>
            <w:left w:val="none" w:sz="0" w:space="0" w:color="auto"/>
            <w:bottom w:val="none" w:sz="0" w:space="0" w:color="auto"/>
            <w:right w:val="none" w:sz="0" w:space="0" w:color="auto"/>
          </w:divBdr>
          <w:divsChild>
            <w:div w:id="1021929954">
              <w:marLeft w:val="0"/>
              <w:marRight w:val="0"/>
              <w:marTop w:val="0"/>
              <w:marBottom w:val="0"/>
              <w:divBdr>
                <w:top w:val="none" w:sz="0" w:space="0" w:color="auto"/>
                <w:left w:val="none" w:sz="0" w:space="0" w:color="auto"/>
                <w:bottom w:val="none" w:sz="0" w:space="0" w:color="auto"/>
                <w:right w:val="none" w:sz="0" w:space="0" w:color="auto"/>
              </w:divBdr>
              <w:divsChild>
                <w:div w:id="676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7181">
      <w:bodyDiv w:val="1"/>
      <w:marLeft w:val="0"/>
      <w:marRight w:val="0"/>
      <w:marTop w:val="0"/>
      <w:marBottom w:val="0"/>
      <w:divBdr>
        <w:top w:val="none" w:sz="0" w:space="0" w:color="auto"/>
        <w:left w:val="none" w:sz="0" w:space="0" w:color="auto"/>
        <w:bottom w:val="none" w:sz="0" w:space="0" w:color="auto"/>
        <w:right w:val="none" w:sz="0" w:space="0" w:color="auto"/>
      </w:divBdr>
    </w:div>
    <w:div w:id="1724056974">
      <w:bodyDiv w:val="1"/>
      <w:marLeft w:val="0"/>
      <w:marRight w:val="0"/>
      <w:marTop w:val="0"/>
      <w:marBottom w:val="0"/>
      <w:divBdr>
        <w:top w:val="none" w:sz="0" w:space="0" w:color="auto"/>
        <w:left w:val="none" w:sz="0" w:space="0" w:color="auto"/>
        <w:bottom w:val="none" w:sz="0" w:space="0" w:color="auto"/>
        <w:right w:val="none" w:sz="0" w:space="0" w:color="auto"/>
      </w:divBdr>
      <w:divsChild>
        <w:div w:id="1426463655">
          <w:marLeft w:val="0"/>
          <w:marRight w:val="0"/>
          <w:marTop w:val="0"/>
          <w:marBottom w:val="0"/>
          <w:divBdr>
            <w:top w:val="none" w:sz="0" w:space="0" w:color="auto"/>
            <w:left w:val="none" w:sz="0" w:space="0" w:color="auto"/>
            <w:bottom w:val="none" w:sz="0" w:space="0" w:color="auto"/>
            <w:right w:val="none" w:sz="0" w:space="0" w:color="auto"/>
          </w:divBdr>
          <w:divsChild>
            <w:div w:id="1576889931">
              <w:marLeft w:val="0"/>
              <w:marRight w:val="0"/>
              <w:marTop w:val="0"/>
              <w:marBottom w:val="0"/>
              <w:divBdr>
                <w:top w:val="none" w:sz="0" w:space="0" w:color="auto"/>
                <w:left w:val="none" w:sz="0" w:space="0" w:color="auto"/>
                <w:bottom w:val="none" w:sz="0" w:space="0" w:color="auto"/>
                <w:right w:val="none" w:sz="0" w:space="0" w:color="auto"/>
              </w:divBdr>
              <w:divsChild>
                <w:div w:id="12917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4444">
      <w:bodyDiv w:val="1"/>
      <w:marLeft w:val="0"/>
      <w:marRight w:val="0"/>
      <w:marTop w:val="0"/>
      <w:marBottom w:val="0"/>
      <w:divBdr>
        <w:top w:val="none" w:sz="0" w:space="0" w:color="auto"/>
        <w:left w:val="none" w:sz="0" w:space="0" w:color="auto"/>
        <w:bottom w:val="none" w:sz="0" w:space="0" w:color="auto"/>
        <w:right w:val="none" w:sz="0" w:space="0" w:color="auto"/>
      </w:divBdr>
      <w:divsChild>
        <w:div w:id="902326672">
          <w:marLeft w:val="0"/>
          <w:marRight w:val="0"/>
          <w:marTop w:val="0"/>
          <w:marBottom w:val="0"/>
          <w:divBdr>
            <w:top w:val="none" w:sz="0" w:space="0" w:color="auto"/>
            <w:left w:val="none" w:sz="0" w:space="0" w:color="auto"/>
            <w:bottom w:val="none" w:sz="0" w:space="0" w:color="auto"/>
            <w:right w:val="none" w:sz="0" w:space="0" w:color="auto"/>
          </w:divBdr>
          <w:divsChild>
            <w:div w:id="1125926968">
              <w:marLeft w:val="0"/>
              <w:marRight w:val="0"/>
              <w:marTop w:val="0"/>
              <w:marBottom w:val="0"/>
              <w:divBdr>
                <w:top w:val="none" w:sz="0" w:space="0" w:color="auto"/>
                <w:left w:val="none" w:sz="0" w:space="0" w:color="auto"/>
                <w:bottom w:val="none" w:sz="0" w:space="0" w:color="auto"/>
                <w:right w:val="none" w:sz="0" w:space="0" w:color="auto"/>
              </w:divBdr>
              <w:divsChild>
                <w:div w:id="6125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9897">
      <w:bodyDiv w:val="1"/>
      <w:marLeft w:val="0"/>
      <w:marRight w:val="0"/>
      <w:marTop w:val="0"/>
      <w:marBottom w:val="0"/>
      <w:divBdr>
        <w:top w:val="none" w:sz="0" w:space="0" w:color="auto"/>
        <w:left w:val="none" w:sz="0" w:space="0" w:color="auto"/>
        <w:bottom w:val="none" w:sz="0" w:space="0" w:color="auto"/>
        <w:right w:val="none" w:sz="0" w:space="0" w:color="auto"/>
      </w:divBdr>
      <w:divsChild>
        <w:div w:id="353850907">
          <w:marLeft w:val="0"/>
          <w:marRight w:val="0"/>
          <w:marTop w:val="0"/>
          <w:marBottom w:val="0"/>
          <w:divBdr>
            <w:top w:val="none" w:sz="0" w:space="0" w:color="auto"/>
            <w:left w:val="none" w:sz="0" w:space="0" w:color="auto"/>
            <w:bottom w:val="none" w:sz="0" w:space="0" w:color="auto"/>
            <w:right w:val="none" w:sz="0" w:space="0" w:color="auto"/>
          </w:divBdr>
          <w:divsChild>
            <w:div w:id="632324075">
              <w:marLeft w:val="0"/>
              <w:marRight w:val="0"/>
              <w:marTop w:val="0"/>
              <w:marBottom w:val="0"/>
              <w:divBdr>
                <w:top w:val="none" w:sz="0" w:space="0" w:color="auto"/>
                <w:left w:val="none" w:sz="0" w:space="0" w:color="auto"/>
                <w:bottom w:val="none" w:sz="0" w:space="0" w:color="auto"/>
                <w:right w:val="none" w:sz="0" w:space="0" w:color="auto"/>
              </w:divBdr>
              <w:divsChild>
                <w:div w:id="5673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5911">
      <w:bodyDiv w:val="1"/>
      <w:marLeft w:val="0"/>
      <w:marRight w:val="0"/>
      <w:marTop w:val="0"/>
      <w:marBottom w:val="0"/>
      <w:divBdr>
        <w:top w:val="none" w:sz="0" w:space="0" w:color="auto"/>
        <w:left w:val="none" w:sz="0" w:space="0" w:color="auto"/>
        <w:bottom w:val="none" w:sz="0" w:space="0" w:color="auto"/>
        <w:right w:val="none" w:sz="0" w:space="0" w:color="auto"/>
      </w:divBdr>
      <w:divsChild>
        <w:div w:id="633215628">
          <w:marLeft w:val="0"/>
          <w:marRight w:val="0"/>
          <w:marTop w:val="0"/>
          <w:marBottom w:val="0"/>
          <w:divBdr>
            <w:top w:val="none" w:sz="0" w:space="0" w:color="auto"/>
            <w:left w:val="none" w:sz="0" w:space="0" w:color="auto"/>
            <w:bottom w:val="none" w:sz="0" w:space="0" w:color="auto"/>
            <w:right w:val="none" w:sz="0" w:space="0" w:color="auto"/>
          </w:divBdr>
          <w:divsChild>
            <w:div w:id="1711302237">
              <w:marLeft w:val="0"/>
              <w:marRight w:val="0"/>
              <w:marTop w:val="0"/>
              <w:marBottom w:val="0"/>
              <w:divBdr>
                <w:top w:val="none" w:sz="0" w:space="0" w:color="auto"/>
                <w:left w:val="none" w:sz="0" w:space="0" w:color="auto"/>
                <w:bottom w:val="none" w:sz="0" w:space="0" w:color="auto"/>
                <w:right w:val="none" w:sz="0" w:space="0" w:color="auto"/>
              </w:divBdr>
              <w:divsChild>
                <w:div w:id="5309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72741">
      <w:bodyDiv w:val="1"/>
      <w:marLeft w:val="0"/>
      <w:marRight w:val="0"/>
      <w:marTop w:val="0"/>
      <w:marBottom w:val="0"/>
      <w:divBdr>
        <w:top w:val="none" w:sz="0" w:space="0" w:color="auto"/>
        <w:left w:val="none" w:sz="0" w:space="0" w:color="auto"/>
        <w:bottom w:val="none" w:sz="0" w:space="0" w:color="auto"/>
        <w:right w:val="none" w:sz="0" w:space="0" w:color="auto"/>
      </w:divBdr>
      <w:divsChild>
        <w:div w:id="1625849047">
          <w:marLeft w:val="0"/>
          <w:marRight w:val="0"/>
          <w:marTop w:val="0"/>
          <w:marBottom w:val="0"/>
          <w:divBdr>
            <w:top w:val="none" w:sz="0" w:space="0" w:color="auto"/>
            <w:left w:val="none" w:sz="0" w:space="0" w:color="auto"/>
            <w:bottom w:val="none" w:sz="0" w:space="0" w:color="auto"/>
            <w:right w:val="none" w:sz="0" w:space="0" w:color="auto"/>
          </w:divBdr>
          <w:divsChild>
            <w:div w:id="243926329">
              <w:marLeft w:val="0"/>
              <w:marRight w:val="0"/>
              <w:marTop w:val="0"/>
              <w:marBottom w:val="0"/>
              <w:divBdr>
                <w:top w:val="none" w:sz="0" w:space="0" w:color="auto"/>
                <w:left w:val="none" w:sz="0" w:space="0" w:color="auto"/>
                <w:bottom w:val="none" w:sz="0" w:space="0" w:color="auto"/>
                <w:right w:val="none" w:sz="0" w:space="0" w:color="auto"/>
              </w:divBdr>
              <w:divsChild>
                <w:div w:id="9735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9759">
      <w:bodyDiv w:val="1"/>
      <w:marLeft w:val="0"/>
      <w:marRight w:val="0"/>
      <w:marTop w:val="0"/>
      <w:marBottom w:val="0"/>
      <w:divBdr>
        <w:top w:val="none" w:sz="0" w:space="0" w:color="auto"/>
        <w:left w:val="none" w:sz="0" w:space="0" w:color="auto"/>
        <w:bottom w:val="none" w:sz="0" w:space="0" w:color="auto"/>
        <w:right w:val="none" w:sz="0" w:space="0" w:color="auto"/>
      </w:divBdr>
      <w:divsChild>
        <w:div w:id="745761289">
          <w:marLeft w:val="0"/>
          <w:marRight w:val="0"/>
          <w:marTop w:val="0"/>
          <w:marBottom w:val="0"/>
          <w:divBdr>
            <w:top w:val="none" w:sz="0" w:space="0" w:color="auto"/>
            <w:left w:val="none" w:sz="0" w:space="0" w:color="auto"/>
            <w:bottom w:val="none" w:sz="0" w:space="0" w:color="auto"/>
            <w:right w:val="none" w:sz="0" w:space="0" w:color="auto"/>
          </w:divBdr>
          <w:divsChild>
            <w:div w:id="1016687528">
              <w:marLeft w:val="0"/>
              <w:marRight w:val="0"/>
              <w:marTop w:val="0"/>
              <w:marBottom w:val="0"/>
              <w:divBdr>
                <w:top w:val="none" w:sz="0" w:space="0" w:color="auto"/>
                <w:left w:val="none" w:sz="0" w:space="0" w:color="auto"/>
                <w:bottom w:val="none" w:sz="0" w:space="0" w:color="auto"/>
                <w:right w:val="none" w:sz="0" w:space="0" w:color="auto"/>
              </w:divBdr>
              <w:divsChild>
                <w:div w:id="612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1912">
      <w:bodyDiv w:val="1"/>
      <w:marLeft w:val="0"/>
      <w:marRight w:val="0"/>
      <w:marTop w:val="0"/>
      <w:marBottom w:val="0"/>
      <w:divBdr>
        <w:top w:val="none" w:sz="0" w:space="0" w:color="auto"/>
        <w:left w:val="none" w:sz="0" w:space="0" w:color="auto"/>
        <w:bottom w:val="none" w:sz="0" w:space="0" w:color="auto"/>
        <w:right w:val="none" w:sz="0" w:space="0" w:color="auto"/>
      </w:divBdr>
      <w:divsChild>
        <w:div w:id="16348475">
          <w:marLeft w:val="0"/>
          <w:marRight w:val="0"/>
          <w:marTop w:val="0"/>
          <w:marBottom w:val="0"/>
          <w:divBdr>
            <w:top w:val="none" w:sz="0" w:space="0" w:color="auto"/>
            <w:left w:val="none" w:sz="0" w:space="0" w:color="auto"/>
            <w:bottom w:val="none" w:sz="0" w:space="0" w:color="auto"/>
            <w:right w:val="none" w:sz="0" w:space="0" w:color="auto"/>
          </w:divBdr>
          <w:divsChild>
            <w:div w:id="1464041301">
              <w:marLeft w:val="0"/>
              <w:marRight w:val="0"/>
              <w:marTop w:val="0"/>
              <w:marBottom w:val="0"/>
              <w:divBdr>
                <w:top w:val="none" w:sz="0" w:space="0" w:color="auto"/>
                <w:left w:val="none" w:sz="0" w:space="0" w:color="auto"/>
                <w:bottom w:val="none" w:sz="0" w:space="0" w:color="auto"/>
                <w:right w:val="none" w:sz="0" w:space="0" w:color="auto"/>
              </w:divBdr>
              <w:divsChild>
                <w:div w:id="5492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40407">
      <w:bodyDiv w:val="1"/>
      <w:marLeft w:val="0"/>
      <w:marRight w:val="0"/>
      <w:marTop w:val="0"/>
      <w:marBottom w:val="0"/>
      <w:divBdr>
        <w:top w:val="none" w:sz="0" w:space="0" w:color="auto"/>
        <w:left w:val="none" w:sz="0" w:space="0" w:color="auto"/>
        <w:bottom w:val="none" w:sz="0" w:space="0" w:color="auto"/>
        <w:right w:val="none" w:sz="0" w:space="0" w:color="auto"/>
      </w:divBdr>
    </w:div>
    <w:div w:id="2005625040">
      <w:bodyDiv w:val="1"/>
      <w:marLeft w:val="0"/>
      <w:marRight w:val="0"/>
      <w:marTop w:val="0"/>
      <w:marBottom w:val="0"/>
      <w:divBdr>
        <w:top w:val="none" w:sz="0" w:space="0" w:color="auto"/>
        <w:left w:val="none" w:sz="0" w:space="0" w:color="auto"/>
        <w:bottom w:val="none" w:sz="0" w:space="0" w:color="auto"/>
        <w:right w:val="none" w:sz="0" w:space="0" w:color="auto"/>
      </w:divBdr>
    </w:div>
    <w:div w:id="2057469356">
      <w:bodyDiv w:val="1"/>
      <w:marLeft w:val="0"/>
      <w:marRight w:val="0"/>
      <w:marTop w:val="0"/>
      <w:marBottom w:val="0"/>
      <w:divBdr>
        <w:top w:val="none" w:sz="0" w:space="0" w:color="auto"/>
        <w:left w:val="none" w:sz="0" w:space="0" w:color="auto"/>
        <w:bottom w:val="none" w:sz="0" w:space="0" w:color="auto"/>
        <w:right w:val="none" w:sz="0" w:space="0" w:color="auto"/>
      </w:divBdr>
      <w:divsChild>
        <w:div w:id="296617320">
          <w:marLeft w:val="0"/>
          <w:marRight w:val="0"/>
          <w:marTop w:val="0"/>
          <w:marBottom w:val="0"/>
          <w:divBdr>
            <w:top w:val="none" w:sz="0" w:space="0" w:color="auto"/>
            <w:left w:val="none" w:sz="0" w:space="0" w:color="auto"/>
            <w:bottom w:val="none" w:sz="0" w:space="0" w:color="auto"/>
            <w:right w:val="none" w:sz="0" w:space="0" w:color="auto"/>
          </w:divBdr>
          <w:divsChild>
            <w:div w:id="1348365794">
              <w:marLeft w:val="0"/>
              <w:marRight w:val="0"/>
              <w:marTop w:val="0"/>
              <w:marBottom w:val="0"/>
              <w:divBdr>
                <w:top w:val="none" w:sz="0" w:space="0" w:color="auto"/>
                <w:left w:val="none" w:sz="0" w:space="0" w:color="auto"/>
                <w:bottom w:val="none" w:sz="0" w:space="0" w:color="auto"/>
                <w:right w:val="none" w:sz="0" w:space="0" w:color="auto"/>
              </w:divBdr>
              <w:divsChild>
                <w:div w:id="1301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7215">
      <w:bodyDiv w:val="1"/>
      <w:marLeft w:val="0"/>
      <w:marRight w:val="0"/>
      <w:marTop w:val="0"/>
      <w:marBottom w:val="0"/>
      <w:divBdr>
        <w:top w:val="none" w:sz="0" w:space="0" w:color="auto"/>
        <w:left w:val="none" w:sz="0" w:space="0" w:color="auto"/>
        <w:bottom w:val="none" w:sz="0" w:space="0" w:color="auto"/>
        <w:right w:val="none" w:sz="0" w:space="0" w:color="auto"/>
      </w:divBdr>
      <w:divsChild>
        <w:div w:id="296955333">
          <w:marLeft w:val="0"/>
          <w:marRight w:val="0"/>
          <w:marTop w:val="0"/>
          <w:marBottom w:val="0"/>
          <w:divBdr>
            <w:top w:val="none" w:sz="0" w:space="0" w:color="auto"/>
            <w:left w:val="none" w:sz="0" w:space="0" w:color="auto"/>
            <w:bottom w:val="none" w:sz="0" w:space="0" w:color="auto"/>
            <w:right w:val="none" w:sz="0" w:space="0" w:color="auto"/>
          </w:divBdr>
          <w:divsChild>
            <w:div w:id="564800916">
              <w:marLeft w:val="0"/>
              <w:marRight w:val="0"/>
              <w:marTop w:val="0"/>
              <w:marBottom w:val="0"/>
              <w:divBdr>
                <w:top w:val="none" w:sz="0" w:space="0" w:color="auto"/>
                <w:left w:val="none" w:sz="0" w:space="0" w:color="auto"/>
                <w:bottom w:val="none" w:sz="0" w:space="0" w:color="auto"/>
                <w:right w:val="none" w:sz="0" w:space="0" w:color="auto"/>
              </w:divBdr>
              <w:divsChild>
                <w:div w:id="11571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17">
      <w:bodyDiv w:val="1"/>
      <w:marLeft w:val="0"/>
      <w:marRight w:val="0"/>
      <w:marTop w:val="0"/>
      <w:marBottom w:val="0"/>
      <w:divBdr>
        <w:top w:val="none" w:sz="0" w:space="0" w:color="auto"/>
        <w:left w:val="none" w:sz="0" w:space="0" w:color="auto"/>
        <w:bottom w:val="none" w:sz="0" w:space="0" w:color="auto"/>
        <w:right w:val="none" w:sz="0" w:space="0" w:color="auto"/>
      </w:divBdr>
    </w:div>
    <w:div w:id="21440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jmvba/"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ahoo.com/lifestyle/women-ask-raises-just-aren-160000362.html"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Users\LKray\Dropbox\Gender%20Equal%20Pay\Women%20Don't%20Ask\AMD\Gender%20Pay%20Gap%20Figures_Sept%2019%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essica.kennedy\Dropbox\L%20Kray\Gender%20Pay%20Gap\Paper\Gender%20Pay%20Gap%20Figures_Sept%2016%20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Sheet1!$A$48</c:f>
              <c:strCache>
                <c:ptCount val="1"/>
                <c:pt idx="0">
                  <c:v>Men</c:v>
                </c:pt>
              </c:strCache>
            </c:strRef>
          </c:tx>
          <c:spPr>
            <a:solidFill>
              <a:schemeClr val="tx1">
                <a:lumMod val="50000"/>
                <a:lumOff val="50000"/>
              </a:schemeClr>
            </a:solidFill>
            <a:ln>
              <a:solidFill>
                <a:sysClr val="windowText" lastClr="000000"/>
              </a:solidFill>
            </a:ln>
            <a:effectLst/>
          </c:spPr>
          <c:invertIfNegative val="0"/>
          <c:dLbls>
            <c:numFmt formatCode="##&quot;%&quot;"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Sheet1!$B$51:$C$51</c:f>
                <c:numCache>
                  <c:formatCode>General</c:formatCode>
                  <c:ptCount val="2"/>
                  <c:pt idx="0">
                    <c:v>1.19</c:v>
                  </c:pt>
                  <c:pt idx="1">
                    <c:v>1.2</c:v>
                  </c:pt>
                </c:numCache>
              </c:numRef>
            </c:plus>
            <c:minus>
              <c:numRef>
                <c:f>Sheet1!$B$51:$C$51</c:f>
                <c:numCache>
                  <c:formatCode>General</c:formatCode>
                  <c:ptCount val="2"/>
                  <c:pt idx="0">
                    <c:v>1.19</c:v>
                  </c:pt>
                  <c:pt idx="1">
                    <c:v>1.2</c:v>
                  </c:pt>
                </c:numCache>
              </c:numRef>
            </c:minus>
            <c:spPr>
              <a:noFill/>
              <a:ln w="9525" cap="flat" cmpd="sng" algn="ctr">
                <a:solidFill>
                  <a:schemeClr val="tx1">
                    <a:lumMod val="65000"/>
                    <a:lumOff val="35000"/>
                  </a:schemeClr>
                </a:solidFill>
                <a:round/>
              </a:ln>
              <a:effectLst/>
            </c:spPr>
          </c:errBars>
          <c:cat>
            <c:strRef>
              <c:f>Sheet1!$B$47:$C$47</c:f>
              <c:strCache>
                <c:ptCount val="2"/>
                <c:pt idx="0">
                  <c:v>Study 1A Estimated Propensity</c:v>
                </c:pt>
                <c:pt idx="1">
                  <c:v>Study 2A Actual Propensity</c:v>
                </c:pt>
              </c:strCache>
            </c:strRef>
          </c:cat>
          <c:val>
            <c:numRef>
              <c:f>Sheet1!$B$48:$C$48</c:f>
              <c:numCache>
                <c:formatCode>General</c:formatCode>
                <c:ptCount val="2"/>
                <c:pt idx="0">
                  <c:v>64</c:v>
                </c:pt>
                <c:pt idx="1">
                  <c:v>44</c:v>
                </c:pt>
              </c:numCache>
            </c:numRef>
          </c:val>
          <c:extLst>
            <c:ext xmlns:c16="http://schemas.microsoft.com/office/drawing/2014/chart" uri="{C3380CC4-5D6E-409C-BE32-E72D297353CC}">
              <c16:uniqueId val="{00000000-7042-2646-8C46-83A6C9A83E61}"/>
            </c:ext>
          </c:extLst>
        </c:ser>
        <c:ser>
          <c:idx val="1"/>
          <c:order val="1"/>
          <c:tx>
            <c:strRef>
              <c:f>Sheet1!$A$49</c:f>
              <c:strCache>
                <c:ptCount val="1"/>
                <c:pt idx="0">
                  <c:v>Women</c:v>
                </c:pt>
              </c:strCache>
            </c:strRef>
          </c:tx>
          <c:spPr>
            <a:solidFill>
              <a:schemeClr val="bg1">
                <a:lumMod val="85000"/>
              </a:schemeClr>
            </a:solidFill>
            <a:ln>
              <a:solidFill>
                <a:schemeClr val="tx1"/>
              </a:solidFill>
            </a:ln>
            <a:effectLst/>
          </c:spPr>
          <c:invertIfNegative val="0"/>
          <c:dLbls>
            <c:numFmt formatCode="##&quot;%&quot;"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Sheet1!$B$52:$C$52</c:f>
                <c:numCache>
                  <c:formatCode>General</c:formatCode>
                  <c:ptCount val="2"/>
                  <c:pt idx="0">
                    <c:v>1.28</c:v>
                  </c:pt>
                  <c:pt idx="1">
                    <c:v>1.2</c:v>
                  </c:pt>
                </c:numCache>
              </c:numRef>
            </c:plus>
            <c:minus>
              <c:numRef>
                <c:f>Sheet1!$B$52:$C$52</c:f>
                <c:numCache>
                  <c:formatCode>General</c:formatCode>
                  <c:ptCount val="2"/>
                  <c:pt idx="0">
                    <c:v>1.28</c:v>
                  </c:pt>
                  <c:pt idx="1">
                    <c:v>1.2</c:v>
                  </c:pt>
                </c:numCache>
              </c:numRef>
            </c:minus>
            <c:spPr>
              <a:noFill/>
              <a:ln w="9525" cap="flat" cmpd="sng" algn="ctr">
                <a:solidFill>
                  <a:schemeClr val="tx1">
                    <a:lumMod val="65000"/>
                    <a:lumOff val="35000"/>
                  </a:schemeClr>
                </a:solidFill>
                <a:round/>
              </a:ln>
              <a:effectLst/>
            </c:spPr>
          </c:errBars>
          <c:cat>
            <c:strRef>
              <c:f>Sheet1!$B$47:$C$47</c:f>
              <c:strCache>
                <c:ptCount val="2"/>
                <c:pt idx="0">
                  <c:v>Study 1A Estimated Propensity</c:v>
                </c:pt>
                <c:pt idx="1">
                  <c:v>Study 2A Actual Propensity</c:v>
                </c:pt>
              </c:strCache>
            </c:strRef>
          </c:cat>
          <c:val>
            <c:numRef>
              <c:f>Sheet1!$B$49:$C$49</c:f>
              <c:numCache>
                <c:formatCode>General</c:formatCode>
                <c:ptCount val="2"/>
                <c:pt idx="0">
                  <c:v>47</c:v>
                </c:pt>
                <c:pt idx="1">
                  <c:v>54</c:v>
                </c:pt>
              </c:numCache>
            </c:numRef>
          </c:val>
          <c:extLst>
            <c:ext xmlns:c16="http://schemas.microsoft.com/office/drawing/2014/chart" uri="{C3380CC4-5D6E-409C-BE32-E72D297353CC}">
              <c16:uniqueId val="{00000001-7042-2646-8C46-83A6C9A83E61}"/>
            </c:ext>
          </c:extLst>
        </c:ser>
        <c:dLbls>
          <c:showLegendKey val="0"/>
          <c:showVal val="0"/>
          <c:showCatName val="0"/>
          <c:showSerName val="0"/>
          <c:showPercent val="0"/>
          <c:showBubbleSize val="0"/>
        </c:dLbls>
        <c:gapWidth val="219"/>
        <c:overlap val="-27"/>
        <c:axId val="392980400"/>
        <c:axId val="392985808"/>
      </c:barChart>
      <c:catAx>
        <c:axId val="39298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2985808"/>
        <c:crosses val="autoZero"/>
        <c:auto val="1"/>
        <c:lblAlgn val="ctr"/>
        <c:lblOffset val="100"/>
        <c:noMultiLvlLbl val="0"/>
      </c:catAx>
      <c:valAx>
        <c:axId val="39298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298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General population</c:v>
                </c:pt>
              </c:strCache>
            </c:strRef>
          </c:tx>
          <c:spPr>
            <a:solidFill>
              <a:schemeClr val="tx1">
                <a:lumMod val="50000"/>
                <a:lumOff val="50000"/>
              </a:schemeClr>
            </a:solidFill>
            <a:ln>
              <a:solidFill>
                <a:schemeClr val="tx1"/>
              </a:solidFill>
            </a:ln>
            <a:effectLst/>
          </c:spPr>
          <c:invertIfNegative val="0"/>
          <c:dLbls>
            <c:numFmt formatCode="##&quot;%&quot;"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Sheet1!$C$6:$C$8</c:f>
                <c:numCache>
                  <c:formatCode>General</c:formatCode>
                  <c:ptCount val="3"/>
                  <c:pt idx="0">
                    <c:v>1.087</c:v>
                  </c:pt>
                  <c:pt idx="1">
                    <c:v>1.4390000000000001</c:v>
                  </c:pt>
                  <c:pt idx="2">
                    <c:v>0.94450000000000001</c:v>
                  </c:pt>
                </c:numCache>
              </c:numRef>
            </c:plus>
            <c:minus>
              <c:numRef>
                <c:f>Sheet1!$C$6:$C$8</c:f>
                <c:numCache>
                  <c:formatCode>General</c:formatCode>
                  <c:ptCount val="3"/>
                  <c:pt idx="0">
                    <c:v>1.087</c:v>
                  </c:pt>
                  <c:pt idx="1">
                    <c:v>1.4390000000000001</c:v>
                  </c:pt>
                  <c:pt idx="2">
                    <c:v>0.94450000000000001</c:v>
                  </c:pt>
                </c:numCache>
              </c:numRef>
            </c:minus>
            <c:spPr>
              <a:noFill/>
              <a:ln w="9525" cap="flat" cmpd="sng" algn="ctr">
                <a:solidFill>
                  <a:schemeClr val="tx1">
                    <a:lumMod val="65000"/>
                    <a:lumOff val="35000"/>
                  </a:schemeClr>
                </a:solidFill>
                <a:round/>
              </a:ln>
              <a:effectLst/>
            </c:spPr>
          </c:errBars>
          <c:cat>
            <c:strRef>
              <c:f>Sheet1!$B$2:$B$4</c:f>
              <c:strCache>
                <c:ptCount val="3"/>
                <c:pt idx="0">
                  <c:v>Choice</c:v>
                </c:pt>
                <c:pt idx="1">
                  <c:v>Fairness</c:v>
                </c:pt>
                <c:pt idx="2">
                  <c:v>Negotiation</c:v>
                </c:pt>
              </c:strCache>
            </c:strRef>
          </c:cat>
          <c:val>
            <c:numRef>
              <c:f>Sheet1!$C$2:$C$4</c:f>
              <c:numCache>
                <c:formatCode>General</c:formatCode>
                <c:ptCount val="3"/>
                <c:pt idx="0">
                  <c:v>17.5</c:v>
                </c:pt>
                <c:pt idx="1">
                  <c:v>56.4</c:v>
                </c:pt>
                <c:pt idx="2">
                  <c:v>26.1</c:v>
                </c:pt>
              </c:numCache>
            </c:numRef>
          </c:val>
          <c:extLst>
            <c:ext xmlns:c16="http://schemas.microsoft.com/office/drawing/2014/chart" uri="{C3380CC4-5D6E-409C-BE32-E72D297353CC}">
              <c16:uniqueId val="{00000000-B040-480F-A2BA-42E2A7E6258F}"/>
            </c:ext>
          </c:extLst>
        </c:ser>
        <c:ser>
          <c:idx val="1"/>
          <c:order val="1"/>
          <c:tx>
            <c:strRef>
              <c:f>Sheet1!$D$1</c:f>
              <c:strCache>
                <c:ptCount val="1"/>
                <c:pt idx="0">
                  <c:v>MBA population</c:v>
                </c:pt>
              </c:strCache>
            </c:strRef>
          </c:tx>
          <c:spPr>
            <a:solidFill>
              <a:schemeClr val="bg1">
                <a:lumMod val="85000"/>
              </a:schemeClr>
            </a:solidFill>
            <a:ln>
              <a:solidFill>
                <a:schemeClr val="tx1"/>
              </a:solidFill>
            </a:ln>
            <a:effectLst/>
          </c:spPr>
          <c:invertIfNegative val="0"/>
          <c:dLbls>
            <c:dLbl>
              <c:idx val="0"/>
              <c:layout>
                <c:manualLayout>
                  <c:x val="1.3888888888888888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40-480F-A2BA-42E2A7E6258F}"/>
                </c:ext>
              </c:extLst>
            </c:dLbl>
            <c:dLbl>
              <c:idx val="1"/>
              <c:layout>
                <c:manualLayout>
                  <c:x val="1.6666666666666666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40-480F-A2BA-42E2A7E6258F}"/>
                </c:ext>
              </c:extLst>
            </c:dLbl>
            <c:dLbl>
              <c:idx val="2"/>
              <c:layout>
                <c:manualLayout>
                  <c:x val="1.66666666666665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40-480F-A2BA-42E2A7E6258F}"/>
                </c:ext>
              </c:extLst>
            </c:dLbl>
            <c:numFmt formatCode="##&quot;%&quot;"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Sheet1!$D$6:$D$8</c:f>
                <c:numCache>
                  <c:formatCode>General</c:formatCode>
                  <c:ptCount val="3"/>
                  <c:pt idx="0">
                    <c:v>1.0707</c:v>
                  </c:pt>
                  <c:pt idx="1">
                    <c:v>1.482</c:v>
                  </c:pt>
                  <c:pt idx="2">
                    <c:v>0.90280000000000005</c:v>
                  </c:pt>
                </c:numCache>
              </c:numRef>
            </c:plus>
            <c:minus>
              <c:numRef>
                <c:f>Sheet1!$D$6:$D$8</c:f>
                <c:numCache>
                  <c:formatCode>General</c:formatCode>
                  <c:ptCount val="3"/>
                  <c:pt idx="0">
                    <c:v>1.0707</c:v>
                  </c:pt>
                  <c:pt idx="1">
                    <c:v>1.482</c:v>
                  </c:pt>
                  <c:pt idx="2">
                    <c:v>0.90280000000000005</c:v>
                  </c:pt>
                </c:numCache>
              </c:numRef>
            </c:minus>
            <c:spPr>
              <a:noFill/>
              <a:ln w="9525" cap="flat" cmpd="sng" algn="ctr">
                <a:solidFill>
                  <a:schemeClr val="tx1">
                    <a:lumMod val="65000"/>
                    <a:lumOff val="35000"/>
                  </a:schemeClr>
                </a:solidFill>
                <a:round/>
              </a:ln>
              <a:effectLst/>
            </c:spPr>
          </c:errBars>
          <c:cat>
            <c:strRef>
              <c:f>Sheet1!$B$2:$B$4</c:f>
              <c:strCache>
                <c:ptCount val="3"/>
                <c:pt idx="0">
                  <c:v>Choice</c:v>
                </c:pt>
                <c:pt idx="1">
                  <c:v>Fairness</c:v>
                </c:pt>
                <c:pt idx="2">
                  <c:v>Negotiation</c:v>
                </c:pt>
              </c:strCache>
            </c:strRef>
          </c:cat>
          <c:val>
            <c:numRef>
              <c:f>Sheet1!$D$2:$D$4</c:f>
              <c:numCache>
                <c:formatCode>General</c:formatCode>
                <c:ptCount val="3"/>
                <c:pt idx="0">
                  <c:v>17.2</c:v>
                </c:pt>
                <c:pt idx="1">
                  <c:v>60.2</c:v>
                </c:pt>
                <c:pt idx="2">
                  <c:v>22.5</c:v>
                </c:pt>
              </c:numCache>
            </c:numRef>
          </c:val>
          <c:extLst>
            <c:ext xmlns:c16="http://schemas.microsoft.com/office/drawing/2014/chart" uri="{C3380CC4-5D6E-409C-BE32-E72D297353CC}">
              <c16:uniqueId val="{00000004-B040-480F-A2BA-42E2A7E6258F}"/>
            </c:ext>
          </c:extLst>
        </c:ser>
        <c:dLbls>
          <c:showLegendKey val="0"/>
          <c:showVal val="0"/>
          <c:showCatName val="0"/>
          <c:showSerName val="0"/>
          <c:showPercent val="0"/>
          <c:showBubbleSize val="0"/>
        </c:dLbls>
        <c:gapWidth val="219"/>
        <c:overlap val="-27"/>
        <c:axId val="1217585311"/>
        <c:axId val="1217586975"/>
      </c:barChart>
      <c:catAx>
        <c:axId val="1217585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6975"/>
        <c:crosses val="autoZero"/>
        <c:auto val="1"/>
        <c:lblAlgn val="ctr"/>
        <c:lblOffset val="100"/>
        <c:noMultiLvlLbl val="0"/>
      </c:catAx>
      <c:valAx>
        <c:axId val="1217586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of Pay Gap Explained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5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CBE2-A1C0-E444-893F-EE600ABA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18097</Words>
  <Characters>103153</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2025-09-17T15:48:00Z</dcterms:created>
  <dcterms:modified xsi:type="dcterms:W3CDTF">2025-09-17T15:48:00Z</dcterms:modified>
  <cp:category/>
</cp:coreProperties>
</file>