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AAD70" w14:textId="26F0ADE6" w:rsidR="00F86298" w:rsidRPr="00F86298" w:rsidRDefault="0056710F" w:rsidP="00F86298">
      <w:pPr>
        <w:spacing w:before="100" w:beforeAutospacing="1" w:after="100" w:afterAutospacing="1"/>
        <w:rPr>
          <w:rFonts w:ascii="Times" w:hAnsi="Times" w:cs="Times New Roman"/>
          <w:b/>
          <w:sz w:val="40"/>
          <w:szCs w:val="40"/>
        </w:rPr>
      </w:pPr>
      <w:r>
        <w:rPr>
          <w:rFonts w:ascii="Times" w:hAnsi="Times" w:cs="Times New Roman"/>
          <w:noProof/>
          <w:sz w:val="20"/>
          <w:szCs w:val="20"/>
        </w:rPr>
        <w:drawing>
          <wp:anchor distT="0" distB="0" distL="114300" distR="114300" simplePos="0" relativeHeight="251658240" behindDoc="0" locked="0" layoutInCell="1" allowOverlap="1" wp14:anchorId="33BF8786" wp14:editId="55BEF399">
            <wp:simplePos x="0" y="0"/>
            <wp:positionH relativeFrom="column">
              <wp:posOffset>5257800</wp:posOffset>
            </wp:positionH>
            <wp:positionV relativeFrom="paragraph">
              <wp:posOffset>-228600</wp:posOffset>
            </wp:positionV>
            <wp:extent cx="1376045" cy="1905000"/>
            <wp:effectExtent l="0" t="0" r="0" b="0"/>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045" cy="190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D37C5">
        <w:rPr>
          <w:rFonts w:ascii="Times" w:hAnsi="Times" w:cs="Times New Roman"/>
          <w:b/>
          <w:sz w:val="40"/>
          <w:szCs w:val="40"/>
        </w:rPr>
        <w:t xml:space="preserve">Soliciting and Utilizing </w:t>
      </w:r>
      <w:r w:rsidR="00767EDE">
        <w:rPr>
          <w:rFonts w:ascii="Times" w:hAnsi="Times" w:cs="Times New Roman"/>
          <w:b/>
          <w:sz w:val="40"/>
          <w:szCs w:val="40"/>
        </w:rPr>
        <w:t xml:space="preserve">Mid-Semester Feedback </w:t>
      </w:r>
    </w:p>
    <w:p w14:paraId="640D9D2B" w14:textId="6637986D" w:rsidR="001D37C5" w:rsidRPr="0061205D" w:rsidRDefault="001D37C5" w:rsidP="0056710F">
      <w:pPr>
        <w:spacing w:before="100" w:beforeAutospacing="1" w:after="100" w:afterAutospacing="1"/>
        <w:ind w:right="1080"/>
        <w:rPr>
          <w:rFonts w:ascii="Times" w:hAnsi="Times" w:cs="Times New Roman"/>
          <w:sz w:val="16"/>
          <w:szCs w:val="16"/>
        </w:rPr>
      </w:pPr>
      <w:r w:rsidRPr="0061205D">
        <w:rPr>
          <w:rFonts w:ascii="Times" w:hAnsi="Times" w:cs="Times New Roman"/>
          <w:b/>
          <w:bCs/>
          <w:sz w:val="16"/>
          <w:szCs w:val="16"/>
        </w:rPr>
        <w:t>Cite this guide:</w:t>
      </w:r>
      <w:r w:rsidRPr="0061205D">
        <w:rPr>
          <w:rFonts w:ascii="Times" w:hAnsi="Times" w:cs="Times New Roman"/>
          <w:sz w:val="16"/>
          <w:szCs w:val="16"/>
        </w:rPr>
        <w:t xml:space="preserve"> Marx, R.</w:t>
      </w:r>
      <w:r w:rsidR="00B905BA">
        <w:rPr>
          <w:rFonts w:ascii="Times" w:hAnsi="Times" w:cs="Times New Roman"/>
          <w:sz w:val="16"/>
          <w:szCs w:val="16"/>
        </w:rPr>
        <w:t xml:space="preserve"> </w:t>
      </w:r>
      <w:r w:rsidRPr="0061205D">
        <w:rPr>
          <w:rFonts w:ascii="Times" w:hAnsi="Times" w:cs="Times New Roman"/>
          <w:sz w:val="16"/>
          <w:szCs w:val="16"/>
        </w:rPr>
        <w:t>(2019). Soliciting and utilizing mid-semester feedback. Vanderbilt University Center for Teaching. Retrieved [</w:t>
      </w:r>
      <w:proofErr w:type="spellStart"/>
      <w:r w:rsidRPr="0061205D">
        <w:rPr>
          <w:rFonts w:ascii="Times" w:hAnsi="Times" w:cs="Times New Roman"/>
          <w:sz w:val="16"/>
          <w:szCs w:val="16"/>
        </w:rPr>
        <w:t>todaysdate</w:t>
      </w:r>
      <w:proofErr w:type="spellEnd"/>
      <w:r w:rsidRPr="0061205D">
        <w:rPr>
          <w:rFonts w:ascii="Times" w:hAnsi="Times" w:cs="Times New Roman"/>
          <w:sz w:val="16"/>
          <w:szCs w:val="16"/>
        </w:rPr>
        <w:t>] from https://cft.vanderbilt.edu/guides-sub-pages/student-feedback/.</w:t>
      </w:r>
    </w:p>
    <w:p w14:paraId="506C8830" w14:textId="3CCEEB3E" w:rsidR="00F86298" w:rsidRPr="00F86298" w:rsidRDefault="00767EDE" w:rsidP="0056710F">
      <w:pPr>
        <w:spacing w:before="100" w:beforeAutospacing="1" w:after="100" w:afterAutospacing="1"/>
        <w:ind w:right="1080"/>
        <w:rPr>
          <w:rFonts w:ascii="Times" w:hAnsi="Times" w:cs="Times New Roman"/>
          <w:sz w:val="20"/>
          <w:szCs w:val="20"/>
        </w:rPr>
      </w:pPr>
      <w:r>
        <w:rPr>
          <w:rFonts w:ascii="Times" w:hAnsi="Times" w:cs="Times New Roman"/>
          <w:sz w:val="20"/>
          <w:szCs w:val="20"/>
        </w:rPr>
        <w:t xml:space="preserve">Although students provide summative insight on our teaching in their </w:t>
      </w:r>
      <w:hyperlink r:id="rId6" w:history="1">
        <w:r w:rsidRPr="00767EDE">
          <w:rPr>
            <w:rStyle w:val="Hyperlink"/>
            <w:rFonts w:ascii="Times" w:hAnsi="Times" w:cs="Times New Roman"/>
            <w:sz w:val="20"/>
            <w:szCs w:val="20"/>
          </w:rPr>
          <w:t>end-of-semester course evaluations</w:t>
        </w:r>
      </w:hyperlink>
      <w:r>
        <w:rPr>
          <w:rFonts w:ascii="Times" w:hAnsi="Times" w:cs="Times New Roman"/>
          <w:sz w:val="20"/>
          <w:szCs w:val="20"/>
        </w:rPr>
        <w:t xml:space="preserve">, teachers can also benefit from soliciting mid-semester feedback from their students. Unlike the feedback on formal course evaluations, this mid-semester feedback can be utilized immediately to make adjustments, clarify expectations, or reinforce the goals and aims of the course. This both ensures that your course is more dynamically responsive to your students’ needs and provides a safe, low-stakes forum for students to provide feedback that will not appear on your official teaching evaluation forms. </w:t>
      </w:r>
    </w:p>
    <w:p w14:paraId="0E00C502" w14:textId="77777777" w:rsidR="001D37C5" w:rsidRDefault="001D37C5" w:rsidP="001D37C5">
      <w:pPr>
        <w:spacing w:before="100" w:beforeAutospacing="1" w:after="100" w:afterAutospacing="1"/>
        <w:outlineLvl w:val="1"/>
        <w:rPr>
          <w:rFonts w:ascii="Times" w:eastAsia="Times New Roman" w:hAnsi="Times" w:cs="Times New Roman"/>
          <w:b/>
          <w:bCs/>
          <w:sz w:val="36"/>
          <w:szCs w:val="36"/>
        </w:rPr>
      </w:pPr>
      <w:bookmarkStart w:id="0" w:name="inclass"/>
      <w:bookmarkEnd w:id="0"/>
      <w:r>
        <w:rPr>
          <w:rFonts w:ascii="Times" w:eastAsia="Times New Roman" w:hAnsi="Times" w:cs="Times New Roman"/>
          <w:b/>
          <w:bCs/>
          <w:sz w:val="36"/>
          <w:szCs w:val="36"/>
        </w:rPr>
        <w:t>Why Collect Mid-Semester Feedback?</w:t>
      </w:r>
    </w:p>
    <w:p w14:paraId="7E8E3880" w14:textId="4817C8B1" w:rsidR="001D37C5" w:rsidRDefault="001D37C5" w:rsidP="001D37C5">
      <w:pPr>
        <w:spacing w:before="100" w:beforeAutospacing="1" w:after="100" w:afterAutospacing="1"/>
        <w:outlineLvl w:val="1"/>
        <w:rPr>
          <w:rFonts w:ascii="Times" w:hAnsi="Times" w:cs="Times New Roman"/>
          <w:sz w:val="20"/>
          <w:szCs w:val="20"/>
        </w:rPr>
      </w:pPr>
      <w:r>
        <w:rPr>
          <w:rFonts w:ascii="Times" w:hAnsi="Times" w:cs="Times New Roman"/>
          <w:sz w:val="20"/>
          <w:szCs w:val="20"/>
        </w:rPr>
        <w:t xml:space="preserve">We know that students will probably fill out a teaching evaluation at the end of the semester, so why should we take up valuable class time with a mid-semester feedback session? First, this end-of-semester feedback comes too late for the students who provided the feedback to gain from it, and we may not teach the same course again. Additionally, though, these end-of-semester evaluations may not be the most useful means of gathering information about our teaching effectiveness or students’ learning </w:t>
      </w:r>
      <w:r>
        <w:rPr>
          <w:rFonts w:ascii="Times" w:hAnsi="Times" w:cs="Times New Roman"/>
          <w:sz w:val="20"/>
          <w:szCs w:val="20"/>
        </w:rPr>
        <w:fldChar w:fldCharType="begin"/>
      </w:r>
      <w:r>
        <w:rPr>
          <w:rFonts w:ascii="Times" w:hAnsi="Times" w:cs="Times New Roman"/>
          <w:sz w:val="20"/>
          <w:szCs w:val="20"/>
        </w:rPr>
        <w:instrText xml:space="preserve"> ADDIN ZOTERO_ITEM CSL_CITATION {"citationID":"6DqAC2Ez","properties":{"formattedCitation":"(Frick, Chadha, Watson, &amp; Zlatkovska, 2010; Stark &amp; Freishtat, 2014)","plainCitation":"(Frick, Chadha, Watson, &amp; Zlatkovska, 2010; Stark &amp; Freishtat, 2014)","noteIndex":0},"citationItems":[{"id":804,"uris":["http://zotero.org/users/5193654/items/4WXEFV7A"],"uri":["http://zotero.org/users/5193654/items/4WXEFV7A"],"itemData":{"id":804,"type":"article-journal","title":"Improving course evaluations to improve instruction and complex learning in higher education","container-title":"Educational Technology Research and Development","page":"115-136","volume":"58","issue":"2","source":"Crossref","abstract":"Recent research has touted the beneﬁts of learner-centered instruction, problem-based learning, and a focus on complex learning. Instructors often struggle to put these goals into practice as well as to measure the effectiveness of these new teaching strategies in terms of mastery of course objectives. Enter the course evaluation, often a standardized tool that yields little practical information for an instructor, but is nonetheless utilized in making high-level career decisions, such as tenure and monetary awards to faculty. The present researchers have developed a new instrument to measure teaching and learning quality (TALQ). In the current study of 464 students in 12 courses, if students agreed that their instructors used First Principles of Instruction and also agreed that they experienced academic learning time (ALT), then students were about 5 times more likely to achieve high levels of mastery of course objectives and 26 times less likely to achieve low levels of mastery, according to independent instructor assessments. TALQ can measure improvements in use of First Principles in teaching and course design. The feedback from this instrument can assist teachers who wish to implement the recommendation made by Kuh et al. (2007) that universities and colleges should focus their assessment efforts on factors that inﬂuence student success.","DOI":"10.1007/s11423-009-9131-z","ISSN":"1042-1629, 1556-6501","language":"en","author":[{"family":"Frick","given":"Theodore W."},{"family":"Chadha","given":"Rajat"},{"family":"Watson","given":"Carol"},{"family":"Zlatkovska","given":"Emilija"}],"issued":{"date-parts":[["2010",4]]}}},{"id":801,"uris":["http://zotero.org/users/5193654/items/QZ5HH2EM"],"uri":["http://zotero.org/users/5193654/items/QZ5HH2EM"],"itemData":{"id":801,"type":"article-journal","title":"An Evaluation of Course Evaluations: \"F\"","container-title":"ScienceOpen Research","source":"Crossref","abstract":"Student ratings of teaching have been used, studied, and debated for almost a century. This article examines student ratings of teaching from a statistical perspective. The common practice of relying on averages of student teaching evaluation scores as the primary measure of teaching effectiveness for promotion and tenure decisions should be abandoned for substantive and statistical reasons: There is strong evidence that student responses to questions of “effectiveness” do not measure teaching effectiveness. Response rates and response variability matter. And comparing averages of categorical responses, even if the categories are represented by numbers, makes little sense. Student ratings of teaching are valuable when they ask the right questions, report response rates and score distributions, and are balanced by a variety of other sources and methods to evaluate teaching.","URL":"https://www.scienceopen.com/document?id=ad8a9ac9-8c60-432a-ba20-4402a2a38df4","DOI":"10.14293/S2199-1006.1.SOR-EDU.AOFRQA.v1","ISSN":"2199-1006","title-short":"An Evaluation of Course Evaluations","language":"en","author":[{"family":"Stark","given":"Philip"},{"family":"Freishtat","given":"Richard"}],"issued":{"date-parts":[["2014",9,29]]},"accessed":{"date-parts":[["2019",6,24]]}}}],"schema":"https://github.com/citation-style-language/schema/raw/master/csl-citation.json"} </w:instrText>
      </w:r>
      <w:r>
        <w:rPr>
          <w:rFonts w:ascii="Times" w:hAnsi="Times" w:cs="Times New Roman"/>
          <w:sz w:val="20"/>
          <w:szCs w:val="20"/>
        </w:rPr>
        <w:fldChar w:fldCharType="separate"/>
      </w:r>
      <w:r>
        <w:rPr>
          <w:rFonts w:ascii="Times" w:hAnsi="Times" w:cs="Times New Roman"/>
          <w:noProof/>
          <w:sz w:val="20"/>
          <w:szCs w:val="20"/>
        </w:rPr>
        <w:t>(Frick, Chadha, Watson, &amp; Zlatkovska, 2010; Stark &amp; Freishtat, 2014)</w:t>
      </w:r>
      <w:r>
        <w:rPr>
          <w:rFonts w:ascii="Times" w:hAnsi="Times" w:cs="Times New Roman"/>
          <w:sz w:val="20"/>
          <w:szCs w:val="20"/>
        </w:rPr>
        <w:fldChar w:fldCharType="end"/>
      </w:r>
      <w:r>
        <w:rPr>
          <w:rFonts w:ascii="Times" w:hAnsi="Times" w:cs="Times New Roman"/>
          <w:sz w:val="20"/>
          <w:szCs w:val="20"/>
        </w:rPr>
        <w:t>. Indeed, because these evaluations are mostly used in administrative settings to determine tenure and promotion</w:t>
      </w:r>
      <w:r w:rsidR="00C36C35">
        <w:rPr>
          <w:rFonts w:ascii="Times" w:hAnsi="Times" w:cs="Times New Roman"/>
          <w:sz w:val="20"/>
          <w:szCs w:val="20"/>
        </w:rPr>
        <w:t xml:space="preserve">, they are standardized across disciplines. This means that they provide only very general information about a course—“this was an outstanding course”—that </w:t>
      </w:r>
      <w:r w:rsidR="003B2827">
        <w:rPr>
          <w:rFonts w:ascii="Times" w:hAnsi="Times" w:cs="Times New Roman"/>
          <w:sz w:val="20"/>
          <w:szCs w:val="20"/>
        </w:rPr>
        <w:t>is</w:t>
      </w:r>
      <w:r w:rsidR="00C36C35">
        <w:rPr>
          <w:rFonts w:ascii="Times" w:hAnsi="Times" w:cs="Times New Roman"/>
          <w:sz w:val="20"/>
          <w:szCs w:val="20"/>
        </w:rPr>
        <w:t xml:space="preserve"> only moderately correlated with student achievement </w:t>
      </w:r>
      <w:r w:rsidR="00C36C35">
        <w:rPr>
          <w:rFonts w:ascii="Times" w:hAnsi="Times" w:cs="Times New Roman"/>
          <w:sz w:val="20"/>
          <w:szCs w:val="20"/>
        </w:rPr>
        <w:fldChar w:fldCharType="begin"/>
      </w:r>
      <w:r w:rsidR="00C36C35">
        <w:rPr>
          <w:rFonts w:ascii="Times" w:hAnsi="Times" w:cs="Times New Roman"/>
          <w:sz w:val="20"/>
          <w:szCs w:val="20"/>
        </w:rPr>
        <w:instrText xml:space="preserve"> ADDIN ZOTERO_ITEM CSL_CITATION {"citationID":"EpF2hInh","properties":{"formattedCitation":"(Frick et al., 2010)","plainCitation":"(Frick et al., 2010)","noteIndex":0},"citationItems":[{"id":804,"uris":["http://zotero.org/users/5193654/items/4WXEFV7A"],"uri":["http://zotero.org/users/5193654/items/4WXEFV7A"],"itemData":{"id":804,"type":"article-journal","title":"Improving course evaluations to improve instruction and complex learning in higher education","container-title":"Educational Technology Research and Development","page":"115-136","volume":"58","issue":"2","source":"Crossref","abstract":"Recent research has touted the beneﬁts of learner-centered instruction, problem-based learning, and a focus on complex learning. Instructors often struggle to put these goals into practice as well as to measure the effectiveness of these new teaching strategies in terms of mastery of course objectives. Enter the course evaluation, often a standardized tool that yields little practical information for an instructor, but is nonetheless utilized in making high-level career decisions, such as tenure and monetary awards to faculty. The present researchers have developed a new instrument to measure teaching and learning quality (TALQ). In the current study of 464 students in 12 courses, if students agreed that their instructors used First Principles of Instruction and also agreed that they experienced academic learning time (ALT), then students were about 5 times more likely to achieve high levels of mastery of course objectives and 26 times less likely to achieve low levels of mastery, according to independent instructor assessments. TALQ can measure improvements in use of First Principles in teaching and course design. The feedback from this instrument can assist teachers who wish to implement the recommendation made by Kuh et al. (2007) that universities and colleges should focus their assessment efforts on factors that inﬂuence student success.","DOI":"10.1007/s11423-009-9131-z","ISSN":"1042-1629, 1556-6501","language":"en","author":[{"family":"Frick","given":"Theodore W."},{"family":"Chadha","given":"Rajat"},{"family":"Watson","given":"Carol"},{"family":"Zlatkovska","given":"Emilija"}],"issued":{"date-parts":[["2010",4]]}}}],"schema":"https://github.com/citation-style-language/schema/raw/master/csl-citation.json"} </w:instrText>
      </w:r>
      <w:r w:rsidR="00C36C35">
        <w:rPr>
          <w:rFonts w:ascii="Times" w:hAnsi="Times" w:cs="Times New Roman"/>
          <w:sz w:val="20"/>
          <w:szCs w:val="20"/>
        </w:rPr>
        <w:fldChar w:fldCharType="separate"/>
      </w:r>
      <w:r w:rsidR="00C36C35">
        <w:rPr>
          <w:rFonts w:ascii="Times" w:hAnsi="Times" w:cs="Times New Roman"/>
          <w:noProof/>
          <w:sz w:val="20"/>
          <w:szCs w:val="20"/>
        </w:rPr>
        <w:t>(Frick et al., 2010)</w:t>
      </w:r>
      <w:r w:rsidR="00C36C35">
        <w:rPr>
          <w:rFonts w:ascii="Times" w:hAnsi="Times" w:cs="Times New Roman"/>
          <w:sz w:val="20"/>
          <w:szCs w:val="20"/>
        </w:rPr>
        <w:fldChar w:fldCharType="end"/>
      </w:r>
      <w:r w:rsidR="00C36C35">
        <w:rPr>
          <w:rFonts w:ascii="Times" w:hAnsi="Times" w:cs="Times New Roman"/>
          <w:sz w:val="20"/>
          <w:szCs w:val="20"/>
        </w:rPr>
        <w:t xml:space="preserve">. Further, our universities often provide us with the results of these evaluations in aggregate, without consideration of student variability, response rates, or the comparability of different measures </w:t>
      </w:r>
      <w:r w:rsidR="00C36C35">
        <w:rPr>
          <w:rFonts w:ascii="Times" w:hAnsi="Times" w:cs="Times New Roman"/>
          <w:sz w:val="20"/>
          <w:szCs w:val="20"/>
        </w:rPr>
        <w:fldChar w:fldCharType="begin"/>
      </w:r>
      <w:r w:rsidR="00C36C35">
        <w:rPr>
          <w:rFonts w:ascii="Times" w:hAnsi="Times" w:cs="Times New Roman"/>
          <w:sz w:val="20"/>
          <w:szCs w:val="20"/>
        </w:rPr>
        <w:instrText xml:space="preserve"> ADDIN ZOTERO_ITEM CSL_CITATION {"citationID":"dL9k7KZo","properties":{"formattedCitation":"(Stark &amp; Freishtat, 2014)","plainCitation":"(Stark &amp; Freishtat, 2014)","noteIndex":0},"citationItems":[{"id":801,"uris":["http://zotero.org/users/5193654/items/QZ5HH2EM"],"uri":["http://zotero.org/users/5193654/items/QZ5HH2EM"],"itemData":{"id":801,"type":"article-journal","title":"An Evaluation of Course Evaluations: \"F\"","container-title":"ScienceOpen Research","source":"Crossref","abstract":"Student ratings of teaching have been used, studied, and debated for almost a century. This article examines student ratings of teaching from a statistical perspective. The common practice of relying on averages of student teaching evaluation scores as the primary measure of teaching effectiveness for promotion and tenure decisions should be abandoned for substantive and statistical reasons: There is strong evidence that student responses to questions of “effectiveness” do not measure teaching effectiveness. Response rates and response variability matter. And comparing averages of categorical responses, even if the categories are represented by numbers, makes little sense. Student ratings of teaching are valuable when they ask the right questions, report response rates and score distributions, and are balanced by a variety of other sources and methods to evaluate teaching.","URL":"https://www.scienceopen.com/document?id=ad8a9ac9-8c60-432a-ba20-4402a2a38df4","DOI":"10.14293/S2199-1006.1.SOR-EDU.AOFRQA.v1","ISSN":"2199-1006","title-short":"An Evaluation of Course Evaluations","language":"en","author":[{"family":"Stark","given":"Philip"},{"family":"Freishtat","given":"Richard"}],"issued":{"date-parts":[["2014",9,29]]},"accessed":{"date-parts":[["2019",6,24]]}}}],"schema":"https://github.com/citation-style-language/schema/raw/master/csl-citation.json"} </w:instrText>
      </w:r>
      <w:r w:rsidR="00C36C35">
        <w:rPr>
          <w:rFonts w:ascii="Times" w:hAnsi="Times" w:cs="Times New Roman"/>
          <w:sz w:val="20"/>
          <w:szCs w:val="20"/>
        </w:rPr>
        <w:fldChar w:fldCharType="separate"/>
      </w:r>
      <w:r w:rsidR="00C36C35">
        <w:rPr>
          <w:rFonts w:ascii="Times" w:hAnsi="Times" w:cs="Times New Roman"/>
          <w:noProof/>
          <w:sz w:val="20"/>
          <w:szCs w:val="20"/>
        </w:rPr>
        <w:t>(Stark &amp; Freishtat, 2014)</w:t>
      </w:r>
      <w:r w:rsidR="00C36C35">
        <w:rPr>
          <w:rFonts w:ascii="Times" w:hAnsi="Times" w:cs="Times New Roman"/>
          <w:sz w:val="20"/>
          <w:szCs w:val="20"/>
        </w:rPr>
        <w:fldChar w:fldCharType="end"/>
      </w:r>
      <w:r w:rsidR="00C36C35">
        <w:rPr>
          <w:rFonts w:ascii="Times" w:hAnsi="Times" w:cs="Times New Roman"/>
          <w:sz w:val="20"/>
          <w:szCs w:val="20"/>
        </w:rPr>
        <w:t>.</w:t>
      </w:r>
    </w:p>
    <w:p w14:paraId="57975069" w14:textId="3421C5A9" w:rsidR="00C36C35" w:rsidRDefault="00C36C35" w:rsidP="001D37C5">
      <w:pPr>
        <w:spacing w:before="100" w:beforeAutospacing="1" w:after="100" w:afterAutospacing="1"/>
        <w:outlineLvl w:val="1"/>
        <w:rPr>
          <w:rFonts w:ascii="Times" w:hAnsi="Times" w:cs="Times New Roman"/>
          <w:sz w:val="20"/>
          <w:szCs w:val="20"/>
        </w:rPr>
      </w:pPr>
      <w:r>
        <w:rPr>
          <w:rFonts w:ascii="Times" w:hAnsi="Times" w:cs="Times New Roman"/>
          <w:sz w:val="20"/>
          <w:szCs w:val="20"/>
        </w:rPr>
        <w:t xml:space="preserve">Mid-semester feedback, however, can be customized to avoid these pitfalls. Because we as teachers control </w:t>
      </w:r>
      <w:r w:rsidR="00CC12A8">
        <w:rPr>
          <w:rFonts w:ascii="Times" w:hAnsi="Times" w:cs="Times New Roman"/>
          <w:sz w:val="20"/>
          <w:szCs w:val="20"/>
        </w:rPr>
        <w:t xml:space="preserve">the timing, questions, and analysis of these more informal surveys, </w:t>
      </w:r>
      <w:r w:rsidR="003E7F50">
        <w:rPr>
          <w:rFonts w:ascii="Times" w:hAnsi="Times" w:cs="Times New Roman"/>
          <w:sz w:val="20"/>
          <w:szCs w:val="20"/>
        </w:rPr>
        <w:t xml:space="preserve">we can ensure that they best meet our needs and contribute to student learning. </w:t>
      </w:r>
      <w:r w:rsidR="00512055">
        <w:rPr>
          <w:rFonts w:ascii="Times" w:hAnsi="Times" w:cs="Times New Roman"/>
          <w:sz w:val="20"/>
          <w:szCs w:val="20"/>
        </w:rPr>
        <w:t xml:space="preserve">Instead of asking questions that would similarly gauge students from mechanical engineering and French literature courses, we can design feedback tools that get to the heart of what we need to know. </w:t>
      </w:r>
      <w:r w:rsidR="003E7F50">
        <w:rPr>
          <w:rFonts w:ascii="Times" w:hAnsi="Times" w:cs="Times New Roman"/>
          <w:sz w:val="20"/>
          <w:szCs w:val="20"/>
        </w:rPr>
        <w:t xml:space="preserve">Asking students for their input on the course also creates the conditions for an open dialogue in which students see themselves as valuable members of the learning community </w:t>
      </w:r>
      <w:r w:rsidR="003E7F50">
        <w:rPr>
          <w:rFonts w:ascii="Times" w:hAnsi="Times" w:cs="Times New Roman"/>
          <w:sz w:val="20"/>
          <w:szCs w:val="20"/>
        </w:rPr>
        <w:fldChar w:fldCharType="begin"/>
      </w:r>
      <w:r w:rsidR="003E7F50">
        <w:rPr>
          <w:rFonts w:ascii="Times" w:hAnsi="Times" w:cs="Times New Roman"/>
          <w:sz w:val="20"/>
          <w:szCs w:val="20"/>
        </w:rPr>
        <w:instrText xml:space="preserve"> ADDIN ZOTERO_ITEM CSL_CITATION {"citationID":"lFppenRE","properties":{"formattedCitation":"(Hurney, Harris, Prins, &amp; Kruck, 2014)","plainCitation":"(Hurney, Harris, Prins, &amp; Kruck, 2014)","noteIndex":0},"citationItems":[{"id":813,"uris":["http://zotero.org/users/5193654/items/WKENX29B"],"uri":["http://zotero.org/users/5193654/items/WKENX29B"],"itemData":{"id":813,"type":"article-journal","title":"The Impact of a Learner-Centered, Mid-Semester Course Evaluation on Students","container-title":"Journal of Faculty Development","page":"9","volume":"28","issue":"3","source":"Zotero","language":"en","author":[{"family":"Hurney","given":"Carol A"},{"family":"Harris","given":"Nancy L"},{"family":"Prins","given":"Samantha C Bates"},{"family":"Kruck","given":"S E"}],"issued":{"date-parts":[["2014"]]}}}],"schema":"https://github.com/citation-style-language/schema/raw/master/csl-citation.json"} </w:instrText>
      </w:r>
      <w:r w:rsidR="003E7F50">
        <w:rPr>
          <w:rFonts w:ascii="Times" w:hAnsi="Times" w:cs="Times New Roman"/>
          <w:sz w:val="20"/>
          <w:szCs w:val="20"/>
        </w:rPr>
        <w:fldChar w:fldCharType="separate"/>
      </w:r>
      <w:r w:rsidR="003E7F50">
        <w:rPr>
          <w:rFonts w:ascii="Times" w:hAnsi="Times" w:cs="Times New Roman"/>
          <w:noProof/>
          <w:sz w:val="20"/>
          <w:szCs w:val="20"/>
        </w:rPr>
        <w:t>(Hurney, Harris, Prins, &amp; Kruck, 2014)</w:t>
      </w:r>
      <w:r w:rsidR="003E7F50">
        <w:rPr>
          <w:rFonts w:ascii="Times" w:hAnsi="Times" w:cs="Times New Roman"/>
          <w:sz w:val="20"/>
          <w:szCs w:val="20"/>
        </w:rPr>
        <w:fldChar w:fldCharType="end"/>
      </w:r>
      <w:r w:rsidR="003E7F50">
        <w:rPr>
          <w:rFonts w:ascii="Times" w:hAnsi="Times" w:cs="Times New Roman"/>
          <w:sz w:val="20"/>
          <w:szCs w:val="20"/>
        </w:rPr>
        <w:t>.</w:t>
      </w:r>
      <w:r w:rsidR="00512055">
        <w:rPr>
          <w:rFonts w:ascii="Times" w:hAnsi="Times" w:cs="Times New Roman"/>
          <w:sz w:val="20"/>
          <w:szCs w:val="20"/>
        </w:rPr>
        <w:t xml:space="preserve"> Moreover, </w:t>
      </w:r>
      <w:r w:rsidR="00B50A66">
        <w:rPr>
          <w:rFonts w:ascii="Times" w:hAnsi="Times" w:cs="Times New Roman"/>
          <w:sz w:val="20"/>
          <w:szCs w:val="20"/>
        </w:rPr>
        <w:t>it models for students the kind of behavior that we as teachers want to see in them: a drive for continual improvement</w:t>
      </w:r>
      <w:r w:rsidR="008A135B">
        <w:rPr>
          <w:rFonts w:ascii="Times" w:hAnsi="Times" w:cs="Times New Roman"/>
          <w:sz w:val="20"/>
          <w:szCs w:val="20"/>
        </w:rPr>
        <w:t xml:space="preserve"> with several opportunities to hear from experts, make adjustments, and consider the choices we make. Finally, soliciting mid-semester feedback can improve our end-of-course evaluations, as it will both improve the quality of the course itself and provide students with early opportunities to raise concerns with the course.</w:t>
      </w:r>
    </w:p>
    <w:p w14:paraId="6B73B95E" w14:textId="69055FCC" w:rsidR="008A135B" w:rsidRDefault="008A135B" w:rsidP="008A135B">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When and How to Collect Mid-Semester Feedback?</w:t>
      </w:r>
    </w:p>
    <w:p w14:paraId="76BF3552" w14:textId="1400F659" w:rsidR="008E7E39" w:rsidRDefault="008A135B" w:rsidP="001D37C5">
      <w:pPr>
        <w:spacing w:before="100" w:beforeAutospacing="1" w:after="100" w:afterAutospacing="1"/>
        <w:outlineLvl w:val="1"/>
        <w:rPr>
          <w:rFonts w:ascii="Times" w:hAnsi="Times" w:cs="Times New Roman"/>
          <w:sz w:val="20"/>
          <w:szCs w:val="20"/>
        </w:rPr>
      </w:pPr>
      <w:r>
        <w:rPr>
          <w:rFonts w:ascii="Times" w:hAnsi="Times" w:cs="Times New Roman"/>
          <w:sz w:val="20"/>
          <w:szCs w:val="20"/>
        </w:rPr>
        <w:t xml:space="preserve">Now that we know how important collecting mid-semester feedback is, </w:t>
      </w:r>
      <w:r w:rsidR="00DA045C">
        <w:rPr>
          <w:rFonts w:ascii="Times" w:hAnsi="Times" w:cs="Times New Roman"/>
          <w:sz w:val="20"/>
          <w:szCs w:val="20"/>
        </w:rPr>
        <w:t xml:space="preserve">we need to consider when and how we collect it. To some extent, this is personal preference: many teachers simply want feedback before the end of the semester, so they collect mid-semester feedback at the halfway point. </w:t>
      </w:r>
      <w:r w:rsidR="00F06279">
        <w:rPr>
          <w:rFonts w:ascii="Times" w:hAnsi="Times" w:cs="Times New Roman"/>
          <w:sz w:val="20"/>
          <w:szCs w:val="20"/>
        </w:rPr>
        <w:t xml:space="preserve">This could be a useful time, as students have enough experience </w:t>
      </w:r>
      <w:r w:rsidR="00F21D05">
        <w:rPr>
          <w:rFonts w:ascii="Times" w:hAnsi="Times" w:cs="Times New Roman"/>
          <w:sz w:val="20"/>
          <w:szCs w:val="20"/>
        </w:rPr>
        <w:t xml:space="preserve">with the course </w:t>
      </w:r>
      <w:r w:rsidR="00F06279">
        <w:rPr>
          <w:rFonts w:ascii="Times" w:hAnsi="Times" w:cs="Times New Roman"/>
          <w:sz w:val="20"/>
          <w:szCs w:val="20"/>
        </w:rPr>
        <w:t>to offer informed suggestions</w:t>
      </w:r>
      <w:r w:rsidR="00F21D05">
        <w:rPr>
          <w:rFonts w:ascii="Times" w:hAnsi="Times" w:cs="Times New Roman"/>
          <w:sz w:val="20"/>
          <w:szCs w:val="20"/>
        </w:rPr>
        <w:t xml:space="preserve">, but they will still benefit from any changes we make. Some teachers, though, want more of a continual feedback model, and require students to complete a classroom assessment at the end of each class </w:t>
      </w:r>
      <w:r w:rsidR="00F21D05">
        <w:rPr>
          <w:rFonts w:ascii="Times" w:hAnsi="Times" w:cs="Times New Roman"/>
          <w:sz w:val="20"/>
          <w:szCs w:val="20"/>
        </w:rPr>
        <w:fldChar w:fldCharType="begin"/>
      </w:r>
      <w:r w:rsidR="00F21D05">
        <w:rPr>
          <w:rFonts w:ascii="Times" w:hAnsi="Times" w:cs="Times New Roman"/>
          <w:sz w:val="20"/>
          <w:szCs w:val="20"/>
        </w:rPr>
        <w:instrText xml:space="preserve"> ADDIN ZOTERO_ITEM CSL_CITATION {"citationID":"Yh7RYX4N","properties":{"formattedCitation":"(Lewis, 2001)","plainCitation":"(Lewis, 2001)","noteIndex":0},"citationItems":[{"id":806,"uris":["http://zotero.org/users/5193654/items/KK4HAKWF"],"uri":["http://zotero.org/users/5193654/items/KK4HAKWF"],"itemData":{"id":806,"type":"article-journal","title":"Using Midsemester Student Feedback and Responding to It","container-title":"New Directions for Teaching and Learning","page":"33","volume":"2001","issue":"87","source":"Crossref","DOI":"10.1002/tl.26","ISSN":"02710633, 15360768","language":"en","author":[{"family":"Lewis","given":"Karron G."}],"issued":{"date-parts":[["2001"]]}}}],"schema":"https://github.com/citation-style-language/schema/raw/master/csl-citation.json"} </w:instrText>
      </w:r>
      <w:r w:rsidR="00F21D05">
        <w:rPr>
          <w:rFonts w:ascii="Times" w:hAnsi="Times" w:cs="Times New Roman"/>
          <w:sz w:val="20"/>
          <w:szCs w:val="20"/>
        </w:rPr>
        <w:fldChar w:fldCharType="separate"/>
      </w:r>
      <w:r w:rsidR="00F21D05">
        <w:rPr>
          <w:rFonts w:ascii="Times" w:hAnsi="Times" w:cs="Times New Roman"/>
          <w:noProof/>
          <w:sz w:val="20"/>
          <w:szCs w:val="20"/>
        </w:rPr>
        <w:t>(Lewis, 2001)</w:t>
      </w:r>
      <w:r w:rsidR="00F21D05">
        <w:rPr>
          <w:rFonts w:ascii="Times" w:hAnsi="Times" w:cs="Times New Roman"/>
          <w:sz w:val="20"/>
          <w:szCs w:val="20"/>
        </w:rPr>
        <w:fldChar w:fldCharType="end"/>
      </w:r>
      <w:r w:rsidR="00F21D05">
        <w:rPr>
          <w:rFonts w:ascii="Times" w:hAnsi="Times" w:cs="Times New Roman"/>
          <w:sz w:val="20"/>
          <w:szCs w:val="20"/>
        </w:rPr>
        <w:t xml:space="preserve">. The key is to only solicit feedback that you will have time to read, engage with, and act on; if you ask students for their input after each class, but do not have the time to reflect on and incorporate it, students will quickly realize that their voices are not being heard. </w:t>
      </w:r>
      <w:r w:rsidR="00821A69">
        <w:rPr>
          <w:rFonts w:ascii="Times" w:hAnsi="Times" w:cs="Times New Roman"/>
          <w:sz w:val="20"/>
          <w:szCs w:val="20"/>
        </w:rPr>
        <w:t>For this reason, many teachers choose to collect feedback at one or two points during the semester</w:t>
      </w:r>
      <w:r w:rsidR="008E7E39">
        <w:rPr>
          <w:rFonts w:ascii="Times" w:hAnsi="Times" w:cs="Times New Roman"/>
          <w:sz w:val="20"/>
          <w:szCs w:val="20"/>
        </w:rPr>
        <w:t>.</w:t>
      </w:r>
      <w:r w:rsidR="003B2827">
        <w:rPr>
          <w:rFonts w:ascii="Times" w:hAnsi="Times" w:cs="Times New Roman"/>
          <w:sz w:val="20"/>
          <w:szCs w:val="20"/>
        </w:rPr>
        <w:t xml:space="preserve"> It’s also important to note that if you solicit feedback immediately after a major deadline—a paper or a midterm, for example—you are likely to get feedback that primarily relates to that assessment, rather than to the class as a whole.</w:t>
      </w:r>
    </w:p>
    <w:p w14:paraId="7A730FA7" w14:textId="586BDB00" w:rsidR="00F86298" w:rsidRDefault="007A4962" w:rsidP="00AD50B2">
      <w:pPr>
        <w:spacing w:before="100" w:beforeAutospacing="1" w:after="100" w:afterAutospacing="1"/>
        <w:outlineLvl w:val="1"/>
        <w:rPr>
          <w:rFonts w:ascii="Times" w:hAnsi="Times" w:cs="Times New Roman"/>
          <w:sz w:val="20"/>
          <w:szCs w:val="20"/>
        </w:rPr>
      </w:pPr>
      <w:r>
        <w:rPr>
          <w:rFonts w:ascii="Times" w:hAnsi="Times" w:cs="Times New Roman"/>
          <w:sz w:val="20"/>
          <w:szCs w:val="20"/>
        </w:rPr>
        <w:t>It is important to collect feedback in a way that enables students to be completely honest and forthcoming. Teachers achieve this anonymity in a number of ways. If your interaction with students’ written work is almost exclusively through typed documents, you may not know your students’ handwriting and could therefore just ask students to complete forms anonymously</w:t>
      </w:r>
      <w:r w:rsidR="003B2827">
        <w:rPr>
          <w:rFonts w:ascii="Times" w:hAnsi="Times" w:cs="Times New Roman"/>
          <w:sz w:val="20"/>
          <w:szCs w:val="20"/>
        </w:rPr>
        <w:t>, in class without technology</w:t>
      </w:r>
      <w:r>
        <w:rPr>
          <w:rFonts w:ascii="Times" w:hAnsi="Times" w:cs="Times New Roman"/>
          <w:sz w:val="20"/>
          <w:szCs w:val="20"/>
        </w:rPr>
        <w:t xml:space="preserve">. If you worry, though, that students will not be able to be completely truthful if they handwrite their answers, you could create an online survey using Google Forms, </w:t>
      </w:r>
      <w:r>
        <w:rPr>
          <w:rFonts w:ascii="Times" w:hAnsi="Times" w:cs="Times New Roman"/>
          <w:sz w:val="20"/>
          <w:szCs w:val="20"/>
        </w:rPr>
        <w:lastRenderedPageBreak/>
        <w:t>SurveyMonkey, or another survey software</w:t>
      </w:r>
      <w:r w:rsidR="003B2827">
        <w:rPr>
          <w:rFonts w:ascii="Times" w:hAnsi="Times" w:cs="Times New Roman"/>
          <w:sz w:val="20"/>
          <w:szCs w:val="20"/>
        </w:rPr>
        <w:t>, and tell your students to be sure to bring a laptop to class to complete the form</w:t>
      </w:r>
      <w:r>
        <w:rPr>
          <w:rFonts w:ascii="Times" w:hAnsi="Times" w:cs="Times New Roman"/>
          <w:sz w:val="20"/>
          <w:szCs w:val="20"/>
        </w:rPr>
        <w:t>.</w:t>
      </w:r>
      <w:r w:rsidR="00F21D05">
        <w:rPr>
          <w:rFonts w:ascii="Times" w:hAnsi="Times" w:cs="Times New Roman"/>
          <w:sz w:val="20"/>
          <w:szCs w:val="20"/>
        </w:rPr>
        <w:t xml:space="preserve"> </w:t>
      </w:r>
      <w:r>
        <w:rPr>
          <w:rFonts w:ascii="Times" w:hAnsi="Times" w:cs="Times New Roman"/>
          <w:sz w:val="20"/>
          <w:szCs w:val="20"/>
        </w:rPr>
        <w:t xml:space="preserve">Regardless of the method of collection, teachers should ensure that students have ample class time to complete their feedback forms: you may consider devoting the last 15 minutes of a class period to feedback, and depending on your relationship with your students, you may want to leave the room and allow students to dismiss themselves. </w:t>
      </w:r>
    </w:p>
    <w:p w14:paraId="1DB2D746" w14:textId="486FEDB1" w:rsidR="006D126B" w:rsidRDefault="006D126B" w:rsidP="00AD50B2">
      <w:pPr>
        <w:spacing w:before="100" w:beforeAutospacing="1" w:after="100" w:afterAutospacing="1"/>
        <w:outlineLvl w:val="1"/>
        <w:rPr>
          <w:rFonts w:ascii="Times" w:hAnsi="Times" w:cs="Times New Roman"/>
          <w:sz w:val="20"/>
          <w:szCs w:val="20"/>
        </w:rPr>
      </w:pPr>
      <w:r>
        <w:rPr>
          <w:rFonts w:ascii="Times" w:hAnsi="Times" w:cs="Times New Roman"/>
          <w:sz w:val="20"/>
          <w:szCs w:val="20"/>
        </w:rPr>
        <w:t>As with end-of-semester course evaluations, it is useful to prepare your students for what they are doing and how they can be helpful to you.</w:t>
      </w:r>
      <w:r w:rsidR="00152E0D">
        <w:rPr>
          <w:rFonts w:ascii="Times" w:hAnsi="Times" w:cs="Times New Roman"/>
          <w:sz w:val="20"/>
          <w:szCs w:val="20"/>
        </w:rPr>
        <w:t xml:space="preserve"> </w:t>
      </w:r>
      <w:r w:rsidR="00886173">
        <w:rPr>
          <w:rFonts w:ascii="Times" w:hAnsi="Times" w:cs="Times New Roman"/>
          <w:sz w:val="20"/>
          <w:szCs w:val="20"/>
        </w:rPr>
        <w:t xml:space="preserve">You can start off by sharing how you plan to use the feedback in future class sessions. </w:t>
      </w:r>
      <w:r w:rsidR="00A737CF">
        <w:rPr>
          <w:rFonts w:ascii="Times" w:hAnsi="Times" w:cs="Times New Roman"/>
          <w:sz w:val="20"/>
          <w:szCs w:val="20"/>
        </w:rPr>
        <w:t>You</w:t>
      </w:r>
      <w:r w:rsidR="00152E0D">
        <w:rPr>
          <w:rFonts w:ascii="Times" w:hAnsi="Times" w:cs="Times New Roman"/>
          <w:sz w:val="20"/>
          <w:szCs w:val="20"/>
        </w:rPr>
        <w:t xml:space="preserve"> may </w:t>
      </w:r>
      <w:r w:rsidR="00886173">
        <w:rPr>
          <w:rFonts w:ascii="Times" w:hAnsi="Times" w:cs="Times New Roman"/>
          <w:sz w:val="20"/>
          <w:szCs w:val="20"/>
        </w:rPr>
        <w:t xml:space="preserve">also </w:t>
      </w:r>
      <w:r w:rsidR="00152E0D">
        <w:rPr>
          <w:rFonts w:ascii="Times" w:hAnsi="Times" w:cs="Times New Roman"/>
          <w:sz w:val="20"/>
          <w:szCs w:val="20"/>
        </w:rPr>
        <w:t xml:space="preserve">want to </w:t>
      </w:r>
      <w:r w:rsidR="00886173">
        <w:rPr>
          <w:rFonts w:ascii="Times" w:hAnsi="Times" w:cs="Times New Roman"/>
          <w:sz w:val="20"/>
          <w:szCs w:val="20"/>
        </w:rPr>
        <w:t xml:space="preserve">identify </w:t>
      </w:r>
      <w:r w:rsidR="00152E0D">
        <w:rPr>
          <w:rFonts w:ascii="Times" w:hAnsi="Times" w:cs="Times New Roman"/>
          <w:sz w:val="20"/>
          <w:szCs w:val="20"/>
        </w:rPr>
        <w:t xml:space="preserve">unhelpful feedback </w:t>
      </w:r>
      <w:r w:rsidR="00886173">
        <w:rPr>
          <w:rFonts w:ascii="Times" w:hAnsi="Times" w:cs="Times New Roman"/>
          <w:sz w:val="20"/>
          <w:szCs w:val="20"/>
        </w:rPr>
        <w:t xml:space="preserve">so students know what to avoid </w:t>
      </w:r>
      <w:r w:rsidR="00152E0D">
        <w:rPr>
          <w:rFonts w:ascii="Times" w:hAnsi="Times" w:cs="Times New Roman"/>
          <w:sz w:val="20"/>
          <w:szCs w:val="20"/>
        </w:rPr>
        <w:t>(e.g., “you’re younger than I expected,” “I wish this class weren’t a requirement,” or “everything is good”).</w:t>
      </w:r>
      <w:r w:rsidR="00A737CF">
        <w:rPr>
          <w:rFonts w:ascii="Times" w:hAnsi="Times" w:cs="Times New Roman"/>
          <w:sz w:val="20"/>
          <w:szCs w:val="20"/>
        </w:rPr>
        <w:t xml:space="preserve"> Additionally, you could stress the importance of specific, relevant comments that focus on the course and your teaching, rather than on your clothing, voice, or ethnicity.</w:t>
      </w:r>
    </w:p>
    <w:p w14:paraId="596C0FFE" w14:textId="0B49E6C5" w:rsidR="00AD50B2" w:rsidRPr="001D37C5" w:rsidRDefault="00AD50B2" w:rsidP="00AD50B2">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What to Collect as Mid-Semester Feedback?</w:t>
      </w:r>
    </w:p>
    <w:p w14:paraId="5EDB0BD8" w14:textId="7902A98B" w:rsidR="00AD50B2" w:rsidRDefault="00AD50B2" w:rsidP="00F86298">
      <w:pPr>
        <w:rPr>
          <w:rFonts w:ascii="Times" w:eastAsia="Times New Roman" w:hAnsi="Times" w:cs="Times New Roman"/>
          <w:bCs/>
          <w:sz w:val="20"/>
          <w:szCs w:val="20"/>
        </w:rPr>
      </w:pPr>
      <w:r>
        <w:rPr>
          <w:rFonts w:ascii="Times" w:eastAsia="Times New Roman" w:hAnsi="Times" w:cs="Times New Roman"/>
          <w:bCs/>
          <w:sz w:val="20"/>
          <w:szCs w:val="20"/>
        </w:rPr>
        <w:t>As you design your mid-semester feedback forms, it’s important to consider what information you want feedback on.</w:t>
      </w:r>
      <w:r w:rsidR="001349F2">
        <w:rPr>
          <w:rFonts w:ascii="Times" w:eastAsia="Times New Roman" w:hAnsi="Times" w:cs="Times New Roman"/>
          <w:bCs/>
          <w:sz w:val="20"/>
          <w:szCs w:val="20"/>
        </w:rPr>
        <w:t xml:space="preserve"> As you consider the questions you may ask your students, it may be helpful to review the goals and learning objectives of your course.</w:t>
      </w:r>
      <w:r w:rsidR="00A83C36">
        <w:rPr>
          <w:rFonts w:ascii="Times" w:eastAsia="Times New Roman" w:hAnsi="Times" w:cs="Times New Roman"/>
          <w:bCs/>
          <w:sz w:val="20"/>
          <w:szCs w:val="20"/>
        </w:rPr>
        <w:t xml:space="preserve"> Then, consider the pedagogical choices that you’ve made in service of meeting those goals</w:t>
      </w:r>
      <w:r w:rsidR="00BD2B26">
        <w:rPr>
          <w:rFonts w:ascii="Times" w:eastAsia="Times New Roman" w:hAnsi="Times" w:cs="Times New Roman"/>
          <w:bCs/>
          <w:sz w:val="20"/>
          <w:szCs w:val="20"/>
        </w:rPr>
        <w:t xml:space="preserve">, and determine where you would like student input. </w:t>
      </w:r>
      <w:r w:rsidR="005B3208">
        <w:rPr>
          <w:rFonts w:ascii="Times" w:eastAsia="Times New Roman" w:hAnsi="Times" w:cs="Times New Roman"/>
          <w:bCs/>
          <w:sz w:val="20"/>
          <w:szCs w:val="20"/>
        </w:rPr>
        <w:t xml:space="preserve">Because you want your feedback to be actionable, it’s important to ask students focused questions that you could make changes around </w:t>
      </w:r>
      <w:r w:rsidR="005B3208">
        <w:rPr>
          <w:rFonts w:ascii="Times" w:eastAsia="Times New Roman" w:hAnsi="Times" w:cs="Times New Roman"/>
          <w:bCs/>
          <w:sz w:val="20"/>
          <w:szCs w:val="20"/>
        </w:rPr>
        <w:fldChar w:fldCharType="begin"/>
      </w:r>
      <w:r w:rsidR="005B3208">
        <w:rPr>
          <w:rFonts w:ascii="Times" w:eastAsia="Times New Roman" w:hAnsi="Times" w:cs="Times New Roman"/>
          <w:bCs/>
          <w:sz w:val="20"/>
          <w:szCs w:val="20"/>
        </w:rPr>
        <w:instrText xml:space="preserve"> ADDIN ZOTERO_ITEM CSL_CITATION {"citationID":"qmj8X3vy","properties":{"formattedCitation":"(Lewis, 2001)","plainCitation":"(Lewis, 2001)","noteIndex":0},"citationItems":[{"id":806,"uris":["http://zotero.org/users/5193654/items/KK4HAKWF"],"uri":["http://zotero.org/users/5193654/items/KK4HAKWF"],"itemData":{"id":806,"type":"article-journal","title":"Using Midsemester Student Feedback and Responding to It","container-title":"New Directions for Teaching and Learning","page":"33","volume":"2001","issue":"87","source":"Crossref","DOI":"10.1002/tl.26","ISSN":"02710633, 15360768","language":"en","author":[{"family":"Lewis","given":"Karron G."}],"issued":{"date-parts":[["2001"]]}}}],"schema":"https://github.com/citation-style-language/schema/raw/master/csl-citation.json"} </w:instrText>
      </w:r>
      <w:r w:rsidR="005B3208">
        <w:rPr>
          <w:rFonts w:ascii="Times" w:eastAsia="Times New Roman" w:hAnsi="Times" w:cs="Times New Roman"/>
          <w:bCs/>
          <w:sz w:val="20"/>
          <w:szCs w:val="20"/>
        </w:rPr>
        <w:fldChar w:fldCharType="separate"/>
      </w:r>
      <w:r w:rsidR="005B3208">
        <w:rPr>
          <w:rFonts w:ascii="Times" w:eastAsia="Times New Roman" w:hAnsi="Times" w:cs="Times New Roman"/>
          <w:bCs/>
          <w:noProof/>
          <w:sz w:val="20"/>
          <w:szCs w:val="20"/>
        </w:rPr>
        <w:t>(Lewis, 2001)</w:t>
      </w:r>
      <w:r w:rsidR="005B3208">
        <w:rPr>
          <w:rFonts w:ascii="Times" w:eastAsia="Times New Roman" w:hAnsi="Times" w:cs="Times New Roman"/>
          <w:bCs/>
          <w:sz w:val="20"/>
          <w:szCs w:val="20"/>
        </w:rPr>
        <w:fldChar w:fldCharType="end"/>
      </w:r>
      <w:r w:rsidR="005B3208">
        <w:rPr>
          <w:rFonts w:ascii="Times" w:eastAsia="Times New Roman" w:hAnsi="Times" w:cs="Times New Roman"/>
          <w:bCs/>
          <w:sz w:val="20"/>
          <w:szCs w:val="20"/>
        </w:rPr>
        <w:t xml:space="preserve">. For example, you may want to know if you’re moving too quickly through some material, if you’re not solving enough problems in class, or if your readings don’t clearly cohere together. </w:t>
      </w:r>
      <w:r w:rsidR="008A4FFB">
        <w:rPr>
          <w:rFonts w:ascii="Times" w:eastAsia="Times New Roman" w:hAnsi="Times" w:cs="Times New Roman"/>
          <w:bCs/>
          <w:sz w:val="20"/>
          <w:szCs w:val="20"/>
        </w:rPr>
        <w:t>The more specific you can be, the less likely you are to hear that your class is “great” or “boring</w:t>
      </w:r>
      <w:r w:rsidR="006D126B">
        <w:rPr>
          <w:rFonts w:ascii="Times" w:eastAsia="Times New Roman" w:hAnsi="Times" w:cs="Times New Roman"/>
          <w:bCs/>
          <w:sz w:val="20"/>
          <w:szCs w:val="20"/>
        </w:rPr>
        <w:t>,” neither of which are easily actionable pieces of feedback.</w:t>
      </w:r>
    </w:p>
    <w:p w14:paraId="762F2192" w14:textId="0927C36C" w:rsidR="005C7893" w:rsidRDefault="005C7893" w:rsidP="00F86298">
      <w:pPr>
        <w:rPr>
          <w:rFonts w:ascii="Times" w:eastAsia="Times New Roman" w:hAnsi="Times" w:cs="Times New Roman"/>
          <w:bCs/>
          <w:sz w:val="20"/>
          <w:szCs w:val="20"/>
        </w:rPr>
      </w:pPr>
    </w:p>
    <w:p w14:paraId="0BD14D03" w14:textId="38D3079E" w:rsidR="009A32C4" w:rsidRDefault="0080011D" w:rsidP="009A32C4">
      <w:pPr>
        <w:rPr>
          <w:rFonts w:ascii="Times" w:eastAsia="Times New Roman" w:hAnsi="Times" w:cs="Times New Roman"/>
          <w:bCs/>
          <w:sz w:val="20"/>
          <w:szCs w:val="20"/>
        </w:rPr>
      </w:pPr>
      <w:r>
        <w:rPr>
          <w:rFonts w:ascii="Times" w:eastAsia="Times New Roman" w:hAnsi="Times" w:cs="Times New Roman"/>
          <w:bCs/>
          <w:sz w:val="20"/>
          <w:szCs w:val="20"/>
        </w:rPr>
        <w:t>You may want to create your mid-semester feedback form in a way that is completely tailored to your</w:t>
      </w:r>
      <w:r w:rsidR="00957C0D">
        <w:rPr>
          <w:rFonts w:ascii="Times" w:eastAsia="Times New Roman" w:hAnsi="Times" w:cs="Times New Roman"/>
          <w:bCs/>
          <w:sz w:val="20"/>
          <w:szCs w:val="20"/>
        </w:rPr>
        <w:t xml:space="preserve"> course, or you may want to </w:t>
      </w:r>
      <w:r w:rsidR="009A32C4">
        <w:rPr>
          <w:rFonts w:ascii="Times" w:eastAsia="Times New Roman" w:hAnsi="Times" w:cs="Times New Roman"/>
          <w:bCs/>
          <w:sz w:val="20"/>
          <w:szCs w:val="20"/>
        </w:rPr>
        <w:t xml:space="preserve">use a form we’ve created (see below). Either way, you should think carefully about what you’d like feedback on. </w:t>
      </w:r>
      <w:r w:rsidR="00A95045">
        <w:rPr>
          <w:rFonts w:ascii="Times" w:eastAsia="Times New Roman" w:hAnsi="Times" w:cs="Times New Roman"/>
          <w:bCs/>
          <w:sz w:val="20"/>
          <w:szCs w:val="20"/>
        </w:rPr>
        <w:t xml:space="preserve">For example, you may want to gauge how confident students feel about the material, the pace at which you’re moving through the class, the usefulness of formative assessments, </w:t>
      </w:r>
      <w:r w:rsidR="00557A15">
        <w:rPr>
          <w:rFonts w:ascii="Times" w:eastAsia="Times New Roman" w:hAnsi="Times" w:cs="Times New Roman"/>
          <w:bCs/>
          <w:sz w:val="20"/>
          <w:szCs w:val="20"/>
        </w:rPr>
        <w:t xml:space="preserve">or the amount of out-of-class time students devote to the course. You may want to determine students’ responses to your teaching style, </w:t>
      </w:r>
      <w:r w:rsidR="006B7946">
        <w:rPr>
          <w:rFonts w:ascii="Times" w:eastAsia="Times New Roman" w:hAnsi="Times" w:cs="Times New Roman"/>
          <w:bCs/>
          <w:sz w:val="20"/>
          <w:szCs w:val="20"/>
        </w:rPr>
        <w:t xml:space="preserve">your use of lecture, </w:t>
      </w:r>
      <w:r w:rsidR="008E328D">
        <w:rPr>
          <w:rFonts w:ascii="Times" w:eastAsia="Times New Roman" w:hAnsi="Times" w:cs="Times New Roman"/>
          <w:bCs/>
          <w:sz w:val="20"/>
          <w:szCs w:val="20"/>
        </w:rPr>
        <w:t xml:space="preserve">your inclusion of group work, </w:t>
      </w:r>
      <w:r w:rsidR="00016EE2">
        <w:rPr>
          <w:rFonts w:ascii="Times" w:eastAsia="Times New Roman" w:hAnsi="Times" w:cs="Times New Roman"/>
          <w:bCs/>
          <w:sz w:val="20"/>
          <w:szCs w:val="20"/>
        </w:rPr>
        <w:t>or the creation of reading guides. Spend some time really considering what you want to learn from your students.</w:t>
      </w:r>
    </w:p>
    <w:p w14:paraId="12D8002F" w14:textId="038BBF01" w:rsidR="00483374" w:rsidRDefault="00483374" w:rsidP="009A32C4">
      <w:pPr>
        <w:rPr>
          <w:rFonts w:ascii="Times" w:eastAsia="Times New Roman" w:hAnsi="Times" w:cs="Times New Roman"/>
          <w:bCs/>
          <w:sz w:val="20"/>
          <w:szCs w:val="20"/>
        </w:rPr>
      </w:pPr>
    </w:p>
    <w:p w14:paraId="232B381F" w14:textId="5C943AE4" w:rsidR="00483374" w:rsidRDefault="00483374" w:rsidP="009A32C4">
      <w:pPr>
        <w:rPr>
          <w:rFonts w:ascii="Times" w:eastAsia="Times New Roman" w:hAnsi="Times" w:cs="Times New Roman"/>
          <w:bCs/>
          <w:sz w:val="20"/>
          <w:szCs w:val="20"/>
        </w:rPr>
      </w:pPr>
      <w:r>
        <w:rPr>
          <w:rFonts w:ascii="Times" w:eastAsia="Times New Roman" w:hAnsi="Times" w:cs="Times New Roman"/>
          <w:bCs/>
          <w:sz w:val="20"/>
          <w:szCs w:val="20"/>
        </w:rPr>
        <w:t xml:space="preserve">Perhaps </w:t>
      </w:r>
      <w:r w:rsidR="00352F61">
        <w:rPr>
          <w:rFonts w:ascii="Times" w:eastAsia="Times New Roman" w:hAnsi="Times" w:cs="Times New Roman"/>
          <w:bCs/>
          <w:sz w:val="20"/>
          <w:szCs w:val="20"/>
        </w:rPr>
        <w:t>you are more interested in a quick and easy understanding of students’ experiences and preferences. You could distribute index cards and ask students three questions:</w:t>
      </w:r>
    </w:p>
    <w:p w14:paraId="3DA4359D" w14:textId="77777777" w:rsidR="00231F2E" w:rsidRDefault="00231F2E" w:rsidP="009A32C4">
      <w:pPr>
        <w:rPr>
          <w:rFonts w:ascii="Times" w:eastAsia="Times New Roman" w:hAnsi="Times" w:cs="Times New Roman"/>
          <w:bCs/>
          <w:sz w:val="20"/>
          <w:szCs w:val="20"/>
        </w:rPr>
      </w:pPr>
    </w:p>
    <w:p w14:paraId="5E2188A1" w14:textId="64CE3CB7" w:rsidR="00352F61" w:rsidRDefault="00352F61" w:rsidP="00352F61">
      <w:pPr>
        <w:pStyle w:val="ListParagraph"/>
        <w:numPr>
          <w:ilvl w:val="0"/>
          <w:numId w:val="6"/>
        </w:numPr>
        <w:rPr>
          <w:rFonts w:ascii="Times" w:eastAsia="Times New Roman" w:hAnsi="Times" w:cs="Times New Roman"/>
          <w:bCs/>
          <w:sz w:val="20"/>
          <w:szCs w:val="20"/>
        </w:rPr>
      </w:pPr>
      <w:r>
        <w:rPr>
          <w:rFonts w:ascii="Times" w:eastAsia="Times New Roman" w:hAnsi="Times" w:cs="Times New Roman"/>
          <w:bCs/>
          <w:sz w:val="20"/>
          <w:szCs w:val="20"/>
        </w:rPr>
        <w:t>What would you like to see more of?</w:t>
      </w:r>
    </w:p>
    <w:p w14:paraId="56FC378F" w14:textId="05BDAC34" w:rsidR="00352F61" w:rsidRDefault="00352F61" w:rsidP="00352F61">
      <w:pPr>
        <w:pStyle w:val="ListParagraph"/>
        <w:numPr>
          <w:ilvl w:val="0"/>
          <w:numId w:val="6"/>
        </w:numPr>
        <w:rPr>
          <w:rFonts w:ascii="Times" w:eastAsia="Times New Roman" w:hAnsi="Times" w:cs="Times New Roman"/>
          <w:bCs/>
          <w:sz w:val="20"/>
          <w:szCs w:val="20"/>
        </w:rPr>
      </w:pPr>
      <w:r>
        <w:rPr>
          <w:rFonts w:ascii="Times" w:eastAsia="Times New Roman" w:hAnsi="Times" w:cs="Times New Roman"/>
          <w:bCs/>
          <w:sz w:val="20"/>
          <w:szCs w:val="20"/>
        </w:rPr>
        <w:t>What would you like to see less of?</w:t>
      </w:r>
    </w:p>
    <w:p w14:paraId="5883EB88" w14:textId="5FA99A61" w:rsidR="00352F61" w:rsidRDefault="00352F61" w:rsidP="00352F61">
      <w:pPr>
        <w:pStyle w:val="ListParagraph"/>
        <w:numPr>
          <w:ilvl w:val="0"/>
          <w:numId w:val="6"/>
        </w:numPr>
        <w:rPr>
          <w:rFonts w:ascii="Times" w:eastAsia="Times New Roman" w:hAnsi="Times" w:cs="Times New Roman"/>
          <w:bCs/>
          <w:sz w:val="20"/>
          <w:szCs w:val="20"/>
        </w:rPr>
      </w:pPr>
      <w:r>
        <w:rPr>
          <w:rFonts w:ascii="Times" w:eastAsia="Times New Roman" w:hAnsi="Times" w:cs="Times New Roman"/>
          <w:bCs/>
          <w:sz w:val="20"/>
          <w:szCs w:val="20"/>
        </w:rPr>
        <w:t>What would like to see done differently?</w:t>
      </w:r>
    </w:p>
    <w:p w14:paraId="08946CFC" w14:textId="77777777" w:rsidR="00231F2E" w:rsidRDefault="00231F2E" w:rsidP="00231F2E">
      <w:pPr>
        <w:pStyle w:val="ListParagraph"/>
        <w:rPr>
          <w:rFonts w:ascii="Times" w:eastAsia="Times New Roman" w:hAnsi="Times" w:cs="Times New Roman"/>
          <w:bCs/>
          <w:sz w:val="20"/>
          <w:szCs w:val="20"/>
        </w:rPr>
      </w:pPr>
    </w:p>
    <w:p w14:paraId="0CEAF05C" w14:textId="3CEE1B82" w:rsidR="00352F61" w:rsidRDefault="00352F61" w:rsidP="00352F61">
      <w:pPr>
        <w:rPr>
          <w:rFonts w:ascii="Times" w:eastAsia="Times New Roman" w:hAnsi="Times" w:cs="Times New Roman"/>
          <w:bCs/>
          <w:sz w:val="20"/>
          <w:szCs w:val="20"/>
        </w:rPr>
      </w:pPr>
      <w:r>
        <w:rPr>
          <w:rFonts w:ascii="Times" w:eastAsia="Times New Roman" w:hAnsi="Times" w:cs="Times New Roman"/>
          <w:bCs/>
          <w:sz w:val="20"/>
          <w:szCs w:val="20"/>
        </w:rPr>
        <w:t xml:space="preserve">Alternatively, you could ask three different questions (e.g., “what are you having difficulty with?”, “what would you change about the course if you could?”, or “when do you learn best in the course?”). The key is to make the questions </w:t>
      </w:r>
      <w:r w:rsidR="00231F2E">
        <w:rPr>
          <w:rFonts w:ascii="Times" w:eastAsia="Times New Roman" w:hAnsi="Times" w:cs="Times New Roman"/>
          <w:bCs/>
          <w:sz w:val="20"/>
          <w:szCs w:val="20"/>
        </w:rPr>
        <w:t xml:space="preserve">specific enough to provide necessary information, but broad enough that students can share their experiences. </w:t>
      </w:r>
    </w:p>
    <w:p w14:paraId="15A2232B" w14:textId="082BF367" w:rsidR="00231F2E" w:rsidRDefault="00231F2E" w:rsidP="00352F61">
      <w:pPr>
        <w:rPr>
          <w:rFonts w:ascii="Times" w:eastAsia="Times New Roman" w:hAnsi="Times" w:cs="Times New Roman"/>
          <w:bCs/>
          <w:sz w:val="20"/>
          <w:szCs w:val="20"/>
        </w:rPr>
      </w:pPr>
    </w:p>
    <w:p w14:paraId="19257489" w14:textId="41920F65" w:rsidR="00231F2E" w:rsidRDefault="00231F2E" w:rsidP="00352F61">
      <w:pPr>
        <w:rPr>
          <w:rFonts w:ascii="Times" w:eastAsia="Times New Roman" w:hAnsi="Times" w:cs="Times New Roman"/>
          <w:bCs/>
          <w:sz w:val="20"/>
          <w:szCs w:val="20"/>
        </w:rPr>
      </w:pPr>
      <w:r>
        <w:rPr>
          <w:rFonts w:ascii="Times" w:eastAsia="Times New Roman" w:hAnsi="Times" w:cs="Times New Roman"/>
          <w:bCs/>
          <w:sz w:val="20"/>
          <w:szCs w:val="20"/>
        </w:rPr>
        <w:t xml:space="preserve">You may also want to ask students closed questions for which they indicate how true a statement is (e.g., “The instructor of this course indicates where the class is going”). </w:t>
      </w:r>
      <w:r w:rsidR="00430825">
        <w:rPr>
          <w:rFonts w:ascii="Times" w:eastAsia="Times New Roman" w:hAnsi="Times" w:cs="Times New Roman"/>
          <w:bCs/>
          <w:sz w:val="20"/>
          <w:szCs w:val="20"/>
        </w:rPr>
        <w:t xml:space="preserve">Below are two example feedback forms </w:t>
      </w:r>
      <w:r w:rsidR="00984770">
        <w:rPr>
          <w:rFonts w:ascii="Times" w:eastAsia="Times New Roman" w:hAnsi="Times" w:cs="Times New Roman"/>
          <w:bCs/>
          <w:sz w:val="20"/>
          <w:szCs w:val="20"/>
        </w:rPr>
        <w:t>that</w:t>
      </w:r>
      <w:r w:rsidR="00430825">
        <w:rPr>
          <w:rFonts w:ascii="Times" w:eastAsia="Times New Roman" w:hAnsi="Times" w:cs="Times New Roman"/>
          <w:bCs/>
          <w:sz w:val="20"/>
          <w:szCs w:val="20"/>
        </w:rPr>
        <w:t xml:space="preserve"> you could </w:t>
      </w:r>
      <w:r w:rsidR="00F04743">
        <w:rPr>
          <w:rFonts w:ascii="Times" w:eastAsia="Times New Roman" w:hAnsi="Times" w:cs="Times New Roman"/>
          <w:bCs/>
          <w:sz w:val="20"/>
          <w:szCs w:val="20"/>
        </w:rPr>
        <w:t>alter to suit your needs.</w:t>
      </w:r>
    </w:p>
    <w:p w14:paraId="5CC510B2" w14:textId="0F1E75AD" w:rsidR="00231F2E" w:rsidRDefault="00231F2E" w:rsidP="00352F61">
      <w:pPr>
        <w:rPr>
          <w:rFonts w:ascii="Times" w:eastAsia="Times New Roman" w:hAnsi="Times" w:cs="Times New Roman"/>
          <w:bCs/>
          <w:sz w:val="20"/>
          <w:szCs w:val="20"/>
        </w:rPr>
      </w:pPr>
    </w:p>
    <w:p w14:paraId="3A8BA447" w14:textId="679583C7" w:rsidR="0061205D" w:rsidRDefault="0061205D" w:rsidP="0061205D">
      <w:pPr>
        <w:pStyle w:val="NormalWeb"/>
        <w:ind w:left="720"/>
      </w:pPr>
      <w:hyperlink r:id="rId7" w:history="1">
        <w:r>
          <w:rPr>
            <w:rStyle w:val="Hyperlink"/>
          </w:rPr>
          <w:t>Form A</w:t>
        </w:r>
      </w:hyperlink>
      <w:r>
        <w:t xml:space="preserve"> [9 Likert-style questions about the student and the instructor; 3 open-ended questions]</w:t>
      </w:r>
      <w:r>
        <w:br/>
      </w:r>
      <w:hyperlink r:id="rId8" w:history="1">
        <w:r>
          <w:rPr>
            <w:rStyle w:val="Hyperlink"/>
          </w:rPr>
          <w:t>Form B</w:t>
        </w:r>
      </w:hyperlink>
      <w:r>
        <w:t xml:space="preserve"> [15 Likert-style questions about the instructor; 2 open-ended questions]</w:t>
      </w:r>
    </w:p>
    <w:p w14:paraId="3BDC582C" w14:textId="6DED55F0" w:rsidR="00F86298" w:rsidRDefault="00F86298" w:rsidP="0061205D">
      <w:pPr>
        <w:rPr>
          <w:rFonts w:ascii="Times" w:eastAsia="Times New Roman" w:hAnsi="Times" w:cs="Times New Roman"/>
          <w:sz w:val="20"/>
          <w:szCs w:val="20"/>
        </w:rPr>
      </w:pPr>
    </w:p>
    <w:p w14:paraId="4506C090" w14:textId="2F162F34" w:rsidR="0061205D" w:rsidRDefault="0061205D" w:rsidP="0061205D">
      <w:pPr>
        <w:rPr>
          <w:rFonts w:ascii="Times" w:eastAsia="Times New Roman" w:hAnsi="Times" w:cs="Times New Roman"/>
          <w:sz w:val="20"/>
          <w:szCs w:val="20"/>
        </w:rPr>
      </w:pPr>
    </w:p>
    <w:p w14:paraId="011D9E09" w14:textId="77777777" w:rsidR="0061205D" w:rsidRPr="00F86298" w:rsidRDefault="0061205D" w:rsidP="0061205D">
      <w:pPr>
        <w:rPr>
          <w:rFonts w:ascii="Times" w:eastAsia="Times New Roman" w:hAnsi="Times" w:cs="Times New Roman"/>
          <w:sz w:val="20"/>
          <w:szCs w:val="20"/>
        </w:rPr>
      </w:pPr>
    </w:p>
    <w:p w14:paraId="45029C91" w14:textId="7EB0F3E4" w:rsidR="005C7893" w:rsidRDefault="005C7893" w:rsidP="005C7893">
      <w:pPr>
        <w:spacing w:before="100" w:beforeAutospacing="1" w:after="100" w:afterAutospacing="1"/>
        <w:outlineLvl w:val="1"/>
        <w:rPr>
          <w:rFonts w:ascii="Times" w:eastAsia="Times New Roman" w:hAnsi="Times" w:cs="Times New Roman"/>
          <w:b/>
          <w:bCs/>
          <w:sz w:val="36"/>
          <w:szCs w:val="36"/>
        </w:rPr>
      </w:pPr>
      <w:bookmarkStart w:id="1" w:name="sga"/>
      <w:bookmarkEnd w:id="1"/>
      <w:r>
        <w:rPr>
          <w:rFonts w:ascii="Times" w:eastAsia="Times New Roman" w:hAnsi="Times" w:cs="Times New Roman"/>
          <w:b/>
          <w:bCs/>
          <w:sz w:val="36"/>
          <w:szCs w:val="36"/>
        </w:rPr>
        <w:t>What to Do with Mid-Semester Feedback?</w:t>
      </w:r>
    </w:p>
    <w:p w14:paraId="271ACD9B" w14:textId="3B43D5B4" w:rsidR="00ED5A42" w:rsidRDefault="00093955" w:rsidP="00F86298">
      <w:pPr>
        <w:spacing w:before="100" w:beforeAutospacing="1" w:after="100" w:afterAutospacing="1"/>
        <w:outlineLvl w:val="1"/>
        <w:rPr>
          <w:rFonts w:ascii="Times" w:eastAsia="Times New Roman" w:hAnsi="Times" w:cs="Times New Roman"/>
          <w:bCs/>
          <w:sz w:val="20"/>
          <w:szCs w:val="20"/>
        </w:rPr>
      </w:pPr>
      <w:r>
        <w:rPr>
          <w:rFonts w:ascii="Times" w:eastAsia="Times New Roman" w:hAnsi="Times" w:cs="Times New Roman"/>
          <w:bCs/>
          <w:sz w:val="20"/>
          <w:szCs w:val="20"/>
        </w:rPr>
        <w:lastRenderedPageBreak/>
        <w:t xml:space="preserve">Once you’ve decided when, how, and what to collect as mid-semester feedback, the real work begins! What you choose to do with the feedback is as important as soliciting it in the first place, so it’s important to </w:t>
      </w:r>
      <w:r w:rsidR="001F767D">
        <w:rPr>
          <w:rFonts w:ascii="Times" w:eastAsia="Times New Roman" w:hAnsi="Times" w:cs="Times New Roman"/>
          <w:bCs/>
          <w:sz w:val="20"/>
          <w:szCs w:val="20"/>
        </w:rPr>
        <w:t>consider how you will move forward with your students’ responses.</w:t>
      </w:r>
      <w:r w:rsidR="006B32CC">
        <w:rPr>
          <w:rFonts w:ascii="Times" w:eastAsia="Times New Roman" w:hAnsi="Times" w:cs="Times New Roman"/>
          <w:bCs/>
          <w:sz w:val="20"/>
          <w:szCs w:val="20"/>
        </w:rPr>
        <w:t xml:space="preserve"> Some important considerations:</w:t>
      </w:r>
    </w:p>
    <w:p w14:paraId="346A3E32" w14:textId="1FAC08BE" w:rsidR="006B32CC" w:rsidRDefault="006B32CC" w:rsidP="00F86298">
      <w:pPr>
        <w:spacing w:before="100" w:beforeAutospacing="1" w:after="100" w:afterAutospacing="1"/>
        <w:outlineLvl w:val="1"/>
        <w:rPr>
          <w:rFonts w:ascii="Times" w:eastAsia="Times New Roman" w:hAnsi="Times" w:cs="Times New Roman"/>
          <w:bCs/>
          <w:sz w:val="20"/>
          <w:szCs w:val="20"/>
        </w:rPr>
      </w:pPr>
      <w:r>
        <w:rPr>
          <w:rFonts w:ascii="Times" w:eastAsia="Times New Roman" w:hAnsi="Times" w:cs="Times New Roman"/>
          <w:b/>
          <w:bCs/>
          <w:sz w:val="20"/>
          <w:szCs w:val="20"/>
        </w:rPr>
        <w:t>Report results back to students</w:t>
      </w:r>
      <w:r w:rsidR="00103F24">
        <w:rPr>
          <w:rFonts w:ascii="Times" w:eastAsia="Times New Roman" w:hAnsi="Times" w:cs="Times New Roman"/>
          <w:b/>
          <w:bCs/>
          <w:sz w:val="20"/>
          <w:szCs w:val="20"/>
        </w:rPr>
        <w:t xml:space="preserve"> promptly</w:t>
      </w:r>
      <w:r>
        <w:rPr>
          <w:rFonts w:ascii="Times" w:eastAsia="Times New Roman" w:hAnsi="Times" w:cs="Times New Roman"/>
          <w:bCs/>
          <w:sz w:val="20"/>
          <w:szCs w:val="20"/>
        </w:rPr>
        <w:t>. It’s important that students understand that you have read and considered their feedback; otherwise, they may feel as though their time has been wasted or that you do not care about their insights. Therefore, it’s useful to share back with students what they and their peers have said</w:t>
      </w:r>
      <w:r w:rsidR="00103F24">
        <w:rPr>
          <w:rFonts w:ascii="Times" w:eastAsia="Times New Roman" w:hAnsi="Times" w:cs="Times New Roman"/>
          <w:bCs/>
          <w:sz w:val="20"/>
          <w:szCs w:val="20"/>
        </w:rPr>
        <w:t xml:space="preserve"> the class period after you’ve solicited their responses</w:t>
      </w:r>
      <w:r>
        <w:rPr>
          <w:rFonts w:ascii="Times" w:eastAsia="Times New Roman" w:hAnsi="Times" w:cs="Times New Roman"/>
          <w:bCs/>
          <w:sz w:val="20"/>
          <w:szCs w:val="20"/>
        </w:rPr>
        <w:t xml:space="preserve">. </w:t>
      </w:r>
      <w:r w:rsidR="00B74BC4">
        <w:rPr>
          <w:rFonts w:ascii="Times" w:eastAsia="Times New Roman" w:hAnsi="Times" w:cs="Times New Roman"/>
          <w:bCs/>
          <w:sz w:val="20"/>
          <w:szCs w:val="20"/>
        </w:rPr>
        <w:t>Additionally, this provides contexts for students: they can see how common their perceptions are and the places where they differ from their peers. For example, one student may have shared that they would appreciate fewer quizzes, but several other students may have indicated that the frequent quizzes were helpful for their learning. When sharing back with students, feel free to highlight the contradictions and confusions that you might see (</w:t>
      </w:r>
      <w:r w:rsidR="00984770">
        <w:rPr>
          <w:rFonts w:ascii="Times" w:eastAsia="Times New Roman" w:hAnsi="Times" w:cs="Times New Roman"/>
          <w:bCs/>
          <w:sz w:val="20"/>
          <w:szCs w:val="20"/>
        </w:rPr>
        <w:t>for example</w:t>
      </w:r>
      <w:r w:rsidR="00B74BC4">
        <w:rPr>
          <w:rFonts w:ascii="Times" w:eastAsia="Times New Roman" w:hAnsi="Times" w:cs="Times New Roman"/>
          <w:bCs/>
          <w:sz w:val="20"/>
          <w:szCs w:val="20"/>
        </w:rPr>
        <w:t>, “six students said we spent too much time talking about the readings, but four students felt we didn’t spend enough time with the readings”; “twelve students thought the reading questions were not useful, but ten students indicated that the reading guides focused their understanding”). Not only does this remind each student that they are not the only one in the class, but it also emphasizes that every choice an instructor makes may please some students while upsetting others.</w:t>
      </w:r>
    </w:p>
    <w:p w14:paraId="1A5440D5" w14:textId="1E8C4BA7" w:rsidR="00B74BC4" w:rsidRDefault="00414085" w:rsidP="00F86298">
      <w:pPr>
        <w:spacing w:before="100" w:beforeAutospacing="1" w:after="100" w:afterAutospacing="1"/>
        <w:outlineLvl w:val="1"/>
        <w:rPr>
          <w:rFonts w:ascii="Times" w:eastAsia="Times New Roman" w:hAnsi="Times" w:cs="Times New Roman"/>
          <w:bCs/>
          <w:sz w:val="20"/>
          <w:szCs w:val="20"/>
        </w:rPr>
      </w:pPr>
      <w:r>
        <w:rPr>
          <w:rFonts w:ascii="Times" w:eastAsia="Times New Roman" w:hAnsi="Times" w:cs="Times New Roman"/>
          <w:b/>
          <w:bCs/>
          <w:sz w:val="20"/>
          <w:szCs w:val="20"/>
        </w:rPr>
        <w:t>Critically reflect on students’ comments</w:t>
      </w:r>
      <w:r>
        <w:rPr>
          <w:rFonts w:ascii="Times" w:eastAsia="Times New Roman" w:hAnsi="Times" w:cs="Times New Roman"/>
          <w:bCs/>
          <w:sz w:val="20"/>
          <w:szCs w:val="20"/>
        </w:rPr>
        <w:t xml:space="preserve">. Remember that simply because students suggest a change doesn’t mean that you need to make it! </w:t>
      </w:r>
      <w:r w:rsidR="008508E3">
        <w:rPr>
          <w:rFonts w:ascii="Times" w:eastAsia="Times New Roman" w:hAnsi="Times" w:cs="Times New Roman"/>
          <w:bCs/>
          <w:sz w:val="20"/>
          <w:szCs w:val="20"/>
        </w:rPr>
        <w:t>I</w:t>
      </w:r>
      <w:r>
        <w:rPr>
          <w:rFonts w:ascii="Times" w:eastAsia="Times New Roman" w:hAnsi="Times" w:cs="Times New Roman"/>
          <w:bCs/>
          <w:sz w:val="20"/>
          <w:szCs w:val="20"/>
        </w:rPr>
        <w:t>t is important to solicit students’ feedback and create an atmosphere in which students can be authentic and truthful</w:t>
      </w:r>
      <w:r w:rsidR="008508E3">
        <w:rPr>
          <w:rFonts w:ascii="Times" w:eastAsia="Times New Roman" w:hAnsi="Times" w:cs="Times New Roman"/>
          <w:bCs/>
          <w:sz w:val="20"/>
          <w:szCs w:val="20"/>
        </w:rPr>
        <w:t xml:space="preserve">; nonetheless, students </w:t>
      </w:r>
      <w:r w:rsidR="009B2474">
        <w:rPr>
          <w:rFonts w:ascii="Times" w:eastAsia="Times New Roman" w:hAnsi="Times" w:cs="Times New Roman"/>
          <w:bCs/>
          <w:sz w:val="20"/>
          <w:szCs w:val="20"/>
        </w:rPr>
        <w:t xml:space="preserve">may offer feedback that you cannot or do not want to incorporate. </w:t>
      </w:r>
      <w:r w:rsidR="00AD2B74">
        <w:rPr>
          <w:rFonts w:ascii="Times" w:eastAsia="Times New Roman" w:hAnsi="Times" w:cs="Times New Roman"/>
          <w:bCs/>
          <w:sz w:val="20"/>
          <w:szCs w:val="20"/>
        </w:rPr>
        <w:t>Moreover, students may offer insight that does not immediately correspond to changes you could make in your classroom</w:t>
      </w:r>
      <w:r w:rsidR="00782F5F">
        <w:rPr>
          <w:rFonts w:ascii="Times" w:eastAsia="Times New Roman" w:hAnsi="Times" w:cs="Times New Roman"/>
          <w:bCs/>
          <w:sz w:val="20"/>
          <w:szCs w:val="20"/>
        </w:rPr>
        <w:t>, and it is only through careful reflection that you may be able to understand</w:t>
      </w:r>
      <w:r w:rsidR="00413750">
        <w:rPr>
          <w:rFonts w:ascii="Times" w:eastAsia="Times New Roman" w:hAnsi="Times" w:cs="Times New Roman"/>
          <w:bCs/>
          <w:sz w:val="20"/>
          <w:szCs w:val="20"/>
        </w:rPr>
        <w:t xml:space="preserve"> how you can act</w:t>
      </w:r>
      <w:r w:rsidR="00AD2B74">
        <w:rPr>
          <w:rFonts w:ascii="Times" w:eastAsia="Times New Roman" w:hAnsi="Times" w:cs="Times New Roman"/>
          <w:bCs/>
          <w:sz w:val="20"/>
          <w:szCs w:val="20"/>
        </w:rPr>
        <w:t>.</w:t>
      </w:r>
      <w:r w:rsidR="001A2948">
        <w:rPr>
          <w:rFonts w:ascii="Times" w:eastAsia="Times New Roman" w:hAnsi="Times" w:cs="Times New Roman"/>
          <w:bCs/>
          <w:sz w:val="20"/>
          <w:szCs w:val="20"/>
        </w:rPr>
        <w:t xml:space="preserve"> For example, students may say that the reading is too difficult; you should reflect on whether the reading level is too high</w:t>
      </w:r>
      <w:r w:rsidR="00595B7C">
        <w:rPr>
          <w:rFonts w:ascii="Times" w:eastAsia="Times New Roman" w:hAnsi="Times" w:cs="Times New Roman"/>
          <w:bCs/>
          <w:sz w:val="20"/>
          <w:szCs w:val="20"/>
        </w:rPr>
        <w:t xml:space="preserve">, whether reading guides would help, or whether students have the skills to read academic articles. Even if students offer negative feedback about your grading, course design, or teaching style, you may be able to reflect on </w:t>
      </w:r>
      <w:hyperlink r:id="rId9" w:history="1">
        <w:r w:rsidR="00595B7C" w:rsidRPr="00595B7C">
          <w:rPr>
            <w:rStyle w:val="Hyperlink"/>
            <w:rFonts w:ascii="Times" w:eastAsia="Times New Roman" w:hAnsi="Times" w:cs="Times New Roman"/>
            <w:bCs/>
            <w:sz w:val="20"/>
            <w:szCs w:val="20"/>
          </w:rPr>
          <w:t>turning these criticisms into positive changes</w:t>
        </w:r>
      </w:hyperlink>
      <w:r w:rsidR="00595B7C">
        <w:rPr>
          <w:rFonts w:ascii="Times" w:eastAsia="Times New Roman" w:hAnsi="Times" w:cs="Times New Roman"/>
          <w:bCs/>
          <w:sz w:val="20"/>
          <w:szCs w:val="20"/>
        </w:rPr>
        <w:t xml:space="preserve"> in your courses. Additionally, it may be useful to reflect on the power dynamics </w:t>
      </w:r>
      <w:r w:rsidR="005872FC">
        <w:rPr>
          <w:rFonts w:ascii="Times" w:eastAsia="Times New Roman" w:hAnsi="Times" w:cs="Times New Roman"/>
          <w:bCs/>
          <w:sz w:val="20"/>
          <w:szCs w:val="20"/>
        </w:rPr>
        <w:t>inherent in all student evaluations, as students tend to favor white men in their evaluations</w:t>
      </w:r>
      <w:r w:rsidR="00B14B90">
        <w:rPr>
          <w:rFonts w:ascii="Times" w:eastAsia="Times New Roman" w:hAnsi="Times" w:cs="Times New Roman"/>
          <w:bCs/>
          <w:sz w:val="20"/>
          <w:szCs w:val="20"/>
        </w:rPr>
        <w:t xml:space="preserve"> and rate women and racial minority teachers less favorably, regardless of their </w:t>
      </w:r>
      <w:r w:rsidR="002A5C7B">
        <w:rPr>
          <w:rFonts w:ascii="Times" w:eastAsia="Times New Roman" w:hAnsi="Times" w:cs="Times New Roman"/>
          <w:bCs/>
          <w:sz w:val="20"/>
          <w:szCs w:val="20"/>
        </w:rPr>
        <w:t>grades in class, engagement, or</w:t>
      </w:r>
      <w:r w:rsidR="00764449">
        <w:rPr>
          <w:rFonts w:ascii="Times" w:eastAsia="Times New Roman" w:hAnsi="Times" w:cs="Times New Roman"/>
          <w:bCs/>
          <w:sz w:val="20"/>
          <w:szCs w:val="20"/>
        </w:rPr>
        <w:t xml:space="preserve"> expectations</w:t>
      </w:r>
      <w:r w:rsidR="00A220ED">
        <w:rPr>
          <w:rFonts w:ascii="Times" w:eastAsia="Times New Roman" w:hAnsi="Times" w:cs="Times New Roman"/>
          <w:bCs/>
          <w:sz w:val="20"/>
          <w:szCs w:val="20"/>
        </w:rPr>
        <w:t xml:space="preserve"> </w:t>
      </w:r>
      <w:r w:rsidR="00A220ED">
        <w:rPr>
          <w:rFonts w:ascii="Times" w:eastAsia="Times New Roman" w:hAnsi="Times" w:cs="Times New Roman"/>
          <w:bCs/>
          <w:sz w:val="20"/>
          <w:szCs w:val="20"/>
        </w:rPr>
        <w:fldChar w:fldCharType="begin"/>
      </w:r>
      <w:r w:rsidR="00A220ED">
        <w:rPr>
          <w:rFonts w:ascii="Times" w:eastAsia="Times New Roman" w:hAnsi="Times" w:cs="Times New Roman"/>
          <w:bCs/>
          <w:sz w:val="20"/>
          <w:szCs w:val="20"/>
        </w:rPr>
        <w:instrText xml:space="preserve"> ADDIN ZOTERO_ITEM CSL_CITATION {"citationID":"XCbKnF3b","properties":{"formattedCitation":"(Laube, Massoni, Sprague, &amp; Ferber, 2007; Mengel, Sauermann, &amp; Z\\uc0\\u246{}litz, 2019; Mitchell &amp; Martin, 2018; Reid, 2010; Sleeter, 2017)","plainCitation":"(Laube, Massoni, Sprague, &amp; Ferber, 2007; Mengel, Sauermann, &amp; Zölitz, 2019; Mitchell &amp; Martin, 2018; Reid, 2010; Sleeter, 2017)","noteIndex":0},"citationItems":[{"id":823,"uris":["http://zotero.org/users/5193654/items/BXJBARPK"],"uri":["http://zotero.org/users/5193654/items/BXJBARPK"],"itemData":{"id":823,"type":"article-journal","title":"The Impact of Gender on the Evaluation of Teaching: What We Know and What We Can Do","container-title":"NWSA Journal","page":"87-104","volume":"19","issue":"3","source":"Zotero","language":"en","author":[{"family":"Laube","given":"Heather"},{"family":"Massoni","given":"Kelley"},{"family":"Sprague","given":"Joey"},{"family":"Ferber","given":"Abby L"}],"issued":{"date-parts":[["2007"]]}}},{"id":817,"uris":["http://zotero.org/users/5193654/items/YNPIMAJT"],"uri":["http://zotero.org/users/5193654/items/YNPIMAJT"],"itemData":{"id":817,"type":"article-journal","title":"Gender Bias in Teaching Evaluations","container-title":"Journal of the European Economic Association","page":"535-566","volume":"17","issue":"2","source":"Crossref","DOI":"10.1093/jeea/jvx057","ISSN":"1542-4766, 1542-4774","language":"en","author":[{"family":"Mengel","given":"Friederike"},{"family":"Sauermann","given":"Jan"},{"family":"Zölitz","given":"Ulf"}],"issued":{"date-parts":[["2019",4,1]]}}},{"id":822,"uris":["http://zotero.org/users/5193654/items/SPV3KQ8Q"],"uri":["http://zotero.org/users/5193654/items/SPV3KQ8Q"],"itemData":{"id":822,"type":"article-journal","title":"Gender Bias in Student Evaluations","container-title":"PS: Political Science &amp; Politics","page":"648-652","volume":"51","issue":"03","source":"Crossref","DOI":"10.1017/S104909651800001X","ISSN":"1049-0965, 1537-5935","language":"en","author":[{"family":"Mitchell","given":"Kristina M. W."},{"family":"Martin","given":"Jonathan"}],"issued":{"date-parts":[["2018",7]]}}},{"id":815,"uris":["http://zotero.org/users/5193654/items/DARIGTVN"],"uri":["http://zotero.org/users/5193654/items/DARIGTVN"],"itemData":{"id":815,"type":"article-journal","title":"The role of perceived race and gender in the evaluation of college teaching on RateMyProfessors.Com.","container-title":"Journal of Diversity in Higher Education","page":"137-152","volume":"3","issue":"3","source":"Crossref","abstract":"The present study examined whether student evaluations of college teaching (SETs) reﬂected a bias predicated on the perceived race and gender of the instructor. Using anonymous, peer-generated evaluations of teaching obtained from RateMyProfessors .com, the present study examined SETs from 3,079 White; 142 Black; 238 Asian; 130 Latino; and 128 Other race faculty at the 25 highest ranked liberal arts colleges. Results showed that racial minority faculty, particularly Blacks and Asians, were evaluated more negatively than White faculty in terms of overall quality, helpfulness, and clarity, but were rated higher on easiness. A two-stage cluster analysis demonstrated that the very best instructors were likely to be White, whereas the very worst were more likely to be Black or Asian. Few effects of gender were observed, but several interactions emerged showing that Black male faculty were rated more negatively than other faculty. The results of the present study are consistent with the negative racial stereotypes of racial minorities and have implications for the tenure and promotion of racial minority faculty.","DOI":"10.1037/a0019865","ISSN":"1938-8934, 1938-8926","language":"en","author":[{"family":"Reid","given":"Landon D."}],"issued":{"date-parts":[["2010"]]}}},{"id":821,"uris":["http://zotero.org/users/5193654/items/MLQZZCF4"],"uri":["http://zotero.org/users/5193654/items/MLQZZCF4"],"itemData":{"id":821,"type":"article-journal","title":"Critical Race Theory and the Whiteness of Teacher Education","container-title":"Urban Education","page":"155-169","volume":"52","issue":"2","source":"Crossref","abstract":"This article uses three tenets of critical race theory to critique the common pattern of teacher education focusing on preparing predominantly White cohorts of teacher candidates for racially and ethnically diverse students. The tenet of interest convergence asks how White interests are served through incremental steps. The tenet of color blindness prompts asking how structures that seem neutral, such as teacher testing, reinforce Whiteness and White interests. The tenet of experiential knowledge prompts asking whose voices are being heard. The article argues that much about teacher education can be changed, offering suggestions that derive from these tenets.","DOI":"10.1177/0042085916668957","ISSN":"0042-0859, 1552-8340","language":"en","author":[{"family":"Sleeter","given":"Christine E."}],"issued":{"date-parts":[["2017",2]]}}}],"schema":"https://github.com/citation-style-language/schema/raw/master/csl-citation.json"} </w:instrText>
      </w:r>
      <w:r w:rsidR="00A220ED">
        <w:rPr>
          <w:rFonts w:ascii="Times" w:eastAsia="Times New Roman" w:hAnsi="Times" w:cs="Times New Roman"/>
          <w:bCs/>
          <w:sz w:val="20"/>
          <w:szCs w:val="20"/>
        </w:rPr>
        <w:fldChar w:fldCharType="separate"/>
      </w:r>
      <w:r w:rsidR="00A220ED" w:rsidRPr="00A220ED">
        <w:rPr>
          <w:rFonts w:ascii="Times" w:hAnsi="Times" w:cs="Times New Roman"/>
          <w:sz w:val="20"/>
        </w:rPr>
        <w:t>(Laube, Massoni, Sprague, &amp; Ferber, 2007; Mengel, Sauermann, &amp; Zölitz, 2019; Mitchell &amp; Martin, 2018; Reid, 2010; Sleeter, 2017)</w:t>
      </w:r>
      <w:r w:rsidR="00A220ED">
        <w:rPr>
          <w:rFonts w:ascii="Times" w:eastAsia="Times New Roman" w:hAnsi="Times" w:cs="Times New Roman"/>
          <w:bCs/>
          <w:sz w:val="20"/>
          <w:szCs w:val="20"/>
        </w:rPr>
        <w:fldChar w:fldCharType="end"/>
      </w:r>
      <w:r w:rsidR="00764449">
        <w:rPr>
          <w:rFonts w:ascii="Times" w:eastAsia="Times New Roman" w:hAnsi="Times" w:cs="Times New Roman"/>
          <w:bCs/>
          <w:sz w:val="20"/>
          <w:szCs w:val="20"/>
        </w:rPr>
        <w:t>.</w:t>
      </w:r>
    </w:p>
    <w:p w14:paraId="0CF01E7B" w14:textId="262F439B" w:rsidR="00103F24" w:rsidRDefault="00103F24" w:rsidP="00F86298">
      <w:pPr>
        <w:spacing w:before="100" w:beforeAutospacing="1" w:after="100" w:afterAutospacing="1"/>
        <w:outlineLvl w:val="1"/>
        <w:rPr>
          <w:rFonts w:ascii="Times" w:eastAsia="Times New Roman" w:hAnsi="Times" w:cs="Times New Roman"/>
          <w:bCs/>
          <w:sz w:val="20"/>
          <w:szCs w:val="20"/>
        </w:rPr>
      </w:pPr>
      <w:r>
        <w:rPr>
          <w:rFonts w:ascii="Times" w:eastAsia="Times New Roman" w:hAnsi="Times" w:cs="Times New Roman"/>
          <w:b/>
          <w:bCs/>
          <w:sz w:val="20"/>
          <w:szCs w:val="20"/>
        </w:rPr>
        <w:t>Identify patterns.</w:t>
      </w:r>
      <w:r>
        <w:rPr>
          <w:rFonts w:ascii="Times" w:eastAsia="Times New Roman" w:hAnsi="Times" w:cs="Times New Roman"/>
          <w:bCs/>
          <w:sz w:val="20"/>
          <w:szCs w:val="20"/>
        </w:rPr>
        <w:t xml:space="preserve"> </w:t>
      </w:r>
      <w:r w:rsidR="002334B8">
        <w:rPr>
          <w:rFonts w:ascii="Times" w:eastAsia="Times New Roman" w:hAnsi="Times" w:cs="Times New Roman"/>
          <w:bCs/>
          <w:sz w:val="20"/>
          <w:szCs w:val="20"/>
        </w:rPr>
        <w:t xml:space="preserve">Just like with any other qualitative data, you can better understand the variety of feedback by identifying patterns and themes in student responses. It may be useful to group comments by the topic they are addressing, analyzing all pieces of feedback about reading, class pace, teaching techniques, and grading separately. </w:t>
      </w:r>
      <w:r w:rsidR="00AA605A">
        <w:rPr>
          <w:rFonts w:ascii="Times" w:eastAsia="Times New Roman" w:hAnsi="Times" w:cs="Times New Roman"/>
          <w:bCs/>
          <w:sz w:val="20"/>
          <w:szCs w:val="20"/>
        </w:rPr>
        <w:t xml:space="preserve">Then, try to determine </w:t>
      </w:r>
      <w:r w:rsidR="00B33B5E">
        <w:rPr>
          <w:rFonts w:ascii="Times" w:eastAsia="Times New Roman" w:hAnsi="Times" w:cs="Times New Roman"/>
          <w:bCs/>
          <w:sz w:val="20"/>
          <w:szCs w:val="20"/>
        </w:rPr>
        <w:t>moments of overlap among comments</w:t>
      </w:r>
      <w:r w:rsidR="00DA67EB">
        <w:rPr>
          <w:rFonts w:ascii="Times" w:eastAsia="Times New Roman" w:hAnsi="Times" w:cs="Times New Roman"/>
          <w:bCs/>
          <w:sz w:val="20"/>
          <w:szCs w:val="20"/>
        </w:rPr>
        <w:t>,</w:t>
      </w:r>
      <w:r w:rsidR="00625FE8">
        <w:rPr>
          <w:rFonts w:ascii="Times" w:eastAsia="Times New Roman" w:hAnsi="Times" w:cs="Times New Roman"/>
          <w:bCs/>
          <w:sz w:val="20"/>
          <w:szCs w:val="20"/>
        </w:rPr>
        <w:t xml:space="preserve"> identifying when more than one student </w:t>
      </w:r>
      <w:r w:rsidR="000D5D4A">
        <w:rPr>
          <w:rFonts w:ascii="Times" w:eastAsia="Times New Roman" w:hAnsi="Times" w:cs="Times New Roman"/>
          <w:bCs/>
          <w:sz w:val="20"/>
          <w:szCs w:val="20"/>
        </w:rPr>
        <w:t xml:space="preserve">had similar feedback. </w:t>
      </w:r>
      <w:r w:rsidR="001E1E18">
        <w:rPr>
          <w:rFonts w:ascii="Times" w:eastAsia="Times New Roman" w:hAnsi="Times" w:cs="Times New Roman"/>
          <w:bCs/>
          <w:sz w:val="20"/>
          <w:szCs w:val="20"/>
        </w:rPr>
        <w:t>If several students offer the same suggestion</w:t>
      </w:r>
      <w:r w:rsidR="006E46F3">
        <w:rPr>
          <w:rFonts w:ascii="Times" w:eastAsia="Times New Roman" w:hAnsi="Times" w:cs="Times New Roman"/>
          <w:bCs/>
          <w:sz w:val="20"/>
          <w:szCs w:val="20"/>
        </w:rPr>
        <w:t xml:space="preserve"> or enjoyed a certain class period</w:t>
      </w:r>
      <w:r w:rsidR="00990E37">
        <w:rPr>
          <w:rFonts w:ascii="Times" w:eastAsia="Times New Roman" w:hAnsi="Times" w:cs="Times New Roman"/>
          <w:bCs/>
          <w:sz w:val="20"/>
          <w:szCs w:val="20"/>
        </w:rPr>
        <w:t xml:space="preserve">, perhaps they’ve narrowed in </w:t>
      </w:r>
      <w:r w:rsidR="005D6442">
        <w:rPr>
          <w:rFonts w:ascii="Times" w:eastAsia="Times New Roman" w:hAnsi="Times" w:cs="Times New Roman"/>
          <w:bCs/>
          <w:sz w:val="20"/>
          <w:szCs w:val="20"/>
        </w:rPr>
        <w:t xml:space="preserve">on </w:t>
      </w:r>
      <w:r w:rsidR="0022770E">
        <w:rPr>
          <w:rFonts w:ascii="Times" w:eastAsia="Times New Roman" w:hAnsi="Times" w:cs="Times New Roman"/>
          <w:bCs/>
          <w:sz w:val="20"/>
          <w:szCs w:val="20"/>
        </w:rPr>
        <w:t xml:space="preserve">a weakness in your course design or </w:t>
      </w:r>
      <w:r w:rsidR="006E46F3">
        <w:rPr>
          <w:rFonts w:ascii="Times" w:eastAsia="Times New Roman" w:hAnsi="Times" w:cs="Times New Roman"/>
          <w:bCs/>
          <w:sz w:val="20"/>
          <w:szCs w:val="20"/>
        </w:rPr>
        <w:t>a great lesson</w:t>
      </w:r>
      <w:r w:rsidR="0022770E">
        <w:rPr>
          <w:rFonts w:ascii="Times" w:eastAsia="Times New Roman" w:hAnsi="Times" w:cs="Times New Roman"/>
          <w:bCs/>
          <w:sz w:val="20"/>
          <w:szCs w:val="20"/>
        </w:rPr>
        <w:t>. It’s important, though, to weigh student comments equally—just because only one student suggested a change or praised an aspect of your teaching</w:t>
      </w:r>
      <w:r w:rsidR="00FF70EA">
        <w:rPr>
          <w:rFonts w:ascii="Times" w:eastAsia="Times New Roman" w:hAnsi="Times" w:cs="Times New Roman"/>
          <w:bCs/>
          <w:sz w:val="20"/>
          <w:szCs w:val="20"/>
        </w:rPr>
        <w:t xml:space="preserve"> doesn’t mean that </w:t>
      </w:r>
      <w:r w:rsidR="00264FB7">
        <w:rPr>
          <w:rFonts w:ascii="Times" w:eastAsia="Times New Roman" w:hAnsi="Times" w:cs="Times New Roman"/>
          <w:bCs/>
          <w:sz w:val="20"/>
          <w:szCs w:val="20"/>
        </w:rPr>
        <w:t>you shouldn’t value their comment.</w:t>
      </w:r>
      <w:r w:rsidR="00B33B5E">
        <w:rPr>
          <w:rFonts w:ascii="Times" w:eastAsia="Times New Roman" w:hAnsi="Times" w:cs="Times New Roman"/>
          <w:bCs/>
          <w:sz w:val="20"/>
          <w:szCs w:val="20"/>
        </w:rPr>
        <w:t xml:space="preserve"> </w:t>
      </w:r>
    </w:p>
    <w:p w14:paraId="02D6CDA8" w14:textId="7E54AC37" w:rsidR="004061F9" w:rsidRPr="004061F9" w:rsidRDefault="004061F9" w:rsidP="00F86298">
      <w:pPr>
        <w:spacing w:before="100" w:beforeAutospacing="1" w:after="100" w:afterAutospacing="1"/>
        <w:outlineLvl w:val="1"/>
        <w:rPr>
          <w:rFonts w:ascii="Times" w:eastAsia="Times New Roman" w:hAnsi="Times" w:cs="Times New Roman"/>
          <w:bCs/>
          <w:sz w:val="20"/>
          <w:szCs w:val="20"/>
        </w:rPr>
      </w:pPr>
      <w:r>
        <w:rPr>
          <w:rFonts w:ascii="Times" w:eastAsia="Times New Roman" w:hAnsi="Times" w:cs="Times New Roman"/>
          <w:b/>
          <w:bCs/>
          <w:sz w:val="20"/>
          <w:szCs w:val="20"/>
        </w:rPr>
        <w:t>Remember the positive.</w:t>
      </w:r>
      <w:r>
        <w:rPr>
          <w:rFonts w:ascii="Times" w:eastAsia="Times New Roman" w:hAnsi="Times" w:cs="Times New Roman"/>
          <w:bCs/>
          <w:sz w:val="20"/>
          <w:szCs w:val="20"/>
        </w:rPr>
        <w:t xml:space="preserve"> It’s tempting to focus solely on the negative feedback and suggestions that students have offered, but it can be valuable to center yourself on their</w:t>
      </w:r>
      <w:r w:rsidR="00070099">
        <w:rPr>
          <w:rFonts w:ascii="Times" w:eastAsia="Times New Roman" w:hAnsi="Times" w:cs="Times New Roman"/>
          <w:bCs/>
          <w:sz w:val="20"/>
          <w:szCs w:val="20"/>
        </w:rPr>
        <w:t xml:space="preserve"> praise and the aspects of your course they are enjoying. </w:t>
      </w:r>
      <w:r w:rsidR="0073016E">
        <w:rPr>
          <w:rFonts w:ascii="Times" w:eastAsia="Times New Roman" w:hAnsi="Times" w:cs="Times New Roman"/>
          <w:bCs/>
          <w:sz w:val="20"/>
          <w:szCs w:val="20"/>
        </w:rPr>
        <w:t xml:space="preserve">Although evaluations focus on constructive criticism, it’s also important to </w:t>
      </w:r>
      <w:r w:rsidR="00E46A56">
        <w:rPr>
          <w:rFonts w:ascii="Times" w:eastAsia="Times New Roman" w:hAnsi="Times" w:cs="Times New Roman"/>
          <w:bCs/>
          <w:sz w:val="20"/>
          <w:szCs w:val="20"/>
        </w:rPr>
        <w:t xml:space="preserve">identify aspects of your classroom that are </w:t>
      </w:r>
      <w:r w:rsidR="001D54B9">
        <w:rPr>
          <w:rFonts w:ascii="Times" w:eastAsia="Times New Roman" w:hAnsi="Times" w:cs="Times New Roman"/>
          <w:bCs/>
          <w:sz w:val="20"/>
          <w:szCs w:val="20"/>
        </w:rPr>
        <w:t>positive</w:t>
      </w:r>
      <w:r w:rsidR="008C4F75">
        <w:rPr>
          <w:rFonts w:ascii="Times" w:eastAsia="Times New Roman" w:hAnsi="Times" w:cs="Times New Roman"/>
          <w:bCs/>
          <w:sz w:val="20"/>
          <w:szCs w:val="20"/>
        </w:rPr>
        <w:t xml:space="preserve"> </w:t>
      </w:r>
      <w:r w:rsidR="00AE692B">
        <w:rPr>
          <w:rFonts w:ascii="Times" w:eastAsia="Times New Roman" w:hAnsi="Times" w:cs="Times New Roman"/>
          <w:bCs/>
          <w:sz w:val="20"/>
          <w:szCs w:val="20"/>
        </w:rPr>
        <w:t xml:space="preserve">to ensure that you don’t change </w:t>
      </w:r>
      <w:r w:rsidR="001D54B9">
        <w:rPr>
          <w:rFonts w:ascii="Times" w:eastAsia="Times New Roman" w:hAnsi="Times" w:cs="Times New Roman"/>
          <w:bCs/>
          <w:sz w:val="20"/>
          <w:szCs w:val="20"/>
        </w:rPr>
        <w:t>something that’s working for your students.</w:t>
      </w:r>
    </w:p>
    <w:p w14:paraId="37CC9052" w14:textId="77777777" w:rsidR="00764449" w:rsidRPr="00414085" w:rsidRDefault="00764449" w:rsidP="00F86298">
      <w:pPr>
        <w:spacing w:before="100" w:beforeAutospacing="1" w:after="100" w:afterAutospacing="1"/>
        <w:outlineLvl w:val="1"/>
        <w:rPr>
          <w:rFonts w:ascii="Times" w:eastAsia="Times New Roman" w:hAnsi="Times" w:cs="Times New Roman"/>
          <w:bCs/>
          <w:sz w:val="20"/>
          <w:szCs w:val="20"/>
        </w:rPr>
      </w:pPr>
    </w:p>
    <w:p w14:paraId="0F2F5333" w14:textId="4DE3615B" w:rsidR="00F86298" w:rsidRPr="00F86298" w:rsidRDefault="000B7C72" w:rsidP="00F86298">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noProof/>
          <w:sz w:val="20"/>
          <w:szCs w:val="20"/>
        </w:rPr>
        <w:pict w14:anchorId="6AEE771B">
          <v:rect id="_x0000_i1025" alt="" style="width:468pt;height:.05pt;mso-width-percent:0;mso-height-percent:0;mso-width-percent:0;mso-height-percent:0" o:hralign="center" o:hrstd="t" o:hr="t" fillcolor="#aaa" stroked="f"/>
        </w:pict>
      </w:r>
      <w:r w:rsidR="00F04743">
        <w:rPr>
          <w:rFonts w:ascii="Times" w:eastAsia="Times New Roman" w:hAnsi="Times" w:cs="Times New Roman"/>
          <w:b/>
          <w:bCs/>
          <w:sz w:val="36"/>
          <w:szCs w:val="36"/>
        </w:rPr>
        <w:t xml:space="preserve">Other Ways of Gathering Feedback: </w:t>
      </w:r>
      <w:r w:rsidR="00F86298" w:rsidRPr="00F86298">
        <w:rPr>
          <w:rFonts w:ascii="Times" w:eastAsia="Times New Roman" w:hAnsi="Times" w:cs="Times New Roman"/>
          <w:b/>
          <w:bCs/>
          <w:sz w:val="36"/>
          <w:szCs w:val="36"/>
        </w:rPr>
        <w:t>Small Group Analysis (SGA)</w:t>
      </w:r>
    </w:p>
    <w:p w14:paraId="25977C62" w14:textId="5BF7DC20" w:rsidR="00F86298" w:rsidRPr="00F86298" w:rsidRDefault="00F86298" w:rsidP="00F86298">
      <w:pPr>
        <w:spacing w:before="100" w:beforeAutospacing="1" w:after="100" w:afterAutospacing="1"/>
        <w:rPr>
          <w:rFonts w:ascii="Times" w:hAnsi="Times" w:cs="Times New Roman"/>
          <w:sz w:val="20"/>
          <w:szCs w:val="20"/>
        </w:rPr>
      </w:pPr>
      <w:r w:rsidRPr="00F86298">
        <w:rPr>
          <w:rFonts w:ascii="Times" w:hAnsi="Times" w:cs="Times New Roman"/>
          <w:sz w:val="20"/>
          <w:szCs w:val="20"/>
        </w:rPr>
        <w:t xml:space="preserve">The Small Group Analysis (SGA) is a method of gathering anonymous feedback from students </w:t>
      </w:r>
      <w:r w:rsidR="00B74BC4">
        <w:rPr>
          <w:rFonts w:ascii="Times" w:hAnsi="Times" w:cs="Times New Roman"/>
          <w:sz w:val="20"/>
          <w:szCs w:val="20"/>
        </w:rPr>
        <w:t>concerning what is helping and hindering their learning within a course</w:t>
      </w:r>
      <w:r w:rsidRPr="00F86298">
        <w:rPr>
          <w:rFonts w:ascii="Times" w:hAnsi="Times" w:cs="Times New Roman"/>
          <w:sz w:val="20"/>
          <w:szCs w:val="20"/>
        </w:rPr>
        <w:t xml:space="preserve">.  This service is provided </w:t>
      </w:r>
      <w:r w:rsidR="00B74BC4">
        <w:rPr>
          <w:rFonts w:ascii="Times" w:hAnsi="Times" w:cs="Times New Roman"/>
          <w:sz w:val="20"/>
          <w:szCs w:val="20"/>
        </w:rPr>
        <w:t xml:space="preserve">for Vanderbilt instructors </w:t>
      </w:r>
      <w:r w:rsidRPr="00F86298">
        <w:rPr>
          <w:rFonts w:ascii="Times" w:hAnsi="Times" w:cs="Times New Roman"/>
          <w:sz w:val="20"/>
          <w:szCs w:val="20"/>
        </w:rPr>
        <w:t xml:space="preserve">by the Center for Teaching, and is an excellent way to assess students' response to your teaching mid-semester. It goes beyond the methods described above by involving a CFT consultant to help clarify and decipher the </w:t>
      </w:r>
      <w:r w:rsidR="00F04743" w:rsidRPr="00F86298">
        <w:rPr>
          <w:rFonts w:ascii="Times" w:hAnsi="Times" w:cs="Times New Roman"/>
          <w:sz w:val="20"/>
          <w:szCs w:val="20"/>
        </w:rPr>
        <w:t>sometimes-mysterious</w:t>
      </w:r>
      <w:r w:rsidRPr="00F86298">
        <w:rPr>
          <w:rFonts w:ascii="Times" w:hAnsi="Times" w:cs="Times New Roman"/>
          <w:sz w:val="20"/>
          <w:szCs w:val="20"/>
        </w:rPr>
        <w:t xml:space="preserve"> comments students make on written course evaluations.</w:t>
      </w:r>
    </w:p>
    <w:p w14:paraId="3F8B7F90" w14:textId="0ACBA206" w:rsidR="00F86298" w:rsidRDefault="00F86298" w:rsidP="00F86298">
      <w:pPr>
        <w:spacing w:before="100" w:beforeAutospacing="1" w:after="100" w:afterAutospacing="1"/>
        <w:rPr>
          <w:rFonts w:ascii="Times" w:hAnsi="Times" w:cs="Times New Roman"/>
          <w:sz w:val="20"/>
          <w:szCs w:val="20"/>
        </w:rPr>
      </w:pPr>
      <w:r w:rsidRPr="00F86298">
        <w:rPr>
          <w:rFonts w:ascii="Times" w:hAnsi="Times" w:cs="Times New Roman"/>
          <w:sz w:val="20"/>
          <w:szCs w:val="20"/>
        </w:rPr>
        <w:lastRenderedPageBreak/>
        <w:t>Please s</w:t>
      </w:r>
      <w:r w:rsidR="006E5A86">
        <w:rPr>
          <w:rFonts w:ascii="Times" w:hAnsi="Times" w:cs="Times New Roman"/>
          <w:sz w:val="20"/>
          <w:szCs w:val="20"/>
        </w:rPr>
        <w:t>ee</w:t>
      </w:r>
      <w:r w:rsidRPr="00F86298">
        <w:rPr>
          <w:rFonts w:ascii="Times" w:hAnsi="Times" w:cs="Times New Roman"/>
          <w:sz w:val="20"/>
          <w:szCs w:val="20"/>
        </w:rPr>
        <w:t xml:space="preserve"> our </w:t>
      </w:r>
      <w:hyperlink r:id="rId10" w:history="1">
        <w:r w:rsidRPr="00F86298">
          <w:rPr>
            <w:rFonts w:ascii="Times" w:hAnsi="Times" w:cs="Times New Roman"/>
            <w:color w:val="0000FF"/>
            <w:sz w:val="20"/>
            <w:szCs w:val="20"/>
            <w:u w:val="single"/>
          </w:rPr>
          <w:t>Small Group Analysis page</w:t>
        </w:r>
      </w:hyperlink>
      <w:r w:rsidRPr="00F86298">
        <w:rPr>
          <w:rFonts w:ascii="Times" w:hAnsi="Times" w:cs="Times New Roman"/>
          <w:sz w:val="20"/>
          <w:szCs w:val="20"/>
        </w:rPr>
        <w:t xml:space="preserve"> for more information on this service.</w:t>
      </w:r>
    </w:p>
    <w:p w14:paraId="5B85298E" w14:textId="1E98266C" w:rsidR="00F04743" w:rsidRDefault="00F04743" w:rsidP="00F86298">
      <w:pPr>
        <w:spacing w:before="100" w:beforeAutospacing="1" w:after="100" w:afterAutospacing="1"/>
        <w:rPr>
          <w:rFonts w:ascii="Times" w:hAnsi="Times" w:cs="Times New Roman"/>
          <w:sz w:val="20"/>
          <w:szCs w:val="20"/>
        </w:rPr>
      </w:pPr>
    </w:p>
    <w:p w14:paraId="4E06BE0C" w14:textId="77777777" w:rsidR="00F04743" w:rsidRPr="00F86298" w:rsidRDefault="00F04743" w:rsidP="00F86298">
      <w:pPr>
        <w:spacing w:before="100" w:beforeAutospacing="1" w:after="100" w:afterAutospacing="1"/>
        <w:rPr>
          <w:rFonts w:ascii="Times" w:hAnsi="Times" w:cs="Times New Roman"/>
          <w:sz w:val="20"/>
          <w:szCs w:val="20"/>
        </w:rPr>
      </w:pPr>
    </w:p>
    <w:p w14:paraId="1C4B4A50" w14:textId="1F60D9BC" w:rsidR="00F04743" w:rsidRDefault="00F04743" w:rsidP="00F04743">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References</w:t>
      </w:r>
    </w:p>
    <w:p w14:paraId="32C50BEB" w14:textId="77777777" w:rsidR="00A220ED" w:rsidRPr="00A220ED" w:rsidRDefault="006E5A86" w:rsidP="00A220ED">
      <w:pPr>
        <w:pStyle w:val="Bibliography"/>
        <w:rPr>
          <w:rFonts w:ascii="Times" w:hAnsi="Times"/>
          <w:sz w:val="20"/>
        </w:rPr>
      </w:pPr>
      <w:r w:rsidRPr="006E5A86">
        <w:rPr>
          <w:rFonts w:ascii="Times" w:eastAsia="Times New Roman" w:hAnsi="Times"/>
          <w:b/>
          <w:bCs/>
          <w:sz w:val="20"/>
          <w:szCs w:val="20"/>
        </w:rPr>
        <w:fldChar w:fldCharType="begin"/>
      </w:r>
      <w:r w:rsidRPr="006E5A86">
        <w:rPr>
          <w:rFonts w:ascii="Times" w:eastAsia="Times New Roman" w:hAnsi="Times"/>
          <w:b/>
          <w:bCs/>
          <w:sz w:val="20"/>
          <w:szCs w:val="20"/>
        </w:rPr>
        <w:instrText xml:space="preserve"> ADDIN ZOTERO_BIBL {"uncited":[],"omitted":[],"custom":[]} CSL_BIBLIOGRAPHY </w:instrText>
      </w:r>
      <w:r w:rsidRPr="006E5A86">
        <w:rPr>
          <w:rFonts w:ascii="Times" w:eastAsia="Times New Roman" w:hAnsi="Times"/>
          <w:b/>
          <w:bCs/>
          <w:sz w:val="20"/>
          <w:szCs w:val="20"/>
        </w:rPr>
        <w:fldChar w:fldCharType="separate"/>
      </w:r>
      <w:r w:rsidR="00A220ED" w:rsidRPr="00A220ED">
        <w:rPr>
          <w:rFonts w:ascii="Times" w:hAnsi="Times"/>
          <w:sz w:val="20"/>
        </w:rPr>
        <w:t xml:space="preserve">Frick, T. W., Chadha, R., Watson, C., &amp; Zlatkovska, E. (2010). Improving course evaluations to improve instruction and complex learning in higher education. </w:t>
      </w:r>
      <w:r w:rsidR="00A220ED" w:rsidRPr="00A220ED">
        <w:rPr>
          <w:rFonts w:ascii="Times" w:hAnsi="Times"/>
          <w:i/>
          <w:iCs/>
          <w:sz w:val="20"/>
        </w:rPr>
        <w:t>Educational Technology Research and Development</w:t>
      </w:r>
      <w:r w:rsidR="00A220ED" w:rsidRPr="00A220ED">
        <w:rPr>
          <w:rFonts w:ascii="Times" w:hAnsi="Times"/>
          <w:sz w:val="20"/>
        </w:rPr>
        <w:t xml:space="preserve">, </w:t>
      </w:r>
      <w:r w:rsidR="00A220ED" w:rsidRPr="00A220ED">
        <w:rPr>
          <w:rFonts w:ascii="Times" w:hAnsi="Times"/>
          <w:i/>
          <w:iCs/>
          <w:sz w:val="20"/>
        </w:rPr>
        <w:t>58</w:t>
      </w:r>
      <w:r w:rsidR="00A220ED" w:rsidRPr="00A220ED">
        <w:rPr>
          <w:rFonts w:ascii="Times" w:hAnsi="Times"/>
          <w:sz w:val="20"/>
        </w:rPr>
        <w:t>(2), 115–136. https://doi.org/10.1007/s11423-009-9131-z</w:t>
      </w:r>
    </w:p>
    <w:p w14:paraId="4C670BCA" w14:textId="77777777" w:rsidR="00A220ED" w:rsidRPr="00A220ED" w:rsidRDefault="00A220ED" w:rsidP="00A220ED">
      <w:pPr>
        <w:pStyle w:val="Bibliography"/>
        <w:rPr>
          <w:rFonts w:ascii="Times" w:hAnsi="Times"/>
          <w:sz w:val="20"/>
        </w:rPr>
      </w:pPr>
      <w:r w:rsidRPr="00A220ED">
        <w:rPr>
          <w:rFonts w:ascii="Times" w:hAnsi="Times"/>
          <w:sz w:val="20"/>
        </w:rPr>
        <w:t xml:space="preserve">Hurney, C. A., Harris, N. L., Prins, S. C. B., &amp; Kruck, S. E. (2014). The Impact of a Learner-Centered, Mid-Semester Course Evaluation on Students. </w:t>
      </w:r>
      <w:r w:rsidRPr="00A220ED">
        <w:rPr>
          <w:rFonts w:ascii="Times" w:hAnsi="Times"/>
          <w:i/>
          <w:iCs/>
          <w:sz w:val="20"/>
        </w:rPr>
        <w:t>Journal of Faculty Development</w:t>
      </w:r>
      <w:r w:rsidRPr="00A220ED">
        <w:rPr>
          <w:rFonts w:ascii="Times" w:hAnsi="Times"/>
          <w:sz w:val="20"/>
        </w:rPr>
        <w:t xml:space="preserve">, </w:t>
      </w:r>
      <w:r w:rsidRPr="00A220ED">
        <w:rPr>
          <w:rFonts w:ascii="Times" w:hAnsi="Times"/>
          <w:i/>
          <w:iCs/>
          <w:sz w:val="20"/>
        </w:rPr>
        <w:t>28</w:t>
      </w:r>
      <w:r w:rsidRPr="00A220ED">
        <w:rPr>
          <w:rFonts w:ascii="Times" w:hAnsi="Times"/>
          <w:sz w:val="20"/>
        </w:rPr>
        <w:t>(3), 9.</w:t>
      </w:r>
    </w:p>
    <w:p w14:paraId="283C20EC" w14:textId="77777777" w:rsidR="00A220ED" w:rsidRPr="00A220ED" w:rsidRDefault="00A220ED" w:rsidP="00A220ED">
      <w:pPr>
        <w:pStyle w:val="Bibliography"/>
        <w:rPr>
          <w:rFonts w:ascii="Times" w:hAnsi="Times"/>
          <w:sz w:val="20"/>
        </w:rPr>
      </w:pPr>
      <w:r w:rsidRPr="00A220ED">
        <w:rPr>
          <w:rFonts w:ascii="Times" w:hAnsi="Times"/>
          <w:sz w:val="20"/>
        </w:rPr>
        <w:t xml:space="preserve">Laube, H., Massoni, K., Sprague, J., &amp; Ferber, A. L. (2007). The Impact of Gender on the Evaluation of Teaching: What We Know and What We Can Do. </w:t>
      </w:r>
      <w:r w:rsidRPr="00A220ED">
        <w:rPr>
          <w:rFonts w:ascii="Times" w:hAnsi="Times"/>
          <w:i/>
          <w:iCs/>
          <w:sz w:val="20"/>
        </w:rPr>
        <w:t>NWSA Journal</w:t>
      </w:r>
      <w:r w:rsidRPr="00A220ED">
        <w:rPr>
          <w:rFonts w:ascii="Times" w:hAnsi="Times"/>
          <w:sz w:val="20"/>
        </w:rPr>
        <w:t xml:space="preserve">, </w:t>
      </w:r>
      <w:r w:rsidRPr="00A220ED">
        <w:rPr>
          <w:rFonts w:ascii="Times" w:hAnsi="Times"/>
          <w:i/>
          <w:iCs/>
          <w:sz w:val="20"/>
        </w:rPr>
        <w:t>19</w:t>
      </w:r>
      <w:r w:rsidRPr="00A220ED">
        <w:rPr>
          <w:rFonts w:ascii="Times" w:hAnsi="Times"/>
          <w:sz w:val="20"/>
        </w:rPr>
        <w:t>(3), 87–104.</w:t>
      </w:r>
    </w:p>
    <w:p w14:paraId="25C7BDBA" w14:textId="77777777" w:rsidR="00A220ED" w:rsidRPr="00A220ED" w:rsidRDefault="00A220ED" w:rsidP="00A220ED">
      <w:pPr>
        <w:pStyle w:val="Bibliography"/>
        <w:rPr>
          <w:rFonts w:ascii="Times" w:hAnsi="Times"/>
          <w:sz w:val="20"/>
        </w:rPr>
      </w:pPr>
      <w:r w:rsidRPr="00A220ED">
        <w:rPr>
          <w:rFonts w:ascii="Times" w:hAnsi="Times"/>
          <w:sz w:val="20"/>
        </w:rPr>
        <w:t xml:space="preserve">Lewis, K. G. (2001). Using Midsemester Student Feedback and Responding to It. </w:t>
      </w:r>
      <w:r w:rsidRPr="00A220ED">
        <w:rPr>
          <w:rFonts w:ascii="Times" w:hAnsi="Times"/>
          <w:i/>
          <w:iCs/>
          <w:sz w:val="20"/>
        </w:rPr>
        <w:t>New Directions for Teaching and Learning</w:t>
      </w:r>
      <w:r w:rsidRPr="00A220ED">
        <w:rPr>
          <w:rFonts w:ascii="Times" w:hAnsi="Times"/>
          <w:sz w:val="20"/>
        </w:rPr>
        <w:t xml:space="preserve">, </w:t>
      </w:r>
      <w:r w:rsidRPr="00A220ED">
        <w:rPr>
          <w:rFonts w:ascii="Times" w:hAnsi="Times"/>
          <w:i/>
          <w:iCs/>
          <w:sz w:val="20"/>
        </w:rPr>
        <w:t>2001</w:t>
      </w:r>
      <w:r w:rsidRPr="00A220ED">
        <w:rPr>
          <w:rFonts w:ascii="Times" w:hAnsi="Times"/>
          <w:sz w:val="20"/>
        </w:rPr>
        <w:t>(87), 33. https://doi.org/10.1002/tl.26</w:t>
      </w:r>
    </w:p>
    <w:p w14:paraId="7AC640B0" w14:textId="77777777" w:rsidR="00A220ED" w:rsidRPr="00A220ED" w:rsidRDefault="00A220ED" w:rsidP="00A220ED">
      <w:pPr>
        <w:pStyle w:val="Bibliography"/>
        <w:rPr>
          <w:rFonts w:ascii="Times" w:hAnsi="Times"/>
          <w:sz w:val="20"/>
        </w:rPr>
      </w:pPr>
      <w:r w:rsidRPr="00A220ED">
        <w:rPr>
          <w:rFonts w:ascii="Times" w:hAnsi="Times"/>
          <w:sz w:val="20"/>
        </w:rPr>
        <w:t xml:space="preserve">Mengel, F., Sauermann, J., &amp; Zölitz, U. (2019). Gender Bias in Teaching Evaluations. </w:t>
      </w:r>
      <w:r w:rsidRPr="00A220ED">
        <w:rPr>
          <w:rFonts w:ascii="Times" w:hAnsi="Times"/>
          <w:i/>
          <w:iCs/>
          <w:sz w:val="20"/>
        </w:rPr>
        <w:t>Journal of the European Economic Association</w:t>
      </w:r>
      <w:r w:rsidRPr="00A220ED">
        <w:rPr>
          <w:rFonts w:ascii="Times" w:hAnsi="Times"/>
          <w:sz w:val="20"/>
        </w:rPr>
        <w:t xml:space="preserve">, </w:t>
      </w:r>
      <w:r w:rsidRPr="00A220ED">
        <w:rPr>
          <w:rFonts w:ascii="Times" w:hAnsi="Times"/>
          <w:i/>
          <w:iCs/>
          <w:sz w:val="20"/>
        </w:rPr>
        <w:t>17</w:t>
      </w:r>
      <w:r w:rsidRPr="00A220ED">
        <w:rPr>
          <w:rFonts w:ascii="Times" w:hAnsi="Times"/>
          <w:sz w:val="20"/>
        </w:rPr>
        <w:t>(2), 535–566. https://doi.org/10.1093/jeea/jvx057</w:t>
      </w:r>
    </w:p>
    <w:p w14:paraId="22ACA204" w14:textId="77777777" w:rsidR="00A220ED" w:rsidRPr="00A220ED" w:rsidRDefault="00A220ED" w:rsidP="00A220ED">
      <w:pPr>
        <w:pStyle w:val="Bibliography"/>
        <w:rPr>
          <w:rFonts w:ascii="Times" w:hAnsi="Times"/>
          <w:sz w:val="20"/>
        </w:rPr>
      </w:pPr>
      <w:r w:rsidRPr="00A220ED">
        <w:rPr>
          <w:rFonts w:ascii="Times" w:hAnsi="Times"/>
          <w:sz w:val="20"/>
        </w:rPr>
        <w:t xml:space="preserve">Mitchell, K. M. W., &amp; Martin, J. (2018). Gender Bias in Student Evaluations. </w:t>
      </w:r>
      <w:r w:rsidRPr="00A220ED">
        <w:rPr>
          <w:rFonts w:ascii="Times" w:hAnsi="Times"/>
          <w:i/>
          <w:iCs/>
          <w:sz w:val="20"/>
        </w:rPr>
        <w:t>PS: Political Science &amp; Politics</w:t>
      </w:r>
      <w:r w:rsidRPr="00A220ED">
        <w:rPr>
          <w:rFonts w:ascii="Times" w:hAnsi="Times"/>
          <w:sz w:val="20"/>
        </w:rPr>
        <w:t xml:space="preserve">, </w:t>
      </w:r>
      <w:r w:rsidRPr="00A220ED">
        <w:rPr>
          <w:rFonts w:ascii="Times" w:hAnsi="Times"/>
          <w:i/>
          <w:iCs/>
          <w:sz w:val="20"/>
        </w:rPr>
        <w:t>51</w:t>
      </w:r>
      <w:r w:rsidRPr="00A220ED">
        <w:rPr>
          <w:rFonts w:ascii="Times" w:hAnsi="Times"/>
          <w:sz w:val="20"/>
        </w:rPr>
        <w:t>(03), 648–652. https://doi.org/10.1017/S104909651800001X</w:t>
      </w:r>
    </w:p>
    <w:p w14:paraId="53D03384" w14:textId="77777777" w:rsidR="00A220ED" w:rsidRPr="00A220ED" w:rsidRDefault="00A220ED" w:rsidP="00A220ED">
      <w:pPr>
        <w:pStyle w:val="Bibliography"/>
        <w:rPr>
          <w:rFonts w:ascii="Times" w:hAnsi="Times"/>
          <w:sz w:val="20"/>
        </w:rPr>
      </w:pPr>
      <w:r w:rsidRPr="00A220ED">
        <w:rPr>
          <w:rFonts w:ascii="Times" w:hAnsi="Times"/>
          <w:sz w:val="20"/>
        </w:rPr>
        <w:t xml:space="preserve">Reid, L. D. (2010). The role of perceived race and gender in the evaluation of college teaching on RateMyProfessors.Com. </w:t>
      </w:r>
      <w:r w:rsidRPr="00A220ED">
        <w:rPr>
          <w:rFonts w:ascii="Times" w:hAnsi="Times"/>
          <w:i/>
          <w:iCs/>
          <w:sz w:val="20"/>
        </w:rPr>
        <w:t>Journal of Diversity in Higher Education</w:t>
      </w:r>
      <w:r w:rsidRPr="00A220ED">
        <w:rPr>
          <w:rFonts w:ascii="Times" w:hAnsi="Times"/>
          <w:sz w:val="20"/>
        </w:rPr>
        <w:t xml:space="preserve">, </w:t>
      </w:r>
      <w:r w:rsidRPr="00A220ED">
        <w:rPr>
          <w:rFonts w:ascii="Times" w:hAnsi="Times"/>
          <w:i/>
          <w:iCs/>
          <w:sz w:val="20"/>
        </w:rPr>
        <w:t>3</w:t>
      </w:r>
      <w:r w:rsidRPr="00A220ED">
        <w:rPr>
          <w:rFonts w:ascii="Times" w:hAnsi="Times"/>
          <w:sz w:val="20"/>
        </w:rPr>
        <w:t>(3), 137–152. https://doi.org/10.1037/a0019865</w:t>
      </w:r>
    </w:p>
    <w:p w14:paraId="75553467" w14:textId="77777777" w:rsidR="00A220ED" w:rsidRPr="00A220ED" w:rsidRDefault="00A220ED" w:rsidP="00A220ED">
      <w:pPr>
        <w:pStyle w:val="Bibliography"/>
        <w:rPr>
          <w:rFonts w:ascii="Times" w:hAnsi="Times"/>
          <w:sz w:val="20"/>
        </w:rPr>
      </w:pPr>
      <w:r w:rsidRPr="00A220ED">
        <w:rPr>
          <w:rFonts w:ascii="Times" w:hAnsi="Times"/>
          <w:sz w:val="20"/>
        </w:rPr>
        <w:t xml:space="preserve">Sleeter, C. E. (2017). Critical Race Theory and the Whiteness of Teacher Education. </w:t>
      </w:r>
      <w:r w:rsidRPr="00A220ED">
        <w:rPr>
          <w:rFonts w:ascii="Times" w:hAnsi="Times"/>
          <w:i/>
          <w:iCs/>
          <w:sz w:val="20"/>
        </w:rPr>
        <w:t>Urban Education</w:t>
      </w:r>
      <w:r w:rsidRPr="00A220ED">
        <w:rPr>
          <w:rFonts w:ascii="Times" w:hAnsi="Times"/>
          <w:sz w:val="20"/>
        </w:rPr>
        <w:t xml:space="preserve">, </w:t>
      </w:r>
      <w:r w:rsidRPr="00A220ED">
        <w:rPr>
          <w:rFonts w:ascii="Times" w:hAnsi="Times"/>
          <w:i/>
          <w:iCs/>
          <w:sz w:val="20"/>
        </w:rPr>
        <w:t>52</w:t>
      </w:r>
      <w:r w:rsidRPr="00A220ED">
        <w:rPr>
          <w:rFonts w:ascii="Times" w:hAnsi="Times"/>
          <w:sz w:val="20"/>
        </w:rPr>
        <w:t>(2), 155–169. https://doi.org/10.1177/0042085916668957</w:t>
      </w:r>
    </w:p>
    <w:p w14:paraId="60C8515F" w14:textId="77777777" w:rsidR="00A220ED" w:rsidRPr="00A220ED" w:rsidRDefault="00A220ED" w:rsidP="00A220ED">
      <w:pPr>
        <w:pStyle w:val="Bibliography"/>
        <w:rPr>
          <w:rFonts w:ascii="Times" w:hAnsi="Times"/>
          <w:sz w:val="20"/>
        </w:rPr>
      </w:pPr>
      <w:r w:rsidRPr="00A220ED">
        <w:rPr>
          <w:rFonts w:ascii="Times" w:hAnsi="Times"/>
          <w:sz w:val="20"/>
        </w:rPr>
        <w:t xml:space="preserve">Stark, P., &amp; Freishtat, R. (2014). An Evaluation of Course Evaluations: “F.” </w:t>
      </w:r>
      <w:r w:rsidRPr="00A220ED">
        <w:rPr>
          <w:rFonts w:ascii="Times" w:hAnsi="Times"/>
          <w:i/>
          <w:iCs/>
          <w:sz w:val="20"/>
        </w:rPr>
        <w:t>ScienceOpen Research</w:t>
      </w:r>
      <w:r w:rsidRPr="00A220ED">
        <w:rPr>
          <w:rFonts w:ascii="Times" w:hAnsi="Times"/>
          <w:sz w:val="20"/>
        </w:rPr>
        <w:t>. https://doi.org/10.14293/S2199-1006.1.SOR-EDU.AOFRQA.v1</w:t>
      </w:r>
    </w:p>
    <w:p w14:paraId="618DCCAC" w14:textId="607C6852" w:rsidR="006E5A86" w:rsidRPr="006E5A86" w:rsidRDefault="006E5A86" w:rsidP="00A220ED">
      <w:pPr>
        <w:pStyle w:val="Bibliography"/>
        <w:rPr>
          <w:rFonts w:ascii="Times" w:eastAsia="Times New Roman" w:hAnsi="Times"/>
          <w:b/>
          <w:bCs/>
          <w:sz w:val="20"/>
          <w:szCs w:val="20"/>
        </w:rPr>
      </w:pPr>
      <w:r w:rsidRPr="006E5A86">
        <w:rPr>
          <w:rFonts w:ascii="Times" w:eastAsia="Times New Roman" w:hAnsi="Times"/>
          <w:b/>
          <w:bCs/>
          <w:sz w:val="20"/>
          <w:szCs w:val="20"/>
        </w:rPr>
        <w:fldChar w:fldCharType="end"/>
      </w:r>
    </w:p>
    <w:p w14:paraId="40C6BFB7" w14:textId="15683416" w:rsidR="00F04743" w:rsidRPr="006E5A86" w:rsidRDefault="00B905BA" w:rsidP="00F04743">
      <w:pPr>
        <w:spacing w:before="100" w:beforeAutospacing="1" w:after="100" w:afterAutospacing="1"/>
        <w:outlineLvl w:val="1"/>
        <w:rPr>
          <w:rFonts w:ascii="Times" w:eastAsia="Times New Roman" w:hAnsi="Times" w:cs="Times New Roman"/>
          <w:b/>
          <w:bCs/>
          <w:sz w:val="20"/>
          <w:szCs w:val="20"/>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59A2DD9F" wp14:editId="581D0E5A">
                <wp:simplePos x="0" y="0"/>
                <wp:positionH relativeFrom="column">
                  <wp:posOffset>0</wp:posOffset>
                </wp:positionH>
                <wp:positionV relativeFrom="paragraph">
                  <wp:posOffset>-635</wp:posOffset>
                </wp:positionV>
                <wp:extent cx="6166884" cy="581246"/>
                <wp:effectExtent l="0" t="0" r="18415" b="15875"/>
                <wp:wrapNone/>
                <wp:docPr id="5" name="Text Box 5"/>
                <wp:cNvGraphicFramePr/>
                <a:graphic xmlns:a="http://schemas.openxmlformats.org/drawingml/2006/main">
                  <a:graphicData uri="http://schemas.microsoft.com/office/word/2010/wordprocessingShape">
                    <wps:wsp>
                      <wps:cNvSpPr txBox="1"/>
                      <wps:spPr>
                        <a:xfrm>
                          <a:off x="0" y="0"/>
                          <a:ext cx="6166884" cy="581246"/>
                        </a:xfrm>
                        <a:prstGeom prst="rect">
                          <a:avLst/>
                        </a:prstGeom>
                        <a:solidFill>
                          <a:schemeClr val="lt1"/>
                        </a:solidFill>
                        <a:ln w="6350">
                          <a:solidFill>
                            <a:prstClr val="black"/>
                          </a:solidFill>
                        </a:ln>
                      </wps:spPr>
                      <wps:txbx>
                        <w:txbxContent>
                          <w:p w14:paraId="0A724FD5" w14:textId="77777777" w:rsidR="00B905BA" w:rsidRDefault="00B905BA" w:rsidP="00B905BA">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73B4F237" wp14:editId="7FBD1F56">
                                  <wp:extent cx="687572" cy="129674"/>
                                  <wp:effectExtent l="0" t="0" r="0" b="0"/>
                                  <wp:docPr id="7" name="Picture 7"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5E6D5094" w14:textId="77777777" w:rsidR="00B905BA" w:rsidRPr="00583744" w:rsidRDefault="00B905BA" w:rsidP="00B905BA">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13"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22B9326E" w14:textId="77777777" w:rsidR="00B905BA" w:rsidRPr="00583744" w:rsidRDefault="00B905BA" w:rsidP="00B905BA">
                            <w:pPr>
                              <w:rPr>
                                <w:sz w:val="18"/>
                                <w:szCs w:val="18"/>
                              </w:rPr>
                            </w:pPr>
                          </w:p>
                          <w:p w14:paraId="35D078AF" w14:textId="77777777" w:rsidR="00B905BA" w:rsidRDefault="00B905BA" w:rsidP="00B90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2DD9F" id="_x0000_t202" coordsize="21600,21600" o:spt="202" path="m,l,21600r21600,l21600,xe">
                <v:stroke joinstyle="miter"/>
                <v:path gradientshapeok="t" o:connecttype="rect"/>
              </v:shapetype>
              <v:shape id="Text Box 5" o:spid="_x0000_s1026" type="#_x0000_t202" style="position:absolute;margin-left:0;margin-top:-.05pt;width:485.6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" fillcolor="white [3201]" strokeweight=".5pt">
                <v:textbox>
                  <w:txbxContent>
                    <w:p w14:paraId="0A724FD5" w14:textId="77777777" w:rsidR="00B905BA" w:rsidRDefault="00B905BA" w:rsidP="00B905BA">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73B4F237" wp14:editId="7FBD1F56">
                            <wp:extent cx="687572" cy="129674"/>
                            <wp:effectExtent l="0" t="0" r="0" b="0"/>
                            <wp:docPr id="7" name="Picture 7"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5E6D5094" w14:textId="77777777" w:rsidR="00B905BA" w:rsidRPr="00583744" w:rsidRDefault="00B905BA" w:rsidP="00B905BA">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14"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22B9326E" w14:textId="77777777" w:rsidR="00B905BA" w:rsidRPr="00583744" w:rsidRDefault="00B905BA" w:rsidP="00B905BA">
                      <w:pPr>
                        <w:rPr>
                          <w:sz w:val="18"/>
                          <w:szCs w:val="18"/>
                        </w:rPr>
                      </w:pPr>
                    </w:p>
                    <w:p w14:paraId="35D078AF" w14:textId="77777777" w:rsidR="00B905BA" w:rsidRDefault="00B905BA" w:rsidP="00B905BA"/>
                  </w:txbxContent>
                </v:textbox>
              </v:shape>
            </w:pict>
          </mc:Fallback>
        </mc:AlternateContent>
      </w:r>
    </w:p>
    <w:p w14:paraId="65A9877C" w14:textId="77777777" w:rsidR="000C22FC" w:rsidRPr="006E5A86" w:rsidRDefault="000C22FC" w:rsidP="00F86298">
      <w:pPr>
        <w:rPr>
          <w:sz w:val="20"/>
          <w:szCs w:val="20"/>
        </w:rPr>
      </w:pPr>
    </w:p>
    <w:sectPr w:rsidR="000C22FC" w:rsidRPr="006E5A86" w:rsidSect="0056710F">
      <w:pgSz w:w="12240" w:h="15840"/>
      <w:pgMar w:top="900" w:right="180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3A67"/>
    <w:multiLevelType w:val="hybridMultilevel"/>
    <w:tmpl w:val="359A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444C2"/>
    <w:multiLevelType w:val="multilevel"/>
    <w:tmpl w:val="0BA4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6610D"/>
    <w:multiLevelType w:val="multilevel"/>
    <w:tmpl w:val="EFD6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279C3"/>
    <w:multiLevelType w:val="multilevel"/>
    <w:tmpl w:val="DF52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D73D7"/>
    <w:multiLevelType w:val="multilevel"/>
    <w:tmpl w:val="A53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F47ED"/>
    <w:multiLevelType w:val="hybridMultilevel"/>
    <w:tmpl w:val="255E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98"/>
    <w:rsid w:val="00016EE2"/>
    <w:rsid w:val="00070099"/>
    <w:rsid w:val="00093955"/>
    <w:rsid w:val="000B7C72"/>
    <w:rsid w:val="000C0262"/>
    <w:rsid w:val="000C22FC"/>
    <w:rsid w:val="000D5D4A"/>
    <w:rsid w:val="00103F24"/>
    <w:rsid w:val="00127EF2"/>
    <w:rsid w:val="001349F2"/>
    <w:rsid w:val="00152E0D"/>
    <w:rsid w:val="001A2948"/>
    <w:rsid w:val="001A5159"/>
    <w:rsid w:val="001D37C5"/>
    <w:rsid w:val="001D54B9"/>
    <w:rsid w:val="001E1E18"/>
    <w:rsid w:val="001F767D"/>
    <w:rsid w:val="0022770E"/>
    <w:rsid w:val="00231F2E"/>
    <w:rsid w:val="002334B8"/>
    <w:rsid w:val="00264FB7"/>
    <w:rsid w:val="002A5280"/>
    <w:rsid w:val="002A5C7B"/>
    <w:rsid w:val="002D5222"/>
    <w:rsid w:val="002F27C3"/>
    <w:rsid w:val="00352F61"/>
    <w:rsid w:val="003B2827"/>
    <w:rsid w:val="003E7F50"/>
    <w:rsid w:val="004061F9"/>
    <w:rsid w:val="00413750"/>
    <w:rsid w:val="00414085"/>
    <w:rsid w:val="00416EA2"/>
    <w:rsid w:val="00430825"/>
    <w:rsid w:val="00483374"/>
    <w:rsid w:val="0049516C"/>
    <w:rsid w:val="00512055"/>
    <w:rsid w:val="00557A15"/>
    <w:rsid w:val="00562318"/>
    <w:rsid w:val="0056710F"/>
    <w:rsid w:val="005872FC"/>
    <w:rsid w:val="00595B7C"/>
    <w:rsid w:val="005B3208"/>
    <w:rsid w:val="005C7893"/>
    <w:rsid w:val="005D6442"/>
    <w:rsid w:val="0061205D"/>
    <w:rsid w:val="0062311C"/>
    <w:rsid w:val="00625FE8"/>
    <w:rsid w:val="006B32CC"/>
    <w:rsid w:val="006B7946"/>
    <w:rsid w:val="006D126B"/>
    <w:rsid w:val="006E46F3"/>
    <w:rsid w:val="006E5A86"/>
    <w:rsid w:val="0073016E"/>
    <w:rsid w:val="00764449"/>
    <w:rsid w:val="007674AF"/>
    <w:rsid w:val="00767EDE"/>
    <w:rsid w:val="00782F5F"/>
    <w:rsid w:val="007A4962"/>
    <w:rsid w:val="0080011D"/>
    <w:rsid w:val="00821A69"/>
    <w:rsid w:val="008508E3"/>
    <w:rsid w:val="00886173"/>
    <w:rsid w:val="008A135B"/>
    <w:rsid w:val="008A4FFB"/>
    <w:rsid w:val="008C4F75"/>
    <w:rsid w:val="008E328D"/>
    <w:rsid w:val="008E7E39"/>
    <w:rsid w:val="00957C0D"/>
    <w:rsid w:val="00984770"/>
    <w:rsid w:val="00990E37"/>
    <w:rsid w:val="00996EE6"/>
    <w:rsid w:val="009A32C4"/>
    <w:rsid w:val="009B2474"/>
    <w:rsid w:val="00A220ED"/>
    <w:rsid w:val="00A737CF"/>
    <w:rsid w:val="00A83C36"/>
    <w:rsid w:val="00A95045"/>
    <w:rsid w:val="00AA605A"/>
    <w:rsid w:val="00AD2B74"/>
    <w:rsid w:val="00AD50B2"/>
    <w:rsid w:val="00AE692B"/>
    <w:rsid w:val="00B14B90"/>
    <w:rsid w:val="00B33B5E"/>
    <w:rsid w:val="00B50A66"/>
    <w:rsid w:val="00B74BC4"/>
    <w:rsid w:val="00B905BA"/>
    <w:rsid w:val="00BD2B26"/>
    <w:rsid w:val="00C36C35"/>
    <w:rsid w:val="00C82E02"/>
    <w:rsid w:val="00C9720B"/>
    <w:rsid w:val="00CC12A8"/>
    <w:rsid w:val="00DA045C"/>
    <w:rsid w:val="00DA67EB"/>
    <w:rsid w:val="00E07E9E"/>
    <w:rsid w:val="00E46A56"/>
    <w:rsid w:val="00ED5A42"/>
    <w:rsid w:val="00F04743"/>
    <w:rsid w:val="00F06279"/>
    <w:rsid w:val="00F21D05"/>
    <w:rsid w:val="00F86298"/>
    <w:rsid w:val="00FF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01121"/>
  <w14:defaultImageDpi w14:val="300"/>
  <w15:docId w15:val="{88449045-A664-4A43-B01E-4C2FBBC6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629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8629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8629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F86298"/>
    <w:rPr>
      <w:rFonts w:ascii="Times" w:hAnsi="Times"/>
      <w:b/>
      <w:bCs/>
      <w:sz w:val="36"/>
      <w:szCs w:val="36"/>
    </w:rPr>
  </w:style>
  <w:style w:type="character" w:customStyle="1" w:styleId="Heading3Char">
    <w:name w:val="Heading 3 Char"/>
    <w:basedOn w:val="DefaultParagraphFont"/>
    <w:link w:val="Heading3"/>
    <w:uiPriority w:val="9"/>
    <w:rsid w:val="00F86298"/>
    <w:rPr>
      <w:rFonts w:ascii="Times" w:hAnsi="Times"/>
      <w:b/>
      <w:bCs/>
      <w:sz w:val="27"/>
      <w:szCs w:val="27"/>
    </w:rPr>
  </w:style>
  <w:style w:type="character" w:customStyle="1" w:styleId="Heading4Char">
    <w:name w:val="Heading 4 Char"/>
    <w:basedOn w:val="DefaultParagraphFont"/>
    <w:link w:val="Heading4"/>
    <w:uiPriority w:val="9"/>
    <w:rsid w:val="00F86298"/>
    <w:rPr>
      <w:rFonts w:ascii="Times" w:hAnsi="Times"/>
      <w:b/>
      <w:bCs/>
    </w:rPr>
  </w:style>
  <w:style w:type="paragraph" w:styleId="NormalWeb">
    <w:name w:val="Normal (Web)"/>
    <w:basedOn w:val="Normal"/>
    <w:uiPriority w:val="99"/>
    <w:semiHidden/>
    <w:unhideWhenUsed/>
    <w:rsid w:val="00F862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6298"/>
    <w:rPr>
      <w:color w:val="0000FF"/>
      <w:u w:val="single"/>
    </w:rPr>
  </w:style>
  <w:style w:type="character" w:styleId="Emphasis">
    <w:name w:val="Emphasis"/>
    <w:basedOn w:val="DefaultParagraphFont"/>
    <w:uiPriority w:val="20"/>
    <w:qFormat/>
    <w:rsid w:val="00F86298"/>
    <w:rPr>
      <w:i/>
      <w:iCs/>
    </w:rPr>
  </w:style>
  <w:style w:type="paragraph" w:styleId="BalloonText">
    <w:name w:val="Balloon Text"/>
    <w:basedOn w:val="Normal"/>
    <w:link w:val="BalloonTextChar"/>
    <w:uiPriority w:val="99"/>
    <w:semiHidden/>
    <w:unhideWhenUsed/>
    <w:rsid w:val="005671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10F"/>
    <w:rPr>
      <w:rFonts w:ascii="Lucida Grande" w:hAnsi="Lucida Grande" w:cs="Lucida Grande"/>
      <w:sz w:val="18"/>
      <w:szCs w:val="18"/>
    </w:rPr>
  </w:style>
  <w:style w:type="character" w:styleId="UnresolvedMention">
    <w:name w:val="Unresolved Mention"/>
    <w:basedOn w:val="DefaultParagraphFont"/>
    <w:uiPriority w:val="99"/>
    <w:semiHidden/>
    <w:unhideWhenUsed/>
    <w:rsid w:val="00767EDE"/>
    <w:rPr>
      <w:color w:val="605E5C"/>
      <w:shd w:val="clear" w:color="auto" w:fill="E1DFDD"/>
    </w:rPr>
  </w:style>
  <w:style w:type="paragraph" w:styleId="ListParagraph">
    <w:name w:val="List Paragraph"/>
    <w:basedOn w:val="Normal"/>
    <w:uiPriority w:val="34"/>
    <w:qFormat/>
    <w:rsid w:val="009A32C4"/>
    <w:pPr>
      <w:ind w:left="720"/>
      <w:contextualSpacing/>
    </w:pPr>
  </w:style>
  <w:style w:type="paragraph" w:styleId="Bibliography">
    <w:name w:val="Bibliography"/>
    <w:basedOn w:val="Normal"/>
    <w:next w:val="Normal"/>
    <w:uiPriority w:val="37"/>
    <w:unhideWhenUsed/>
    <w:rsid w:val="006E5A86"/>
    <w:pPr>
      <w:spacing w:line="480" w:lineRule="auto"/>
      <w:ind w:left="720" w:hanging="720"/>
    </w:pPr>
  </w:style>
  <w:style w:type="character" w:styleId="FollowedHyperlink">
    <w:name w:val="FollowedHyperlink"/>
    <w:basedOn w:val="DefaultParagraphFont"/>
    <w:uiPriority w:val="99"/>
    <w:semiHidden/>
    <w:unhideWhenUsed/>
    <w:rsid w:val="00886173"/>
    <w:rPr>
      <w:color w:val="800080" w:themeColor="followedHyperlink"/>
      <w:u w:val="single"/>
    </w:rPr>
  </w:style>
  <w:style w:type="character" w:styleId="CommentReference">
    <w:name w:val="annotation reference"/>
    <w:basedOn w:val="DefaultParagraphFont"/>
    <w:uiPriority w:val="99"/>
    <w:semiHidden/>
    <w:unhideWhenUsed/>
    <w:rsid w:val="00C82E02"/>
    <w:rPr>
      <w:sz w:val="16"/>
      <w:szCs w:val="16"/>
    </w:rPr>
  </w:style>
  <w:style w:type="paragraph" w:styleId="CommentText">
    <w:name w:val="annotation text"/>
    <w:basedOn w:val="Normal"/>
    <w:link w:val="CommentTextChar"/>
    <w:uiPriority w:val="99"/>
    <w:semiHidden/>
    <w:unhideWhenUsed/>
    <w:rsid w:val="00C82E02"/>
    <w:rPr>
      <w:sz w:val="20"/>
      <w:szCs w:val="20"/>
    </w:rPr>
  </w:style>
  <w:style w:type="character" w:customStyle="1" w:styleId="CommentTextChar">
    <w:name w:val="Comment Text Char"/>
    <w:basedOn w:val="DefaultParagraphFont"/>
    <w:link w:val="CommentText"/>
    <w:uiPriority w:val="99"/>
    <w:semiHidden/>
    <w:rsid w:val="00C82E02"/>
    <w:rPr>
      <w:sz w:val="20"/>
      <w:szCs w:val="20"/>
    </w:rPr>
  </w:style>
  <w:style w:type="paragraph" w:styleId="CommentSubject">
    <w:name w:val="annotation subject"/>
    <w:basedOn w:val="CommentText"/>
    <w:next w:val="CommentText"/>
    <w:link w:val="CommentSubjectChar"/>
    <w:uiPriority w:val="99"/>
    <w:semiHidden/>
    <w:unhideWhenUsed/>
    <w:rsid w:val="00C82E02"/>
    <w:rPr>
      <w:b/>
      <w:bCs/>
    </w:rPr>
  </w:style>
  <w:style w:type="character" w:customStyle="1" w:styleId="CommentSubjectChar">
    <w:name w:val="Comment Subject Char"/>
    <w:basedOn w:val="CommentTextChar"/>
    <w:link w:val="CommentSubject"/>
    <w:uiPriority w:val="99"/>
    <w:semiHidden/>
    <w:rsid w:val="00C82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42431">
      <w:bodyDiv w:val="1"/>
      <w:marLeft w:val="0"/>
      <w:marRight w:val="0"/>
      <w:marTop w:val="0"/>
      <w:marBottom w:val="0"/>
      <w:divBdr>
        <w:top w:val="none" w:sz="0" w:space="0" w:color="auto"/>
        <w:left w:val="none" w:sz="0" w:space="0" w:color="auto"/>
        <w:bottom w:val="none" w:sz="0" w:space="0" w:color="auto"/>
        <w:right w:val="none" w:sz="0" w:space="0" w:color="auto"/>
      </w:divBdr>
    </w:div>
    <w:div w:id="490411262">
      <w:bodyDiv w:val="1"/>
      <w:marLeft w:val="0"/>
      <w:marRight w:val="0"/>
      <w:marTop w:val="0"/>
      <w:marBottom w:val="0"/>
      <w:divBdr>
        <w:top w:val="none" w:sz="0" w:space="0" w:color="auto"/>
        <w:left w:val="none" w:sz="0" w:space="0" w:color="auto"/>
        <w:bottom w:val="none" w:sz="0" w:space="0" w:color="auto"/>
        <w:right w:val="none" w:sz="0" w:space="0" w:color="auto"/>
      </w:divBdr>
    </w:div>
    <w:div w:id="607859082">
      <w:bodyDiv w:val="1"/>
      <w:marLeft w:val="0"/>
      <w:marRight w:val="0"/>
      <w:marTop w:val="0"/>
      <w:marBottom w:val="0"/>
      <w:divBdr>
        <w:top w:val="none" w:sz="0" w:space="0" w:color="auto"/>
        <w:left w:val="none" w:sz="0" w:space="0" w:color="auto"/>
        <w:bottom w:val="none" w:sz="0" w:space="0" w:color="auto"/>
        <w:right w:val="none" w:sz="0" w:space="0" w:color="auto"/>
      </w:divBdr>
    </w:div>
    <w:div w:id="92268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vanderbilt.edu/vu-wp0/wp-content/uploads/sites/59/2019/07/16133925/Form-B.doc" TargetMode="External"/><Relationship Id="rId13"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s://cdn.vanderbilt.edu/vu-wp0/wp-content/uploads/sites/59/2019/07/16133924/Form-A.doc"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ft.vanderbilt.edu/cft/guides-sub-pages/student-evaluations/" TargetMode="External"/><Relationship Id="rId11"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p0.vanderbilt.edu/cft/services/small-group-analysis/" TargetMode="External"/><Relationship Id="rId4" Type="http://schemas.openxmlformats.org/officeDocument/2006/relationships/webSettings" Target="webSettings.xml"/><Relationship Id="rId9" Type="http://schemas.openxmlformats.org/officeDocument/2006/relationships/hyperlink" Target="https://www.chronicle.com/article/How-to-Make-the-Best-of-Bad/246395" TargetMode="Externa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4740</Words>
  <Characters>27024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2021-02-25T16:01:00Z</dcterms:created>
  <dcterms:modified xsi:type="dcterms:W3CDTF">2021-02-25T16:01:00Z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id="LzK2N7XX"/&gt;&lt;style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