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7236" w14:textId="77777777" w:rsidR="00F763D4" w:rsidRPr="00F763D4" w:rsidRDefault="009C78B7" w:rsidP="00F763D4">
      <w:pPr>
        <w:tabs>
          <w:tab w:val="left" w:pos="450"/>
        </w:tabs>
        <w:spacing w:before="100" w:beforeAutospacing="1" w:after="100" w:afterAutospacing="1"/>
        <w:outlineLvl w:val="0"/>
        <w:rPr>
          <w:rFonts w:ascii="Times" w:eastAsia="Times New Roman" w:hAnsi="Times" w:cs="Times New Roman"/>
          <w:b/>
          <w:bCs/>
          <w:i/>
          <w:iCs/>
          <w:sz w:val="15"/>
          <w:szCs w:val="15"/>
        </w:rPr>
      </w:pPr>
      <w:r>
        <w:rPr>
          <w:rFonts w:ascii="Times" w:hAnsi="Times" w:cs="Times New Roman"/>
          <w:noProof/>
          <w:color w:val="595959" w:themeColor="text1" w:themeTint="A6"/>
        </w:rPr>
        <w:drawing>
          <wp:anchor distT="0" distB="0" distL="114300" distR="114300" simplePos="0" relativeHeight="251660288" behindDoc="0" locked="0" layoutInCell="1" allowOverlap="1" wp14:anchorId="12480768" wp14:editId="7050D621">
            <wp:simplePos x="0" y="0"/>
            <wp:positionH relativeFrom="column">
              <wp:posOffset>5257800</wp:posOffset>
            </wp:positionH>
            <wp:positionV relativeFrom="paragraph">
              <wp:posOffset>0</wp:posOffset>
            </wp:positionV>
            <wp:extent cx="1371600" cy="1901346"/>
            <wp:effectExtent l="0" t="0" r="0" b="3810"/>
            <wp:wrapNone/>
            <wp:docPr id="7" name="Picture 7"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90134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63D4" w:rsidRPr="00F763D4">
        <w:rPr>
          <w:rFonts w:ascii="Times" w:eastAsia="Times New Roman" w:hAnsi="Times" w:cs="Times New Roman"/>
          <w:b/>
          <w:bCs/>
          <w:kern w:val="36"/>
          <w:sz w:val="48"/>
          <w:szCs w:val="48"/>
        </w:rPr>
        <w:t>Blended and Online Learning</w:t>
      </w:r>
      <w:r w:rsidR="00F763D4">
        <w:rPr>
          <w:rFonts w:ascii="Times" w:eastAsia="Times New Roman" w:hAnsi="Times" w:cs="Times New Roman"/>
          <w:b/>
          <w:bCs/>
          <w:kern w:val="36"/>
          <w:sz w:val="48"/>
          <w:szCs w:val="48"/>
        </w:rPr>
        <w:br/>
      </w:r>
      <w:r w:rsidR="00F763D4" w:rsidRPr="00F763D4">
        <w:rPr>
          <w:rFonts w:ascii="Times" w:eastAsia="Times New Roman" w:hAnsi="Times" w:cs="Times New Roman"/>
          <w:b/>
          <w:bCs/>
          <w:i/>
          <w:iCs/>
          <w:sz w:val="15"/>
          <w:szCs w:val="15"/>
        </w:rPr>
        <w:t xml:space="preserve">By Blaine Smith and Cynthia </w:t>
      </w:r>
      <w:proofErr w:type="spellStart"/>
      <w:r w:rsidR="00F763D4" w:rsidRPr="00F763D4">
        <w:rPr>
          <w:rFonts w:ascii="Times" w:eastAsia="Times New Roman" w:hAnsi="Times" w:cs="Times New Roman"/>
          <w:b/>
          <w:bCs/>
          <w:i/>
          <w:iCs/>
          <w:sz w:val="15"/>
          <w:szCs w:val="15"/>
        </w:rPr>
        <w:t>Brame</w:t>
      </w:r>
      <w:proofErr w:type="spellEnd"/>
    </w:p>
    <w:p w14:paraId="5DAF608D" w14:textId="77777777" w:rsidR="00F763D4" w:rsidRPr="00F763D4" w:rsidRDefault="009C78B7" w:rsidP="00F763D4">
      <w:pPr>
        <w:spacing w:before="100" w:beforeAutospacing="1" w:after="100" w:afterAutospacing="1"/>
        <w:rPr>
          <w:rFonts w:ascii="Times" w:hAnsi="Times" w:cs="Times New Roman"/>
          <w:color w:val="595959" w:themeColor="text1" w:themeTint="A6"/>
        </w:rPr>
      </w:pPr>
      <w:r>
        <w:rPr>
          <w:rFonts w:ascii="Times" w:eastAsia="Times New Roman" w:hAnsi="Times" w:cs="Times New Roman"/>
          <w:b/>
          <w:bCs/>
          <w:noProof/>
          <w:sz w:val="15"/>
          <w:szCs w:val="15"/>
        </w:rPr>
        <w:drawing>
          <wp:anchor distT="0" distB="0" distL="114300" distR="114300" simplePos="0" relativeHeight="251658240" behindDoc="0" locked="0" layoutInCell="1" allowOverlap="1" wp14:anchorId="6833966A" wp14:editId="1E1E460A">
            <wp:simplePos x="0" y="0"/>
            <wp:positionH relativeFrom="column">
              <wp:posOffset>114300</wp:posOffset>
            </wp:positionH>
            <wp:positionV relativeFrom="paragraph">
              <wp:posOffset>1188720</wp:posOffset>
            </wp:positionV>
            <wp:extent cx="1028700" cy="1315720"/>
            <wp:effectExtent l="0" t="0" r="12700" b="5080"/>
            <wp:wrapNone/>
            <wp:docPr id="1" name="Picture 1" descr="https://cft.vanderbilt.edu/wp-content/uploads/sites/59/online2-23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t.vanderbilt.edu/wp-content/uploads/sites/59/online2-235x3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3157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63D4" w:rsidRPr="00F763D4">
        <w:rPr>
          <w:rFonts w:ascii="Times" w:hAnsi="Times" w:cs="Times New Roman"/>
          <w:color w:val="595959" w:themeColor="text1" w:themeTint="A6"/>
        </w:rPr>
        <w:t>Online courses are those in which at least 80 percent</w:t>
      </w:r>
      <w:r>
        <w:rPr>
          <w:rFonts w:ascii="Times" w:hAnsi="Times" w:cs="Times New Roman"/>
          <w:color w:val="595959" w:themeColor="text1" w:themeTint="A6"/>
        </w:rPr>
        <w:t xml:space="preserve"> of course content is delivered</w:t>
      </w:r>
      <w:r>
        <w:rPr>
          <w:rFonts w:ascii="Times" w:hAnsi="Times" w:cs="Times New Roman"/>
          <w:color w:val="595959" w:themeColor="text1" w:themeTint="A6"/>
        </w:rPr>
        <w:br/>
      </w:r>
      <w:r w:rsidR="00F763D4" w:rsidRPr="00F763D4">
        <w:rPr>
          <w:rFonts w:ascii="Times" w:hAnsi="Times" w:cs="Times New Roman"/>
          <w:color w:val="595959" w:themeColor="text1" w:themeTint="A6"/>
        </w:rPr>
        <w:t>online. Blended (sometimes called hybrid) in</w:t>
      </w:r>
      <w:r>
        <w:rPr>
          <w:rFonts w:ascii="Times" w:hAnsi="Times" w:cs="Times New Roman"/>
          <w:color w:val="595959" w:themeColor="text1" w:themeTint="A6"/>
        </w:rPr>
        <w:t>struction has between 30 and 80</w:t>
      </w:r>
      <w:r>
        <w:rPr>
          <w:rFonts w:ascii="Times" w:hAnsi="Times" w:cs="Times New Roman"/>
          <w:color w:val="595959" w:themeColor="text1" w:themeTint="A6"/>
        </w:rPr>
        <w:br/>
      </w:r>
      <w:r w:rsidR="00F763D4" w:rsidRPr="00F763D4">
        <w:rPr>
          <w:rFonts w:ascii="Times" w:hAnsi="Times" w:cs="Times New Roman"/>
          <w:color w:val="595959" w:themeColor="text1" w:themeTint="A6"/>
        </w:rPr>
        <w:t>percent of the course content delivered online with</w:t>
      </w:r>
      <w:r>
        <w:rPr>
          <w:rFonts w:ascii="Times" w:hAnsi="Times" w:cs="Times New Roman"/>
          <w:color w:val="595959" w:themeColor="text1" w:themeTint="A6"/>
        </w:rPr>
        <w:t xml:space="preserve"> some face-to-face interaction.</w:t>
      </w:r>
      <w:r>
        <w:rPr>
          <w:rFonts w:ascii="Times" w:hAnsi="Times" w:cs="Times New Roman"/>
          <w:color w:val="595959" w:themeColor="text1" w:themeTint="A6"/>
        </w:rPr>
        <w:br/>
      </w:r>
      <w:r w:rsidR="00F763D4" w:rsidRPr="00F763D4">
        <w:rPr>
          <w:rFonts w:ascii="Times" w:hAnsi="Times" w:cs="Times New Roman"/>
          <w:color w:val="595959" w:themeColor="text1" w:themeTint="A6"/>
        </w:rPr>
        <w:t xml:space="preserve">Blended and online courses not only change how </w:t>
      </w:r>
      <w:r>
        <w:rPr>
          <w:rFonts w:ascii="Times" w:hAnsi="Times" w:cs="Times New Roman"/>
          <w:color w:val="595959" w:themeColor="text1" w:themeTint="A6"/>
        </w:rPr>
        <w:t>content is delivered, they also</w:t>
      </w:r>
      <w:r>
        <w:rPr>
          <w:rFonts w:ascii="Times" w:hAnsi="Times" w:cs="Times New Roman"/>
          <w:color w:val="595959" w:themeColor="text1" w:themeTint="A6"/>
        </w:rPr>
        <w:br/>
      </w:r>
      <w:r w:rsidR="00F763D4" w:rsidRPr="00F763D4">
        <w:rPr>
          <w:rFonts w:ascii="Times" w:hAnsi="Times" w:cs="Times New Roman"/>
          <w:color w:val="595959" w:themeColor="text1" w:themeTint="A6"/>
        </w:rPr>
        <w:t>redefine traditional educational roles and provide differ</w:t>
      </w:r>
      <w:r>
        <w:rPr>
          <w:rFonts w:ascii="Times" w:hAnsi="Times" w:cs="Times New Roman"/>
          <w:color w:val="595959" w:themeColor="text1" w:themeTint="A6"/>
        </w:rPr>
        <w:t>ent opportunities for learning.</w:t>
      </w:r>
      <w:r>
        <w:rPr>
          <w:rFonts w:ascii="Times" w:hAnsi="Times" w:cs="Times New Roman"/>
          <w:color w:val="595959" w:themeColor="text1" w:themeTint="A6"/>
        </w:rPr>
        <w:br/>
      </w:r>
      <w:r w:rsidR="00F763D4" w:rsidRPr="00F763D4">
        <w:rPr>
          <w:rFonts w:ascii="Times" w:hAnsi="Times" w:cs="Times New Roman"/>
          <w:color w:val="595959" w:themeColor="text1" w:themeTint="A6"/>
        </w:rPr>
        <w:t>As descri</w:t>
      </w:r>
      <w:r w:rsidR="00F763D4">
        <w:rPr>
          <w:rFonts w:ascii="Times" w:hAnsi="Times" w:cs="Times New Roman"/>
          <w:color w:val="595959" w:themeColor="text1" w:themeTint="A6"/>
        </w:rPr>
        <w:t xml:space="preserve">bed by </w:t>
      </w:r>
      <w:proofErr w:type="spellStart"/>
      <w:r w:rsidR="00F763D4">
        <w:rPr>
          <w:rFonts w:ascii="Times" w:hAnsi="Times" w:cs="Times New Roman"/>
          <w:color w:val="595959" w:themeColor="text1" w:themeTint="A6"/>
        </w:rPr>
        <w:t>Palloff</w:t>
      </w:r>
      <w:proofErr w:type="spellEnd"/>
      <w:r w:rsidR="00F763D4">
        <w:rPr>
          <w:rFonts w:ascii="Times" w:hAnsi="Times" w:cs="Times New Roman"/>
          <w:color w:val="595959" w:themeColor="text1" w:themeTint="A6"/>
        </w:rPr>
        <w:t xml:space="preserve"> and Pratt (2013):</w:t>
      </w:r>
    </w:p>
    <w:tbl>
      <w:tblPr>
        <w:tblpPr w:leftFromText="180" w:rightFromText="180" w:vertAnchor="text" w:horzAnchor="page" w:tblpX="3385" w:tblpY="111"/>
        <w:tblW w:w="7079" w:type="dxa"/>
        <w:tblCellSpacing w:w="15" w:type="dxa"/>
        <w:tblCellMar>
          <w:top w:w="144" w:type="dxa"/>
          <w:left w:w="144" w:type="dxa"/>
          <w:bottom w:w="144" w:type="dxa"/>
          <w:right w:w="144" w:type="dxa"/>
        </w:tblCellMar>
        <w:tblLook w:val="04A0" w:firstRow="1" w:lastRow="0" w:firstColumn="1" w:lastColumn="0" w:noHBand="0" w:noVBand="1"/>
      </w:tblPr>
      <w:tblGrid>
        <w:gridCol w:w="7079"/>
      </w:tblGrid>
      <w:tr w:rsidR="009C78B7" w:rsidRPr="00F763D4" w14:paraId="2B07DD4E" w14:textId="77777777" w:rsidTr="009C78B7">
        <w:trPr>
          <w:trHeight w:val="1572"/>
          <w:tblCellSpacing w:w="15" w:type="dxa"/>
        </w:trPr>
        <w:tc>
          <w:tcPr>
            <w:tcW w:w="7019" w:type="dxa"/>
            <w:shd w:val="clear" w:color="auto" w:fill="DEEAEE"/>
            <w:vAlign w:val="center"/>
            <w:hideMark/>
          </w:tcPr>
          <w:p w14:paraId="2C17E062" w14:textId="77777777" w:rsidR="009C78B7" w:rsidRPr="00F763D4" w:rsidRDefault="009C78B7" w:rsidP="009C78B7">
            <w:pPr>
              <w:spacing w:before="100" w:beforeAutospacing="1" w:after="100" w:afterAutospacing="1"/>
              <w:rPr>
                <w:rFonts w:ascii="Times" w:hAnsi="Times" w:cs="Times New Roman"/>
                <w:sz w:val="20"/>
                <w:szCs w:val="20"/>
              </w:rPr>
            </w:pPr>
            <w:r w:rsidRPr="00F763D4">
              <w:rPr>
                <w:rFonts w:ascii="Times" w:hAnsi="Times" w:cs="Times New Roman"/>
                <w:b/>
                <w:bCs/>
                <w:color w:val="636060"/>
                <w:sz w:val="20"/>
                <w:szCs w:val="20"/>
              </w:rPr>
              <w:t>The online classroom is a potentially powerful teaching and learning arena in which new practices and new relationships can make significant contributions to learning. In order to harness the power this creates in education, instructors must be trained not only to use technology but also to shift the ways in which they organize and deliver material. Making this shift can increase the potential for learners to take charge of their own learning process and facilitate the development of a sense of community among them. (p.30)</w:t>
            </w:r>
          </w:p>
        </w:tc>
      </w:tr>
    </w:tbl>
    <w:p w14:paraId="67C1BAAC" w14:textId="77777777" w:rsidR="00F763D4" w:rsidRPr="00F763D4" w:rsidRDefault="00F763D4" w:rsidP="00F763D4">
      <w:pPr>
        <w:spacing w:before="100" w:beforeAutospacing="1" w:after="100" w:afterAutospacing="1"/>
        <w:rPr>
          <w:rFonts w:ascii="Times" w:hAnsi="Times" w:cs="Times New Roman"/>
          <w:sz w:val="20"/>
          <w:szCs w:val="20"/>
        </w:rPr>
      </w:pPr>
    </w:p>
    <w:p w14:paraId="0E234150" w14:textId="77777777" w:rsidR="00F763D4" w:rsidRDefault="00F763D4" w:rsidP="00F763D4">
      <w:pPr>
        <w:spacing w:before="100" w:beforeAutospacing="1" w:after="100" w:afterAutospacing="1"/>
        <w:rPr>
          <w:rFonts w:ascii="Times" w:hAnsi="Times" w:cs="Times New Roman"/>
          <w:sz w:val="20"/>
          <w:szCs w:val="20"/>
        </w:rPr>
      </w:pPr>
      <w:r w:rsidRPr="00F763D4">
        <w:rPr>
          <w:rFonts w:ascii="Times" w:hAnsi="Times" w:cs="Times New Roman"/>
          <w:sz w:val="20"/>
          <w:szCs w:val="20"/>
        </w:rPr>
        <w:t> </w:t>
      </w:r>
    </w:p>
    <w:p w14:paraId="798D51F5" w14:textId="77777777" w:rsidR="00F763D4" w:rsidRDefault="00F763D4" w:rsidP="00F763D4">
      <w:pPr>
        <w:spacing w:before="100" w:beforeAutospacing="1" w:after="100" w:afterAutospacing="1"/>
        <w:rPr>
          <w:rFonts w:ascii="Times" w:hAnsi="Times" w:cs="Times New Roman"/>
          <w:sz w:val="20"/>
          <w:szCs w:val="20"/>
        </w:rPr>
      </w:pPr>
    </w:p>
    <w:p w14:paraId="3D8E112D" w14:textId="77777777" w:rsidR="00F763D4" w:rsidRPr="00F763D4" w:rsidRDefault="009C78B7" w:rsidP="00F763D4">
      <w:pPr>
        <w:spacing w:before="100" w:beforeAutospacing="1" w:after="100" w:afterAutospacing="1"/>
        <w:rPr>
          <w:rFonts w:ascii="Times" w:hAnsi="Times" w:cs="Times New Roman"/>
          <w:sz w:val="20"/>
          <w:szCs w:val="20"/>
        </w:rPr>
      </w:pPr>
      <w:r>
        <w:rPr>
          <w:rFonts w:ascii="Times" w:hAnsi="Times" w:cs="Times New Roman"/>
          <w:sz w:val="20"/>
          <w:szCs w:val="20"/>
        </w:rPr>
        <w:br/>
      </w:r>
    </w:p>
    <w:p w14:paraId="0E35B7DA" w14:textId="77777777" w:rsidR="00F763D4" w:rsidRDefault="00F763D4" w:rsidP="00F763D4">
      <w:pPr>
        <w:spacing w:before="100" w:beforeAutospacing="1" w:after="100" w:afterAutospacing="1"/>
        <w:rPr>
          <w:rFonts w:ascii="Times" w:hAnsi="Times" w:cs="Times New Roman"/>
          <w:sz w:val="20"/>
          <w:szCs w:val="20"/>
        </w:rPr>
      </w:pPr>
      <w:r>
        <w:rPr>
          <w:rFonts w:ascii="Times" w:hAnsi="Times" w:cs="Times New Roman"/>
          <w:noProof/>
          <w:sz w:val="20"/>
          <w:szCs w:val="20"/>
        </w:rPr>
        <mc:AlternateContent>
          <mc:Choice Requires="wps">
            <w:drawing>
              <wp:anchor distT="0" distB="0" distL="114300" distR="114300" simplePos="0" relativeHeight="251659264" behindDoc="0" locked="0" layoutInCell="1" allowOverlap="1" wp14:anchorId="0A71A5D5" wp14:editId="44F398B2">
                <wp:simplePos x="0" y="0"/>
                <wp:positionH relativeFrom="column">
                  <wp:posOffset>-228600</wp:posOffset>
                </wp:positionH>
                <wp:positionV relativeFrom="paragraph">
                  <wp:posOffset>36830</wp:posOffset>
                </wp:positionV>
                <wp:extent cx="6400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5pt,2.9pt" to="486.0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" strokecolor="#4f81bd [3204]" strokeweight="1pt"/>
            </w:pict>
          </mc:Fallback>
        </mc:AlternateContent>
      </w:r>
    </w:p>
    <w:p w14:paraId="3DDAEB21" w14:textId="77777777" w:rsidR="00F763D4" w:rsidRPr="00F763D4" w:rsidRDefault="00F763D4" w:rsidP="00F763D4">
      <w:pPr>
        <w:spacing w:before="100" w:beforeAutospacing="1" w:after="100" w:afterAutospacing="1"/>
        <w:rPr>
          <w:rFonts w:ascii="Times" w:hAnsi="Times" w:cs="Times New Roman"/>
          <w:sz w:val="20"/>
          <w:szCs w:val="20"/>
        </w:rPr>
      </w:pPr>
      <w:r w:rsidRPr="00F763D4">
        <w:rPr>
          <w:rFonts w:ascii="Times" w:hAnsi="Times" w:cs="Times New Roman"/>
          <w:sz w:val="20"/>
          <w:szCs w:val="20"/>
        </w:rPr>
        <w:t xml:space="preserve">This teaching guide presents research on the learning possibilities offered through online and blended learning, as well as effective practices for facilitating online courses. Platform-specific resources and activities can also be found at the Vanderbilt Center for Teaching’s </w:t>
      </w:r>
      <w:hyperlink r:id="rId7" w:history="1">
        <w:r w:rsidRPr="00F763D4">
          <w:rPr>
            <w:rFonts w:ascii="Times" w:hAnsi="Times" w:cs="Times New Roman"/>
            <w:color w:val="0000FF"/>
            <w:sz w:val="20"/>
            <w:szCs w:val="20"/>
            <w:u w:val="single"/>
          </w:rPr>
          <w:t>BOLD website</w:t>
        </w:r>
      </w:hyperlink>
      <w:r w:rsidRPr="00F763D4">
        <w:rPr>
          <w:rFonts w:ascii="Times" w:hAnsi="Times" w:cs="Times New Roman"/>
          <w:sz w:val="20"/>
          <w:szCs w:val="20"/>
        </w:rPr>
        <w:t>. </w:t>
      </w:r>
    </w:p>
    <w:p w14:paraId="127B2F07" w14:textId="77777777" w:rsidR="00F763D4" w:rsidRPr="00F763D4" w:rsidRDefault="00F763D4" w:rsidP="00F763D4">
      <w:pPr>
        <w:spacing w:before="100" w:beforeAutospacing="1" w:after="100" w:afterAutospacing="1"/>
        <w:outlineLvl w:val="1"/>
        <w:rPr>
          <w:rFonts w:ascii="Times" w:eastAsia="Times New Roman" w:hAnsi="Times" w:cs="Times New Roman"/>
          <w:b/>
          <w:bCs/>
          <w:sz w:val="36"/>
          <w:szCs w:val="36"/>
        </w:rPr>
      </w:pPr>
      <w:bookmarkStart w:id="0" w:name="research"/>
      <w:bookmarkEnd w:id="0"/>
      <w:r w:rsidRPr="00F763D4">
        <w:rPr>
          <w:rFonts w:ascii="Times" w:eastAsia="Times New Roman" w:hAnsi="Times" w:cs="Times New Roman"/>
          <w:b/>
          <w:bCs/>
          <w:sz w:val="36"/>
          <w:szCs w:val="36"/>
        </w:rPr>
        <w:t>What does the research say about blended and online learning?</w:t>
      </w:r>
    </w:p>
    <w:p w14:paraId="1AC7D173" w14:textId="77777777" w:rsidR="00F763D4" w:rsidRPr="00F763D4" w:rsidRDefault="00F763D4" w:rsidP="00F763D4">
      <w:pPr>
        <w:spacing w:before="100" w:beforeAutospacing="1" w:after="100" w:afterAutospacing="1"/>
        <w:rPr>
          <w:rFonts w:ascii="Times" w:hAnsi="Times" w:cs="Times New Roman"/>
          <w:sz w:val="20"/>
          <w:szCs w:val="20"/>
        </w:rPr>
      </w:pPr>
      <w:r w:rsidRPr="00F763D4">
        <w:rPr>
          <w:rFonts w:ascii="Times" w:hAnsi="Times" w:cs="Times New Roman"/>
          <w:sz w:val="20"/>
          <w:szCs w:val="20"/>
        </w:rPr>
        <w:t>Online learning is one of the fastest growing trends in educational uses of technology. A recent survey (Allen &amp; Seaman, 2013) of more than 2,800 colleges and universities reported the following:</w:t>
      </w:r>
    </w:p>
    <w:tbl>
      <w:tblPr>
        <w:tblW w:w="7750" w:type="dxa"/>
        <w:tblCellSpacing w:w="0" w:type="dxa"/>
        <w:tblInd w:w="630" w:type="dxa"/>
        <w:tblCellMar>
          <w:left w:w="0" w:type="dxa"/>
          <w:right w:w="0" w:type="dxa"/>
        </w:tblCellMar>
        <w:tblLook w:val="04A0" w:firstRow="1" w:lastRow="0" w:firstColumn="1" w:lastColumn="0" w:noHBand="0" w:noVBand="1"/>
      </w:tblPr>
      <w:tblGrid>
        <w:gridCol w:w="2070"/>
        <w:gridCol w:w="5680"/>
      </w:tblGrid>
      <w:tr w:rsidR="00F763D4" w:rsidRPr="00F763D4" w14:paraId="334CEE08" w14:textId="77777777" w:rsidTr="00F763D4">
        <w:trPr>
          <w:tblCellSpacing w:w="0" w:type="dxa"/>
        </w:trPr>
        <w:tc>
          <w:tcPr>
            <w:tcW w:w="2070" w:type="dxa"/>
            <w:hideMark/>
          </w:tcPr>
          <w:p w14:paraId="7EBADB33" w14:textId="77777777" w:rsidR="00F763D4" w:rsidRPr="00F763D4" w:rsidRDefault="00F763D4" w:rsidP="00F763D4">
            <w:pPr>
              <w:tabs>
                <w:tab w:val="left" w:pos="450"/>
              </w:tabs>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035C6F8" wp14:editId="3A1EFDEC">
                  <wp:extent cx="859971" cy="619470"/>
                  <wp:effectExtent l="0" t="0" r="3810" b="0"/>
                  <wp:docPr id="2" name="Picture 2" descr="https://cft.vanderbilt.edu/wp-content/uploads/sites/59/6-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t.vanderbilt.edu/wp-content/uploads/sites/59/6-mi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115" cy="619573"/>
                          </a:xfrm>
                          <a:prstGeom prst="rect">
                            <a:avLst/>
                          </a:prstGeom>
                          <a:noFill/>
                          <a:ln>
                            <a:noFill/>
                          </a:ln>
                        </pic:spPr>
                      </pic:pic>
                    </a:graphicData>
                  </a:graphic>
                </wp:inline>
              </w:drawing>
            </w:r>
          </w:p>
          <w:p w14:paraId="61783D18" w14:textId="77777777" w:rsidR="00F763D4" w:rsidRPr="00F763D4" w:rsidRDefault="00F763D4" w:rsidP="00F763D4">
            <w:pPr>
              <w:spacing w:before="100" w:beforeAutospacing="1" w:after="100" w:afterAutospacing="1"/>
              <w:rPr>
                <w:rFonts w:ascii="Times" w:hAnsi="Times" w:cs="Times New Roman"/>
                <w:sz w:val="20"/>
                <w:szCs w:val="20"/>
              </w:rPr>
            </w:pPr>
          </w:p>
        </w:tc>
        <w:tc>
          <w:tcPr>
            <w:tcW w:w="5680" w:type="dxa"/>
            <w:hideMark/>
          </w:tcPr>
          <w:p w14:paraId="5CCCAE70" w14:textId="77777777" w:rsidR="00F763D4" w:rsidRPr="00F763D4" w:rsidRDefault="00F763D4" w:rsidP="00F763D4">
            <w:pPr>
              <w:rPr>
                <w:rFonts w:asciiTheme="majorHAnsi" w:eastAsia="Times New Roman" w:hAnsiTheme="majorHAnsi" w:cs="Times New Roman"/>
                <w:color w:val="4F81BD" w:themeColor="accent1"/>
              </w:rPr>
            </w:pPr>
            <w:r w:rsidRPr="00F763D4">
              <w:rPr>
                <w:rFonts w:asciiTheme="majorHAnsi" w:eastAsia="Times New Roman" w:hAnsiTheme="majorHAnsi" w:cs="Times New Roman"/>
                <w:bCs/>
                <w:color w:val="4F81BD" w:themeColor="accent1"/>
              </w:rPr>
              <w:t>More than 6.7 million students in higher education were taking at least one online course during the Fall 2011 term, an increase of 570,000 students over the previous year;</w:t>
            </w:r>
          </w:p>
        </w:tc>
      </w:tr>
      <w:tr w:rsidR="00F763D4" w:rsidRPr="00F763D4" w14:paraId="57E0D8D0" w14:textId="77777777" w:rsidTr="00F763D4">
        <w:trPr>
          <w:tblCellSpacing w:w="0" w:type="dxa"/>
        </w:trPr>
        <w:tc>
          <w:tcPr>
            <w:tcW w:w="2070" w:type="dxa"/>
            <w:hideMark/>
          </w:tcPr>
          <w:p w14:paraId="29547F9A" w14:textId="77777777" w:rsidR="00F763D4" w:rsidRDefault="00F763D4" w:rsidP="00F763D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2001ACE" wp14:editId="69112308">
                  <wp:extent cx="859971" cy="615325"/>
                  <wp:effectExtent l="0" t="0" r="3810" b="0"/>
                  <wp:docPr id="3" name="Picture 3" descr="https://cft.vanderbilt.edu/wp-content/uploads/sites/59/enroll-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ft.vanderbilt.edu/wp-content/uploads/sites/59/enroll-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536" cy="616445"/>
                          </a:xfrm>
                          <a:prstGeom prst="rect">
                            <a:avLst/>
                          </a:prstGeom>
                          <a:noFill/>
                          <a:ln>
                            <a:noFill/>
                          </a:ln>
                        </pic:spPr>
                      </pic:pic>
                    </a:graphicData>
                  </a:graphic>
                </wp:inline>
              </w:drawing>
            </w:r>
          </w:p>
          <w:p w14:paraId="29AFF07E" w14:textId="77777777" w:rsidR="00F763D4" w:rsidRPr="00F763D4" w:rsidRDefault="00F763D4" w:rsidP="00F763D4">
            <w:pPr>
              <w:rPr>
                <w:rFonts w:ascii="Times" w:eastAsia="Times New Roman" w:hAnsi="Times" w:cs="Times New Roman"/>
                <w:sz w:val="20"/>
                <w:szCs w:val="20"/>
              </w:rPr>
            </w:pPr>
          </w:p>
        </w:tc>
        <w:tc>
          <w:tcPr>
            <w:tcW w:w="5680" w:type="dxa"/>
            <w:hideMark/>
          </w:tcPr>
          <w:p w14:paraId="5DA9D86E" w14:textId="77777777" w:rsidR="00F763D4" w:rsidRPr="00F763D4" w:rsidRDefault="00F763D4" w:rsidP="00F763D4">
            <w:pPr>
              <w:spacing w:before="100" w:beforeAutospacing="1" w:after="100" w:afterAutospacing="1"/>
              <w:outlineLvl w:val="2"/>
              <w:rPr>
                <w:rFonts w:asciiTheme="majorHAnsi" w:eastAsia="Times New Roman" w:hAnsiTheme="majorHAnsi" w:cs="Times New Roman"/>
                <w:bCs/>
                <w:color w:val="4F81BD" w:themeColor="accent1"/>
              </w:rPr>
            </w:pPr>
            <w:r w:rsidRPr="00F763D4">
              <w:rPr>
                <w:rFonts w:asciiTheme="majorHAnsi" w:eastAsia="Times New Roman" w:hAnsiTheme="majorHAnsi" w:cs="Times New Roman"/>
                <w:bCs/>
                <w:color w:val="4F81BD" w:themeColor="accent1"/>
              </w:rPr>
              <w:t>32% of higher education students now take at least one course online;</w:t>
            </w:r>
          </w:p>
        </w:tc>
      </w:tr>
      <w:tr w:rsidR="00F763D4" w:rsidRPr="00F763D4" w14:paraId="5C69080B" w14:textId="77777777" w:rsidTr="00F763D4">
        <w:trPr>
          <w:trHeight w:val="1286"/>
          <w:tblCellSpacing w:w="0" w:type="dxa"/>
        </w:trPr>
        <w:tc>
          <w:tcPr>
            <w:tcW w:w="2070" w:type="dxa"/>
            <w:hideMark/>
          </w:tcPr>
          <w:p w14:paraId="67EA9022" w14:textId="77777777" w:rsidR="00F763D4" w:rsidRDefault="00F763D4" w:rsidP="00F763D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179CDB6" wp14:editId="48D596DC">
                  <wp:extent cx="859971" cy="634045"/>
                  <wp:effectExtent l="0" t="0" r="3810" b="1270"/>
                  <wp:docPr id="4" name="Picture 4" descr="https://cft.vanderbilt.edu/wp-content/uploads/sites/59/approv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t.vanderbilt.edu/wp-content/uploads/sites/59/approve-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215" cy="634962"/>
                          </a:xfrm>
                          <a:prstGeom prst="rect">
                            <a:avLst/>
                          </a:prstGeom>
                          <a:noFill/>
                          <a:ln>
                            <a:noFill/>
                          </a:ln>
                        </pic:spPr>
                      </pic:pic>
                    </a:graphicData>
                  </a:graphic>
                </wp:inline>
              </w:drawing>
            </w:r>
          </w:p>
          <w:p w14:paraId="2CA849C3" w14:textId="77777777" w:rsidR="00F763D4" w:rsidRDefault="00F763D4" w:rsidP="00F763D4">
            <w:pPr>
              <w:rPr>
                <w:rFonts w:ascii="Times" w:eastAsia="Times New Roman" w:hAnsi="Times" w:cs="Times New Roman"/>
                <w:sz w:val="20"/>
                <w:szCs w:val="20"/>
              </w:rPr>
            </w:pPr>
          </w:p>
          <w:p w14:paraId="4F227669" w14:textId="77777777" w:rsidR="00F763D4" w:rsidRPr="00F763D4" w:rsidRDefault="00F763D4" w:rsidP="00F763D4">
            <w:pPr>
              <w:rPr>
                <w:rFonts w:ascii="Times" w:eastAsia="Times New Roman" w:hAnsi="Times" w:cs="Times New Roman"/>
                <w:sz w:val="20"/>
                <w:szCs w:val="20"/>
              </w:rPr>
            </w:pPr>
          </w:p>
        </w:tc>
        <w:tc>
          <w:tcPr>
            <w:tcW w:w="5680" w:type="dxa"/>
            <w:hideMark/>
          </w:tcPr>
          <w:p w14:paraId="7825794D" w14:textId="77777777" w:rsidR="00F763D4" w:rsidRPr="00F763D4" w:rsidRDefault="00F763D4" w:rsidP="00F763D4">
            <w:pPr>
              <w:spacing w:before="100" w:beforeAutospacing="1" w:after="100" w:afterAutospacing="1"/>
              <w:outlineLvl w:val="2"/>
              <w:rPr>
                <w:rFonts w:asciiTheme="majorHAnsi" w:eastAsia="Times New Roman" w:hAnsiTheme="majorHAnsi" w:cs="Times New Roman"/>
                <w:bCs/>
                <w:color w:val="4F81BD" w:themeColor="accent1"/>
              </w:rPr>
            </w:pPr>
            <w:r w:rsidRPr="00F763D4">
              <w:rPr>
                <w:rFonts w:asciiTheme="majorHAnsi" w:eastAsia="Times New Roman" w:hAnsiTheme="majorHAnsi" w:cs="Times New Roman"/>
                <w:bCs/>
                <w:color w:val="4F81BD" w:themeColor="accent1"/>
              </w:rPr>
              <w:t>The number of public institutions offering complete online programs increased from 48.9% in 2002 to 70.6% in 2012;</w:t>
            </w:r>
          </w:p>
          <w:p w14:paraId="50AB7309" w14:textId="77777777" w:rsidR="00F763D4" w:rsidRPr="00F763D4" w:rsidRDefault="00F763D4" w:rsidP="00F763D4">
            <w:pPr>
              <w:spacing w:before="100" w:beforeAutospacing="1" w:after="100" w:afterAutospacing="1"/>
              <w:rPr>
                <w:rFonts w:asciiTheme="majorHAnsi" w:hAnsiTheme="majorHAnsi" w:cs="Times New Roman"/>
                <w:color w:val="4F81BD" w:themeColor="accent1"/>
              </w:rPr>
            </w:pPr>
          </w:p>
        </w:tc>
      </w:tr>
      <w:tr w:rsidR="00F763D4" w:rsidRPr="00F763D4" w14:paraId="022643DE" w14:textId="77777777" w:rsidTr="00F763D4">
        <w:trPr>
          <w:tblCellSpacing w:w="0" w:type="dxa"/>
        </w:trPr>
        <w:tc>
          <w:tcPr>
            <w:tcW w:w="2070" w:type="dxa"/>
            <w:hideMark/>
          </w:tcPr>
          <w:p w14:paraId="44667DCA" w14:textId="77777777" w:rsidR="00F763D4" w:rsidRPr="00F763D4" w:rsidRDefault="00F763D4" w:rsidP="00F763D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509444C" wp14:editId="0F8DF14D">
                  <wp:extent cx="859971" cy="633312"/>
                  <wp:effectExtent l="0" t="0" r="3810" b="1905"/>
                  <wp:docPr id="5" name="Picture 5" descr="https://cft.vanderbilt.edu/wp-content/uploads/sites/59/77-app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t.vanderbilt.edu/wp-content/uploads/sites/59/77-approv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567" cy="633751"/>
                          </a:xfrm>
                          <a:prstGeom prst="rect">
                            <a:avLst/>
                          </a:prstGeom>
                          <a:noFill/>
                          <a:ln>
                            <a:noFill/>
                          </a:ln>
                        </pic:spPr>
                      </pic:pic>
                    </a:graphicData>
                  </a:graphic>
                </wp:inline>
              </w:drawing>
            </w:r>
          </w:p>
        </w:tc>
        <w:tc>
          <w:tcPr>
            <w:tcW w:w="5680" w:type="dxa"/>
            <w:hideMark/>
          </w:tcPr>
          <w:p w14:paraId="2AF48886" w14:textId="77777777" w:rsidR="00F763D4" w:rsidRPr="00F763D4" w:rsidRDefault="00F763D4" w:rsidP="00F763D4">
            <w:pPr>
              <w:spacing w:before="100" w:beforeAutospacing="1" w:after="100" w:afterAutospacing="1"/>
              <w:outlineLvl w:val="2"/>
              <w:rPr>
                <w:rFonts w:asciiTheme="majorHAnsi" w:eastAsia="Times New Roman" w:hAnsiTheme="majorHAnsi" w:cs="Times New Roman"/>
                <w:bCs/>
                <w:color w:val="4F81BD" w:themeColor="accent1"/>
              </w:rPr>
            </w:pPr>
            <w:r w:rsidRPr="00F763D4">
              <w:rPr>
                <w:rFonts w:asciiTheme="majorHAnsi" w:eastAsia="Times New Roman" w:hAnsiTheme="majorHAnsi" w:cs="Times New Roman"/>
                <w:bCs/>
                <w:color w:val="4F81BD" w:themeColor="accent1"/>
              </w:rPr>
              <w:t>77% of academic leaders rate the learning outcomes in online education as the same or superior to those in face-to-face classrooms (Allen &amp; Seaman, 2013).</w:t>
            </w:r>
          </w:p>
        </w:tc>
      </w:tr>
    </w:tbl>
    <w:p w14:paraId="11063E32" w14:textId="77777777" w:rsidR="00F763D4" w:rsidRDefault="00F763D4" w:rsidP="00F763D4">
      <w:pPr>
        <w:spacing w:before="100" w:beforeAutospacing="1" w:after="100" w:afterAutospacing="1"/>
        <w:rPr>
          <w:rFonts w:ascii="Times" w:hAnsi="Times" w:cs="Times New Roman"/>
          <w:sz w:val="20"/>
          <w:szCs w:val="20"/>
        </w:rPr>
      </w:pPr>
    </w:p>
    <w:p w14:paraId="378CAD87" w14:textId="77777777" w:rsidR="00F763D4" w:rsidRPr="00F763D4" w:rsidRDefault="00F763D4" w:rsidP="00F763D4">
      <w:pPr>
        <w:spacing w:before="100" w:beforeAutospacing="1" w:after="100" w:afterAutospacing="1"/>
        <w:rPr>
          <w:rFonts w:ascii="Times" w:hAnsi="Times" w:cs="Times New Roman"/>
          <w:sz w:val="20"/>
          <w:szCs w:val="20"/>
        </w:rPr>
      </w:pPr>
      <w:r w:rsidRPr="00F763D4">
        <w:rPr>
          <w:rFonts w:ascii="Times" w:hAnsi="Times" w:cs="Times New Roman"/>
          <w:sz w:val="20"/>
          <w:szCs w:val="20"/>
        </w:rPr>
        <w:t>In 2010, the U.S. Department of Education released a meta-analysis and review of empirical studies focused on online learning in K-12 schools and higher education from 1996-2008. Their findings revealed that “students in online conditions performed modestly better, on average, than those learning the same material through traditional face-to-face instruction” (p. xvi). In addition, they reported that blended instruction combining online and face-to-</w:t>
      </w:r>
      <w:r w:rsidRPr="00F763D4">
        <w:rPr>
          <w:rFonts w:ascii="Times" w:hAnsi="Times" w:cs="Times New Roman"/>
          <w:sz w:val="20"/>
          <w:szCs w:val="20"/>
        </w:rPr>
        <w:lastRenderedPageBreak/>
        <w:t xml:space="preserve">face elements had a larger advantage than purely online instruction (Means, Toyama, Murphy, </w:t>
      </w:r>
      <w:proofErr w:type="spellStart"/>
      <w:r w:rsidRPr="00F763D4">
        <w:rPr>
          <w:rFonts w:ascii="Times" w:hAnsi="Times" w:cs="Times New Roman"/>
          <w:sz w:val="20"/>
          <w:szCs w:val="20"/>
        </w:rPr>
        <w:t>Bakia</w:t>
      </w:r>
      <w:proofErr w:type="spellEnd"/>
      <w:r w:rsidRPr="00F763D4">
        <w:rPr>
          <w:rFonts w:ascii="Times" w:hAnsi="Times" w:cs="Times New Roman"/>
          <w:sz w:val="20"/>
          <w:szCs w:val="20"/>
        </w:rPr>
        <w:t xml:space="preserve"> &amp; Jones, 2010).</w:t>
      </w:r>
    </w:p>
    <w:p w14:paraId="2AE9E8B7" w14:textId="77777777" w:rsidR="00F763D4" w:rsidRPr="00F763D4" w:rsidRDefault="00F763D4" w:rsidP="00F763D4">
      <w:pPr>
        <w:spacing w:before="100" w:beforeAutospacing="1" w:after="100" w:afterAutospacing="1"/>
        <w:rPr>
          <w:rFonts w:ascii="Times" w:hAnsi="Times" w:cs="Times New Roman"/>
          <w:sz w:val="20"/>
          <w:szCs w:val="20"/>
        </w:rPr>
      </w:pPr>
      <w:r w:rsidRPr="00F763D4">
        <w:rPr>
          <w:rFonts w:ascii="Times" w:hAnsi="Times" w:cs="Times New Roman"/>
          <w:sz w:val="20"/>
          <w:szCs w:val="20"/>
        </w:rPr>
        <w:t xml:space="preserve">Although these results suggest that blended learning environments can provide a learning advantage when compared to purely face-to-face instruction, the researchers emphasized the findings “do not demonstrate that online learning is superior as a </w:t>
      </w:r>
      <w:r w:rsidRPr="00F763D4">
        <w:rPr>
          <w:rFonts w:ascii="Times" w:hAnsi="Times" w:cs="Times New Roman"/>
          <w:i/>
          <w:iCs/>
          <w:sz w:val="20"/>
          <w:szCs w:val="20"/>
        </w:rPr>
        <w:t>medium</w:t>
      </w:r>
      <w:r w:rsidRPr="00F763D4">
        <w:rPr>
          <w:rFonts w:ascii="Times" w:hAnsi="Times" w:cs="Times New Roman"/>
          <w:sz w:val="20"/>
          <w:szCs w:val="20"/>
        </w:rPr>
        <w:t xml:space="preserve">…It was the </w:t>
      </w:r>
      <w:r w:rsidRPr="00F763D4">
        <w:rPr>
          <w:rFonts w:ascii="Times" w:hAnsi="Times" w:cs="Times New Roman"/>
          <w:i/>
          <w:iCs/>
          <w:sz w:val="20"/>
          <w:szCs w:val="20"/>
        </w:rPr>
        <w:t xml:space="preserve">combination </w:t>
      </w:r>
      <w:r w:rsidRPr="00F763D4">
        <w:rPr>
          <w:rFonts w:ascii="Times" w:hAnsi="Times" w:cs="Times New Roman"/>
          <w:sz w:val="20"/>
          <w:szCs w:val="20"/>
        </w:rPr>
        <w:t xml:space="preserve">of elements in the treatment conditions (which was likely to have included additional learning time and materials as well as additional opportunities for collaboration) that produced the observed learning advantages” (p. xviii, original emphasis). In other words, it’s important for the instructor to create an interactive, supportive, and collaborative learning environment for students to reap the potential benefits afforded by online learning. Specific tips for facilitating an effective blended or online class can be found in the </w:t>
      </w:r>
      <w:hyperlink r:id="rId12" w:anchor="practices" w:history="1">
        <w:r w:rsidRPr="00F763D4">
          <w:rPr>
            <w:rFonts w:ascii="Times" w:hAnsi="Times" w:cs="Times New Roman"/>
            <w:color w:val="0000FF"/>
            <w:sz w:val="20"/>
            <w:szCs w:val="20"/>
            <w:u w:val="single"/>
          </w:rPr>
          <w:t>good practices section</w:t>
        </w:r>
      </w:hyperlink>
      <w:r w:rsidRPr="00F763D4">
        <w:rPr>
          <w:rFonts w:ascii="Times" w:hAnsi="Times" w:cs="Times New Roman"/>
          <w:sz w:val="20"/>
          <w:szCs w:val="20"/>
        </w:rPr>
        <w:t xml:space="preserve"> of this teaching guide.</w:t>
      </w:r>
    </w:p>
    <w:p w14:paraId="6A9171B2" w14:textId="77777777" w:rsidR="00F763D4" w:rsidRPr="00F763D4" w:rsidRDefault="00F763D4" w:rsidP="00F763D4">
      <w:pPr>
        <w:spacing w:before="100" w:beforeAutospacing="1" w:after="100" w:afterAutospacing="1"/>
        <w:outlineLvl w:val="1"/>
        <w:rPr>
          <w:rFonts w:ascii="Times" w:eastAsia="Times New Roman" w:hAnsi="Times" w:cs="Times New Roman"/>
          <w:b/>
          <w:bCs/>
          <w:sz w:val="36"/>
          <w:szCs w:val="36"/>
        </w:rPr>
      </w:pPr>
      <w:bookmarkStart w:id="1" w:name="support"/>
      <w:bookmarkEnd w:id="1"/>
      <w:r w:rsidRPr="00F763D4">
        <w:rPr>
          <w:rFonts w:ascii="Times" w:eastAsia="Times New Roman" w:hAnsi="Times" w:cs="Times New Roman"/>
          <w:b/>
          <w:bCs/>
          <w:sz w:val="36"/>
          <w:szCs w:val="36"/>
        </w:rPr>
        <w:t>What are elements that can make blended and online learning successful?</w:t>
      </w:r>
    </w:p>
    <w:p w14:paraId="68C3A2DC" w14:textId="77777777" w:rsidR="00F763D4" w:rsidRPr="00F763D4" w:rsidRDefault="00F763D4" w:rsidP="00F763D4">
      <w:pPr>
        <w:spacing w:before="100" w:beforeAutospacing="1" w:after="100" w:afterAutospacing="1"/>
        <w:rPr>
          <w:rFonts w:ascii="Times" w:hAnsi="Times" w:cs="Times New Roman"/>
          <w:sz w:val="20"/>
          <w:szCs w:val="20"/>
        </w:rPr>
      </w:pPr>
      <w:r w:rsidRPr="00F763D4">
        <w:rPr>
          <w:rFonts w:ascii="Times" w:hAnsi="Times" w:cs="Times New Roman"/>
          <w:sz w:val="20"/>
          <w:szCs w:val="20"/>
        </w:rPr>
        <w:t>As noted above, the research suggests that when facilitated effectively, online education can not only match, but also surpass traditional face-to-face learning (Means et al., 2010). Here are some of the potential benefits of online education:</w:t>
      </w:r>
    </w:p>
    <w:p w14:paraId="344BD306" w14:textId="77777777" w:rsidR="00F763D4" w:rsidRPr="00F763D4" w:rsidRDefault="00F763D4" w:rsidP="009C78B7">
      <w:pPr>
        <w:numPr>
          <w:ilvl w:val="0"/>
          <w:numId w:val="2"/>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Learner-Centered Education: </w:t>
      </w:r>
      <w:proofErr w:type="spellStart"/>
      <w:r w:rsidRPr="00F763D4">
        <w:rPr>
          <w:rFonts w:ascii="Times" w:eastAsia="Times New Roman" w:hAnsi="Times" w:cs="Times New Roman"/>
          <w:sz w:val="20"/>
          <w:szCs w:val="20"/>
        </w:rPr>
        <w:t>Palloff</w:t>
      </w:r>
      <w:proofErr w:type="spellEnd"/>
      <w:r w:rsidRPr="00F763D4">
        <w:rPr>
          <w:rFonts w:ascii="Times" w:eastAsia="Times New Roman" w:hAnsi="Times" w:cs="Times New Roman"/>
          <w:sz w:val="20"/>
          <w:szCs w:val="20"/>
        </w:rPr>
        <w:t xml:space="preserve"> and Pratt (2013) explain that an effective online instructor is someone “who is open to giving up control of the learning process” by making students active participants in their learning process (p. 24). A learner-centered approach acknowledges what students bring to the online classroom—their background, needs, and interests—and what they take away as relevant and meaningful outcomes. With the instructor serving as facilitator, students are given more control and responsibility around how they learn, including the opportunity to teach one another through collaboration and personal interactions (</w:t>
      </w:r>
      <w:proofErr w:type="spellStart"/>
      <w:r w:rsidRPr="00F763D4">
        <w:rPr>
          <w:rFonts w:ascii="Times" w:eastAsia="Times New Roman" w:hAnsi="Times" w:cs="Times New Roman"/>
          <w:sz w:val="20"/>
          <w:szCs w:val="20"/>
        </w:rPr>
        <w:t>Palloff</w:t>
      </w:r>
      <w:proofErr w:type="spellEnd"/>
      <w:r w:rsidRPr="00F763D4">
        <w:rPr>
          <w:rFonts w:ascii="Times" w:eastAsia="Times New Roman" w:hAnsi="Times" w:cs="Times New Roman"/>
          <w:sz w:val="20"/>
          <w:szCs w:val="20"/>
        </w:rPr>
        <w:t xml:space="preserve"> &amp; Pratt, 2013).</w:t>
      </w:r>
    </w:p>
    <w:p w14:paraId="5BEB65BE" w14:textId="77777777" w:rsidR="00F763D4" w:rsidRPr="00F763D4" w:rsidRDefault="00F763D4" w:rsidP="009C78B7">
      <w:pPr>
        <w:numPr>
          <w:ilvl w:val="0"/>
          <w:numId w:val="3"/>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Collaborative &amp; Interactive Learning: </w:t>
      </w:r>
      <w:r w:rsidRPr="00F763D4">
        <w:rPr>
          <w:rFonts w:ascii="Times" w:eastAsia="Times New Roman" w:hAnsi="Times" w:cs="Times New Roman"/>
          <w:sz w:val="20"/>
          <w:szCs w:val="20"/>
        </w:rPr>
        <w:t>Research has found that online instruction is more effective when students collaborate rather than working independently (Means et al., 2010; Schutte, 1996). There are a variety of ways for students to collaborate online, including synchronous and asynchronous discussions and small group assignments. In addition, the relative anonymity of online discussions helps to create a “level playing field” for quieter students or those from typically marginalized groups. When posed questions in advance, students have the opportunity to compose thoughtful responses and have their voices heard, as well as respond to one another in a manner not usually afforded by face-to-face instruction (</w:t>
      </w:r>
      <w:proofErr w:type="spellStart"/>
      <w:r w:rsidRPr="00F763D4">
        <w:rPr>
          <w:rFonts w:ascii="Times" w:eastAsia="Times New Roman" w:hAnsi="Times" w:cs="Times New Roman"/>
          <w:sz w:val="20"/>
          <w:szCs w:val="20"/>
        </w:rPr>
        <w:t>Kassop</w:t>
      </w:r>
      <w:proofErr w:type="spellEnd"/>
      <w:r w:rsidRPr="00F763D4">
        <w:rPr>
          <w:rFonts w:ascii="Times" w:eastAsia="Times New Roman" w:hAnsi="Times" w:cs="Times New Roman"/>
          <w:sz w:val="20"/>
          <w:szCs w:val="20"/>
        </w:rPr>
        <w:t>, 2003).</w:t>
      </w:r>
    </w:p>
    <w:p w14:paraId="70AB1EAF" w14:textId="77777777" w:rsidR="00F763D4" w:rsidRPr="00F763D4" w:rsidRDefault="00F763D4" w:rsidP="009C78B7">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Metacognitive Awareness: </w:t>
      </w:r>
      <w:r w:rsidRPr="00F763D4">
        <w:rPr>
          <w:rFonts w:ascii="Times" w:eastAsia="Times New Roman" w:hAnsi="Times" w:cs="Times New Roman"/>
          <w:sz w:val="20"/>
          <w:szCs w:val="20"/>
        </w:rPr>
        <w:t xml:space="preserve">Since online learners have more autonomy and responsibility for carrying out the learning process, it’s important that students understand which behaviors help them learn and apply those strategies proactively. This awareness and knowledge of one’s personal learning process involves increased </w:t>
      </w:r>
      <w:hyperlink r:id="rId13" w:history="1">
        <w:r w:rsidRPr="00F763D4">
          <w:rPr>
            <w:rFonts w:ascii="Times" w:eastAsia="Times New Roman" w:hAnsi="Times" w:cs="Times New Roman"/>
            <w:color w:val="0000FF"/>
            <w:sz w:val="20"/>
            <w:szCs w:val="20"/>
            <w:u w:val="single"/>
          </w:rPr>
          <w:t>metacognition</w:t>
        </w:r>
      </w:hyperlink>
      <w:r w:rsidRPr="00F763D4">
        <w:rPr>
          <w:rFonts w:ascii="Times" w:eastAsia="Times New Roman" w:hAnsi="Times" w:cs="Times New Roman"/>
          <w:sz w:val="20"/>
          <w:szCs w:val="20"/>
        </w:rPr>
        <w:t>—a key practice for student success (Bransford, Brown &amp; Cocking, 2000)</w:t>
      </w:r>
      <w:r w:rsidRPr="00F763D4">
        <w:rPr>
          <w:rFonts w:ascii="Times" w:eastAsia="Times New Roman" w:hAnsi="Times" w:cs="Times New Roman"/>
          <w:b/>
          <w:bCs/>
          <w:sz w:val="20"/>
          <w:szCs w:val="20"/>
        </w:rPr>
        <w:t>.</w:t>
      </w:r>
    </w:p>
    <w:p w14:paraId="6FC518A8" w14:textId="77777777" w:rsidR="00F763D4" w:rsidRPr="00F763D4" w:rsidRDefault="00F763D4" w:rsidP="009C78B7">
      <w:pPr>
        <w:numPr>
          <w:ilvl w:val="0"/>
          <w:numId w:val="5"/>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Increased Flexibility: </w:t>
      </w:r>
      <w:r w:rsidRPr="00F763D4">
        <w:rPr>
          <w:rFonts w:ascii="Times" w:eastAsia="Times New Roman" w:hAnsi="Times" w:cs="Times New Roman"/>
          <w:sz w:val="20"/>
          <w:szCs w:val="20"/>
        </w:rPr>
        <w:t>Online learning offers more flexibility because students can control when and where they learn. By self-monitoring their time and pacing, students are able to spend more time on unfamiliar or difficult content (</w:t>
      </w:r>
      <w:proofErr w:type="spellStart"/>
      <w:r w:rsidRPr="00F763D4">
        <w:rPr>
          <w:rFonts w:ascii="Times" w:eastAsia="Times New Roman" w:hAnsi="Times" w:cs="Times New Roman"/>
          <w:sz w:val="20"/>
          <w:szCs w:val="20"/>
        </w:rPr>
        <w:t>Aslanian</w:t>
      </w:r>
      <w:proofErr w:type="spellEnd"/>
      <w:r w:rsidRPr="00F763D4">
        <w:rPr>
          <w:rFonts w:ascii="Times" w:eastAsia="Times New Roman" w:hAnsi="Times" w:cs="Times New Roman"/>
          <w:sz w:val="20"/>
          <w:szCs w:val="20"/>
        </w:rPr>
        <w:t xml:space="preserve"> &amp; </w:t>
      </w:r>
      <w:proofErr w:type="spellStart"/>
      <w:r w:rsidRPr="00F763D4">
        <w:rPr>
          <w:rFonts w:ascii="Times" w:eastAsia="Times New Roman" w:hAnsi="Times" w:cs="Times New Roman"/>
          <w:sz w:val="20"/>
          <w:szCs w:val="20"/>
        </w:rPr>
        <w:t>Clinefelter</w:t>
      </w:r>
      <w:proofErr w:type="spellEnd"/>
      <w:r w:rsidRPr="00F763D4">
        <w:rPr>
          <w:rFonts w:ascii="Times" w:eastAsia="Times New Roman" w:hAnsi="Times" w:cs="Times New Roman"/>
          <w:sz w:val="20"/>
          <w:szCs w:val="20"/>
        </w:rPr>
        <w:t>, 2012).</w:t>
      </w:r>
    </w:p>
    <w:p w14:paraId="774FD33F" w14:textId="77777777" w:rsidR="00F763D4" w:rsidRPr="00F763D4" w:rsidRDefault="00F763D4" w:rsidP="009C78B7">
      <w:pPr>
        <w:numPr>
          <w:ilvl w:val="0"/>
          <w:numId w:val="6"/>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Immediate Feedback: </w:t>
      </w:r>
      <w:r w:rsidRPr="00F763D4">
        <w:rPr>
          <w:rFonts w:ascii="Times" w:eastAsia="Times New Roman" w:hAnsi="Times" w:cs="Times New Roman"/>
          <w:sz w:val="20"/>
          <w:szCs w:val="20"/>
        </w:rPr>
        <w:t>Online learners generally have greater access to instructors via email and are able to have questions answered by their peers in a timely fashion on discussion boards. In addition, online tests and quizzes can be constructed with automatic grading capability that provides timely feedback (</w:t>
      </w:r>
      <w:proofErr w:type="spellStart"/>
      <w:r w:rsidRPr="00F763D4">
        <w:rPr>
          <w:rFonts w:ascii="Times" w:eastAsia="Times New Roman" w:hAnsi="Times" w:cs="Times New Roman"/>
          <w:sz w:val="20"/>
          <w:szCs w:val="20"/>
        </w:rPr>
        <w:t>Kassop</w:t>
      </w:r>
      <w:proofErr w:type="spellEnd"/>
      <w:r w:rsidRPr="00F763D4">
        <w:rPr>
          <w:rFonts w:ascii="Times" w:eastAsia="Times New Roman" w:hAnsi="Times" w:cs="Times New Roman"/>
          <w:sz w:val="20"/>
          <w:szCs w:val="20"/>
        </w:rPr>
        <w:t>, 2003). Immediate and continual feedback throughout the learning process is beneficial for gaining understanding of difficult concepts, as well as triggering retrieval mechanisms and correcting misconceptions (</w:t>
      </w:r>
      <w:proofErr w:type="spellStart"/>
      <w:r w:rsidRPr="00F763D4">
        <w:rPr>
          <w:rFonts w:ascii="Times" w:eastAsia="Times New Roman" w:hAnsi="Times" w:cs="Times New Roman"/>
          <w:sz w:val="20"/>
          <w:szCs w:val="20"/>
        </w:rPr>
        <w:t>Thalheimer</w:t>
      </w:r>
      <w:proofErr w:type="spellEnd"/>
      <w:r w:rsidRPr="00F763D4">
        <w:rPr>
          <w:rFonts w:ascii="Times" w:eastAsia="Times New Roman" w:hAnsi="Times" w:cs="Times New Roman"/>
          <w:sz w:val="20"/>
          <w:szCs w:val="20"/>
        </w:rPr>
        <w:t>, 2008).</w:t>
      </w:r>
    </w:p>
    <w:p w14:paraId="4C681F95" w14:textId="77777777" w:rsidR="00F763D4" w:rsidRPr="00F763D4" w:rsidRDefault="00F763D4" w:rsidP="009C78B7">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Multimodal Content: </w:t>
      </w:r>
      <w:r w:rsidRPr="00F763D4">
        <w:rPr>
          <w:rFonts w:ascii="Times" w:eastAsia="Times New Roman" w:hAnsi="Times" w:cs="Times New Roman"/>
          <w:sz w:val="20"/>
          <w:szCs w:val="20"/>
        </w:rPr>
        <w:t xml:space="preserve">The Internet provides an abundance of interactive and multimodal materials that can be used to increase engagement and appeal to </w:t>
      </w:r>
      <w:hyperlink r:id="rId14" w:history="1">
        <w:r w:rsidRPr="00F763D4">
          <w:rPr>
            <w:rFonts w:ascii="Times" w:eastAsia="Times New Roman" w:hAnsi="Times" w:cs="Times New Roman"/>
            <w:color w:val="0000FF"/>
            <w:sz w:val="20"/>
            <w:szCs w:val="20"/>
            <w:u w:val="single"/>
          </w:rPr>
          <w:t>diverse learners</w:t>
        </w:r>
      </w:hyperlink>
      <w:r w:rsidRPr="00F763D4">
        <w:rPr>
          <w:rFonts w:ascii="Times" w:eastAsia="Times New Roman" w:hAnsi="Times" w:cs="Times New Roman"/>
          <w:sz w:val="20"/>
          <w:szCs w:val="20"/>
        </w:rPr>
        <w:t xml:space="preserve">. Click </w:t>
      </w:r>
      <w:hyperlink r:id="rId15" w:history="1">
        <w:r w:rsidRPr="00F763D4">
          <w:rPr>
            <w:rFonts w:ascii="Times" w:eastAsia="Times New Roman" w:hAnsi="Times" w:cs="Times New Roman"/>
            <w:color w:val="0000FF"/>
            <w:sz w:val="20"/>
            <w:szCs w:val="20"/>
            <w:u w:val="single"/>
          </w:rPr>
          <w:t>here</w:t>
        </w:r>
      </w:hyperlink>
      <w:r w:rsidRPr="00F763D4">
        <w:rPr>
          <w:rFonts w:ascii="Times" w:eastAsia="Times New Roman" w:hAnsi="Times" w:cs="Times New Roman"/>
          <w:sz w:val="20"/>
          <w:szCs w:val="20"/>
        </w:rPr>
        <w:t xml:space="preserve"> to learn about specific ways to deliver multimodal content online, including through videos, podcasts, screencasts, video conferencing, and presentation software.</w:t>
      </w:r>
    </w:p>
    <w:p w14:paraId="51906F2B" w14:textId="77777777" w:rsidR="00F763D4" w:rsidRPr="00F763D4" w:rsidRDefault="00F763D4" w:rsidP="00F763D4">
      <w:pPr>
        <w:spacing w:before="100" w:beforeAutospacing="1" w:after="100" w:afterAutospacing="1"/>
        <w:outlineLvl w:val="1"/>
        <w:rPr>
          <w:rFonts w:ascii="Times" w:eastAsia="Times New Roman" w:hAnsi="Times" w:cs="Times New Roman"/>
          <w:b/>
          <w:bCs/>
          <w:sz w:val="36"/>
          <w:szCs w:val="36"/>
        </w:rPr>
      </w:pPr>
      <w:bookmarkStart w:id="2" w:name="practices"/>
      <w:bookmarkEnd w:id="2"/>
      <w:r w:rsidRPr="00F763D4">
        <w:rPr>
          <w:rFonts w:ascii="Times" w:eastAsia="Times New Roman" w:hAnsi="Times" w:cs="Times New Roman"/>
          <w:b/>
          <w:bCs/>
          <w:sz w:val="36"/>
          <w:szCs w:val="36"/>
        </w:rPr>
        <w:t>What are good practices to use?</w:t>
      </w:r>
    </w:p>
    <w:p w14:paraId="2D05AEDF" w14:textId="77777777" w:rsidR="00F763D4" w:rsidRPr="00F763D4" w:rsidRDefault="00F763D4" w:rsidP="00F763D4">
      <w:pPr>
        <w:spacing w:before="100" w:beforeAutospacing="1" w:after="100" w:afterAutospacing="1"/>
        <w:outlineLvl w:val="2"/>
        <w:rPr>
          <w:rFonts w:ascii="Times" w:eastAsia="Times New Roman" w:hAnsi="Times" w:cs="Times New Roman"/>
          <w:b/>
          <w:bCs/>
          <w:sz w:val="27"/>
          <w:szCs w:val="27"/>
        </w:rPr>
      </w:pPr>
      <w:r w:rsidRPr="00F763D4">
        <w:rPr>
          <w:rFonts w:ascii="Times" w:eastAsia="Times New Roman" w:hAnsi="Times" w:cs="Times New Roman"/>
          <w:b/>
          <w:bCs/>
          <w:color w:val="4274A6"/>
          <w:sz w:val="27"/>
          <w:szCs w:val="27"/>
        </w:rPr>
        <w:lastRenderedPageBreak/>
        <w:t>Designing Your Online Course</w:t>
      </w:r>
    </w:p>
    <w:p w14:paraId="4E126A37" w14:textId="77777777" w:rsidR="00F763D4" w:rsidRPr="00F763D4" w:rsidRDefault="00F763D4" w:rsidP="009C78B7">
      <w:pPr>
        <w:numPr>
          <w:ilvl w:val="0"/>
          <w:numId w:val="8"/>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Know Your Learner: </w:t>
      </w:r>
      <w:r w:rsidRPr="00F763D4">
        <w:rPr>
          <w:rFonts w:ascii="Times" w:eastAsia="Times New Roman" w:hAnsi="Times" w:cs="Times New Roman"/>
          <w:sz w:val="20"/>
          <w:szCs w:val="20"/>
        </w:rPr>
        <w:t>A recent survey of 1,500 individuals nationwide, who were recently enrolled, currently enrolled, or planning to enroll in an online course found that a wide variety of students were drawn to online learning (</w:t>
      </w:r>
      <w:proofErr w:type="spellStart"/>
      <w:r w:rsidRPr="00F763D4">
        <w:rPr>
          <w:rFonts w:ascii="Times" w:eastAsia="Times New Roman" w:hAnsi="Times" w:cs="Times New Roman"/>
          <w:sz w:val="20"/>
          <w:szCs w:val="20"/>
        </w:rPr>
        <w:t>Aslanian</w:t>
      </w:r>
      <w:proofErr w:type="spellEnd"/>
      <w:r w:rsidRPr="00F763D4">
        <w:rPr>
          <w:rFonts w:ascii="Times" w:eastAsia="Times New Roman" w:hAnsi="Times" w:cs="Times New Roman"/>
          <w:sz w:val="20"/>
          <w:szCs w:val="20"/>
        </w:rPr>
        <w:t xml:space="preserve"> &amp; </w:t>
      </w:r>
      <w:proofErr w:type="spellStart"/>
      <w:r w:rsidRPr="00F763D4">
        <w:rPr>
          <w:rFonts w:ascii="Times" w:eastAsia="Times New Roman" w:hAnsi="Times" w:cs="Times New Roman"/>
          <w:sz w:val="20"/>
          <w:szCs w:val="20"/>
        </w:rPr>
        <w:t>Clinefelter</w:t>
      </w:r>
      <w:proofErr w:type="spellEnd"/>
      <w:r w:rsidRPr="00F763D4">
        <w:rPr>
          <w:rFonts w:ascii="Times" w:eastAsia="Times New Roman" w:hAnsi="Times" w:cs="Times New Roman"/>
          <w:sz w:val="20"/>
          <w:szCs w:val="20"/>
        </w:rPr>
        <w:t xml:space="preserve">, 2012). However, they also identified the following key themes in online students’ responses: </w:t>
      </w:r>
    </w:p>
    <w:p w14:paraId="3381AB94" w14:textId="77777777" w:rsidR="00F763D4" w:rsidRPr="00F763D4" w:rsidRDefault="00F763D4" w:rsidP="009C78B7">
      <w:pPr>
        <w:numPr>
          <w:ilvl w:val="1"/>
          <w:numId w:val="8"/>
        </w:numPr>
        <w:spacing w:before="100" w:beforeAutospacing="1" w:after="100" w:afterAutospacing="1"/>
        <w:ind w:left="900" w:hanging="180"/>
        <w:rPr>
          <w:rFonts w:ascii="Times" w:eastAsia="Times New Roman" w:hAnsi="Times" w:cs="Times New Roman"/>
          <w:sz w:val="20"/>
          <w:szCs w:val="20"/>
        </w:rPr>
      </w:pPr>
      <w:r w:rsidRPr="00F763D4">
        <w:rPr>
          <w:rFonts w:ascii="Times" w:eastAsia="Times New Roman" w:hAnsi="Times" w:cs="Times New Roman"/>
          <w:sz w:val="20"/>
          <w:szCs w:val="20"/>
        </w:rPr>
        <w:t>Most online students have several responsibilities in life, so they seek convenience and flexibility when furthering their education. Millions of post-secondary students have turned to online education because it enables them to fit education around their work and family responsibilities and to study anytime and anywhere (p. 16).</w:t>
      </w:r>
    </w:p>
    <w:p w14:paraId="10A02050" w14:textId="77777777" w:rsidR="00F763D4" w:rsidRPr="00F763D4" w:rsidRDefault="00F763D4" w:rsidP="009C78B7">
      <w:pPr>
        <w:numPr>
          <w:ilvl w:val="1"/>
          <w:numId w:val="8"/>
        </w:numPr>
        <w:spacing w:before="100" w:beforeAutospacing="1" w:after="100" w:afterAutospacing="1"/>
        <w:ind w:left="900" w:hanging="180"/>
        <w:rPr>
          <w:rFonts w:ascii="Times" w:eastAsia="Times New Roman" w:hAnsi="Times" w:cs="Times New Roman"/>
          <w:sz w:val="20"/>
          <w:szCs w:val="20"/>
        </w:rPr>
      </w:pPr>
      <w:r w:rsidRPr="00F763D4">
        <w:rPr>
          <w:rFonts w:ascii="Times" w:eastAsia="Times New Roman" w:hAnsi="Times" w:cs="Times New Roman"/>
          <w:sz w:val="20"/>
          <w:szCs w:val="20"/>
        </w:rPr>
        <w:t>Online students unquestionably value the independence, self-direction, and control online education offers them. Among several factors that drive them to online programs, students most often point to “the ability to study when and where I want” and “the ability to study at my own pace” (p. 17).</w:t>
      </w:r>
    </w:p>
    <w:p w14:paraId="6A0464D7" w14:textId="77777777" w:rsidR="00F763D4" w:rsidRPr="00F763D4" w:rsidRDefault="00F763D4" w:rsidP="00F763D4">
      <w:pPr>
        <w:spacing w:before="100" w:beforeAutospacing="1" w:after="100" w:afterAutospacing="1"/>
        <w:rPr>
          <w:rFonts w:ascii="Times" w:hAnsi="Times" w:cs="Times New Roman"/>
          <w:sz w:val="20"/>
          <w:szCs w:val="20"/>
        </w:rPr>
      </w:pPr>
      <w:r w:rsidRPr="00F763D4">
        <w:rPr>
          <w:rFonts w:ascii="Times" w:hAnsi="Times" w:cs="Times New Roman"/>
          <w:sz w:val="20"/>
          <w:szCs w:val="20"/>
        </w:rPr>
        <w:t xml:space="preserve">As you design your course, it’s important to develop as comprehensive a picture as possible of the specific students who will be enrolling in the class (Angelino, Williams &amp; </w:t>
      </w:r>
      <w:proofErr w:type="spellStart"/>
      <w:r w:rsidRPr="00F763D4">
        <w:rPr>
          <w:rFonts w:ascii="Times" w:hAnsi="Times" w:cs="Times New Roman"/>
          <w:sz w:val="20"/>
          <w:szCs w:val="20"/>
        </w:rPr>
        <w:t>Natvig</w:t>
      </w:r>
      <w:proofErr w:type="spellEnd"/>
      <w:r w:rsidRPr="00F763D4">
        <w:rPr>
          <w:rFonts w:ascii="Times" w:hAnsi="Times" w:cs="Times New Roman"/>
          <w:sz w:val="20"/>
          <w:szCs w:val="20"/>
        </w:rPr>
        <w:t>, 2007). Gaining a sense of their prior knowledge and technology competency will help you to know what supports they will need and tailor your instruction accordingly. A few ways to gain these insights include asking students to complete an online survey, concept inventory, or pre-assessment. In addition, students can reflect on their prior knowledge and experiences through an online discussion or blog post.</w:t>
      </w:r>
    </w:p>
    <w:p w14:paraId="459D8CC2" w14:textId="77777777" w:rsidR="00F763D4" w:rsidRPr="00F763D4" w:rsidRDefault="00F763D4" w:rsidP="009C78B7">
      <w:pPr>
        <w:numPr>
          <w:ilvl w:val="0"/>
          <w:numId w:val="9"/>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Develop Learning Goals: </w:t>
      </w:r>
      <w:r w:rsidRPr="00F763D4">
        <w:rPr>
          <w:rFonts w:ascii="Times" w:eastAsia="Times New Roman" w:hAnsi="Times" w:cs="Times New Roman"/>
          <w:sz w:val="20"/>
          <w:szCs w:val="20"/>
        </w:rPr>
        <w:t xml:space="preserve">As with face-to-face instruction, it’s imperative to begin with the </w:t>
      </w:r>
      <w:hyperlink r:id="rId16" w:history="1">
        <w:r w:rsidRPr="00F763D4">
          <w:rPr>
            <w:rFonts w:ascii="Times" w:eastAsia="Times New Roman" w:hAnsi="Times" w:cs="Times New Roman"/>
            <w:color w:val="0000FF"/>
            <w:sz w:val="20"/>
            <w:szCs w:val="20"/>
            <w:u w:val="single"/>
          </w:rPr>
          <w:t>end in mind</w:t>
        </w:r>
      </w:hyperlink>
      <w:r w:rsidRPr="00F763D4">
        <w:rPr>
          <w:rFonts w:ascii="Times" w:eastAsia="Times New Roman" w:hAnsi="Times" w:cs="Times New Roman"/>
          <w:sz w:val="20"/>
          <w:szCs w:val="20"/>
        </w:rPr>
        <w:t xml:space="preserve"> by developing learning goals first (</w:t>
      </w:r>
      <w:proofErr w:type="spellStart"/>
      <w:r w:rsidRPr="00F763D4">
        <w:rPr>
          <w:rFonts w:ascii="Times" w:eastAsia="Times New Roman" w:hAnsi="Times" w:cs="Times New Roman"/>
          <w:sz w:val="20"/>
          <w:szCs w:val="20"/>
        </w:rPr>
        <w:t>Froyd</w:t>
      </w:r>
      <w:proofErr w:type="spellEnd"/>
      <w:r w:rsidRPr="00F763D4">
        <w:rPr>
          <w:rFonts w:ascii="Times" w:eastAsia="Times New Roman" w:hAnsi="Times" w:cs="Times New Roman"/>
          <w:sz w:val="20"/>
          <w:szCs w:val="20"/>
        </w:rPr>
        <w:t>, 2008). Ask yourself, what are the key concepts and/or skills students need to master by the end of the course? The answer to this question will help in developing course content, activities, and assessments that align with your learning goals, as well as choosing the appropriate technology (Caulfield, 2011).</w:t>
      </w:r>
    </w:p>
    <w:p w14:paraId="482DC398" w14:textId="77777777" w:rsidR="00F763D4" w:rsidRPr="00F763D4" w:rsidRDefault="00F763D4" w:rsidP="009C78B7">
      <w:pPr>
        <w:numPr>
          <w:ilvl w:val="0"/>
          <w:numId w:val="10"/>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Have Clear Expectations: </w:t>
      </w:r>
      <w:r w:rsidRPr="00F763D4">
        <w:rPr>
          <w:rFonts w:ascii="Times" w:eastAsia="Times New Roman" w:hAnsi="Times" w:cs="Times New Roman"/>
          <w:sz w:val="20"/>
          <w:szCs w:val="20"/>
        </w:rPr>
        <w:t xml:space="preserve">Present clear guidelines for participation in the class, as well as specific information for students about course expectations and procedures. In addition, use rubrics to clearly communicate learning objectives and </w:t>
      </w:r>
      <w:hyperlink r:id="rId17" w:history="1">
        <w:r w:rsidRPr="00F763D4">
          <w:rPr>
            <w:rFonts w:ascii="Times" w:eastAsia="Times New Roman" w:hAnsi="Times" w:cs="Times New Roman"/>
            <w:color w:val="0000FF"/>
            <w:sz w:val="20"/>
            <w:szCs w:val="20"/>
            <w:u w:val="single"/>
          </w:rPr>
          <w:t>grading criteria</w:t>
        </w:r>
      </w:hyperlink>
      <w:r w:rsidRPr="00F763D4">
        <w:rPr>
          <w:rFonts w:ascii="Times" w:eastAsia="Times New Roman" w:hAnsi="Times" w:cs="Times New Roman"/>
          <w:sz w:val="20"/>
          <w:szCs w:val="20"/>
        </w:rPr>
        <w:t xml:space="preserve"> for each learning activity in the course (e.g., </w:t>
      </w:r>
      <w:hyperlink r:id="rId18" w:history="1">
        <w:r w:rsidRPr="00F763D4">
          <w:rPr>
            <w:rFonts w:ascii="Times" w:eastAsia="Times New Roman" w:hAnsi="Times" w:cs="Times New Roman"/>
            <w:color w:val="0000FF"/>
            <w:sz w:val="20"/>
            <w:szCs w:val="20"/>
            <w:u w:val="single"/>
          </w:rPr>
          <w:t>quality online discussions</w:t>
        </w:r>
      </w:hyperlink>
      <w:r w:rsidRPr="00F763D4">
        <w:rPr>
          <w:rFonts w:ascii="Times" w:eastAsia="Times New Roman" w:hAnsi="Times" w:cs="Times New Roman"/>
          <w:sz w:val="20"/>
          <w:szCs w:val="20"/>
        </w:rPr>
        <w:t>) and incorporate them into student assessments (</w:t>
      </w:r>
      <w:proofErr w:type="spellStart"/>
      <w:r w:rsidRPr="00F763D4">
        <w:rPr>
          <w:rFonts w:ascii="Times" w:eastAsia="Times New Roman" w:hAnsi="Times" w:cs="Times New Roman"/>
          <w:sz w:val="20"/>
          <w:szCs w:val="20"/>
        </w:rPr>
        <w:t>Palloff</w:t>
      </w:r>
      <w:proofErr w:type="spellEnd"/>
      <w:r w:rsidRPr="00F763D4">
        <w:rPr>
          <w:rFonts w:ascii="Times" w:eastAsia="Times New Roman" w:hAnsi="Times" w:cs="Times New Roman"/>
          <w:sz w:val="20"/>
          <w:szCs w:val="20"/>
        </w:rPr>
        <w:t xml:space="preserve"> &amp; Pratt, 2013). Lauren Palladino’s </w:t>
      </w:r>
      <w:hyperlink r:id="rId19" w:history="1">
        <w:r w:rsidRPr="00F763D4">
          <w:rPr>
            <w:rFonts w:ascii="Times" w:eastAsia="Times New Roman" w:hAnsi="Times" w:cs="Times New Roman"/>
            <w:color w:val="0000FF"/>
            <w:sz w:val="20"/>
            <w:szCs w:val="20"/>
            <w:u w:val="single"/>
          </w:rPr>
          <w:t>online module</w:t>
        </w:r>
      </w:hyperlink>
      <w:r w:rsidRPr="00F763D4">
        <w:rPr>
          <w:rFonts w:ascii="Times" w:eastAsia="Times New Roman" w:hAnsi="Times" w:cs="Times New Roman"/>
          <w:sz w:val="20"/>
          <w:szCs w:val="20"/>
        </w:rPr>
        <w:t xml:space="preserve"> for a graduate astronomy class is a great example of how to present clear expectations early on.</w:t>
      </w:r>
    </w:p>
    <w:p w14:paraId="1EB5853F" w14:textId="77777777" w:rsidR="00F763D4" w:rsidRPr="00F763D4" w:rsidRDefault="00F763D4" w:rsidP="00F763D4">
      <w:pPr>
        <w:spacing w:before="100" w:beforeAutospacing="1" w:after="100" w:afterAutospacing="1"/>
        <w:outlineLvl w:val="2"/>
        <w:rPr>
          <w:rFonts w:ascii="Times" w:eastAsia="Times New Roman" w:hAnsi="Times" w:cs="Times New Roman"/>
          <w:b/>
          <w:bCs/>
          <w:sz w:val="27"/>
          <w:szCs w:val="27"/>
        </w:rPr>
      </w:pPr>
      <w:bookmarkStart w:id="3" w:name="organizing"/>
      <w:bookmarkEnd w:id="3"/>
      <w:r w:rsidRPr="00F763D4">
        <w:rPr>
          <w:rFonts w:ascii="Times" w:eastAsia="Times New Roman" w:hAnsi="Times" w:cs="Times New Roman"/>
          <w:b/>
          <w:bCs/>
          <w:color w:val="4274A6"/>
          <w:sz w:val="27"/>
          <w:szCs w:val="27"/>
        </w:rPr>
        <w:t>Organizing Course Content</w:t>
      </w:r>
    </w:p>
    <w:p w14:paraId="34C5925C" w14:textId="77777777" w:rsidR="00F763D4" w:rsidRPr="00F763D4" w:rsidRDefault="00F763D4" w:rsidP="009C78B7">
      <w:pPr>
        <w:numPr>
          <w:ilvl w:val="0"/>
          <w:numId w:val="11"/>
        </w:numPr>
        <w:tabs>
          <w:tab w:val="clear" w:pos="72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Provide an obvious path through the material, and make sure guideposts are clear to the student. </w:t>
      </w:r>
      <w:proofErr w:type="spellStart"/>
      <w:r w:rsidRPr="00F763D4">
        <w:rPr>
          <w:rFonts w:ascii="Times" w:eastAsia="Times New Roman" w:hAnsi="Times" w:cs="Times New Roman"/>
          <w:sz w:val="20"/>
          <w:szCs w:val="20"/>
        </w:rPr>
        <w:t>Savery</w:t>
      </w:r>
      <w:proofErr w:type="spellEnd"/>
      <w:r w:rsidRPr="00F763D4">
        <w:rPr>
          <w:rFonts w:ascii="Times" w:eastAsia="Times New Roman" w:hAnsi="Times" w:cs="Times New Roman"/>
          <w:sz w:val="20"/>
          <w:szCs w:val="20"/>
        </w:rPr>
        <w:t xml:space="preserve"> (2005) explains that organization is essential since online learners need to fit the course into their crowded schedules. He emphasizes the importance of posting course assignments and due dates early and having clear directions. Shea and colleagues (Shea, </w:t>
      </w:r>
      <w:proofErr w:type="spellStart"/>
      <w:r w:rsidRPr="00F763D4">
        <w:rPr>
          <w:rFonts w:ascii="Times" w:eastAsia="Times New Roman" w:hAnsi="Times" w:cs="Times New Roman"/>
          <w:sz w:val="20"/>
          <w:szCs w:val="20"/>
        </w:rPr>
        <w:t>Fredericksen</w:t>
      </w:r>
      <w:proofErr w:type="spellEnd"/>
      <w:r w:rsidRPr="00F763D4">
        <w:rPr>
          <w:rFonts w:ascii="Times" w:eastAsia="Times New Roman" w:hAnsi="Times" w:cs="Times New Roman"/>
          <w:sz w:val="20"/>
          <w:szCs w:val="20"/>
        </w:rPr>
        <w:t xml:space="preserve">, Pickett &amp; </w:t>
      </w:r>
      <w:proofErr w:type="spellStart"/>
      <w:r w:rsidRPr="00F763D4">
        <w:rPr>
          <w:rFonts w:ascii="Times" w:eastAsia="Times New Roman" w:hAnsi="Times" w:cs="Times New Roman"/>
          <w:sz w:val="20"/>
          <w:szCs w:val="20"/>
        </w:rPr>
        <w:t>Pelz</w:t>
      </w:r>
      <w:proofErr w:type="spellEnd"/>
      <w:r w:rsidRPr="00F763D4">
        <w:rPr>
          <w:rFonts w:ascii="Times" w:eastAsia="Times New Roman" w:hAnsi="Times" w:cs="Times New Roman"/>
          <w:sz w:val="20"/>
          <w:szCs w:val="20"/>
        </w:rPr>
        <w:t xml:space="preserve">, 2003; Shea, Pickett &amp; </w:t>
      </w:r>
      <w:proofErr w:type="spellStart"/>
      <w:r w:rsidRPr="00F763D4">
        <w:rPr>
          <w:rFonts w:ascii="Times" w:eastAsia="Times New Roman" w:hAnsi="Times" w:cs="Times New Roman"/>
          <w:sz w:val="20"/>
          <w:szCs w:val="20"/>
        </w:rPr>
        <w:t>Pelz</w:t>
      </w:r>
      <w:proofErr w:type="spellEnd"/>
      <w:r w:rsidRPr="00F763D4">
        <w:rPr>
          <w:rFonts w:ascii="Times" w:eastAsia="Times New Roman" w:hAnsi="Times" w:cs="Times New Roman"/>
          <w:sz w:val="20"/>
          <w:szCs w:val="20"/>
        </w:rPr>
        <w:t xml:space="preserve">, 2003) also explained the importance of clearly labeling and organizing course-level and section-level materials in order to create a path that students can follow. Burks Oakley at the University of Illinois as Springfield talks about the importance of </w:t>
      </w:r>
      <w:hyperlink r:id="rId20" w:history="1">
        <w:r w:rsidRPr="00F763D4">
          <w:rPr>
            <w:rFonts w:ascii="Times" w:eastAsia="Times New Roman" w:hAnsi="Times" w:cs="Times New Roman"/>
            <w:color w:val="0000FF"/>
            <w:sz w:val="20"/>
            <w:szCs w:val="20"/>
            <w:u w:val="single"/>
          </w:rPr>
          <w:t>online instructors’ organizational skills</w:t>
        </w:r>
      </w:hyperlink>
      <w:r w:rsidRPr="00F763D4">
        <w:rPr>
          <w:rFonts w:ascii="Times" w:eastAsia="Times New Roman" w:hAnsi="Times" w:cs="Times New Roman"/>
          <w:sz w:val="20"/>
          <w:szCs w:val="20"/>
        </w:rPr>
        <w:t>.</w:t>
      </w:r>
    </w:p>
    <w:p w14:paraId="1A8CB069" w14:textId="77777777" w:rsidR="00F763D4" w:rsidRPr="00F763D4" w:rsidRDefault="00F763D4" w:rsidP="009C78B7">
      <w:pPr>
        <w:numPr>
          <w:ilvl w:val="0"/>
          <w:numId w:val="12"/>
        </w:numPr>
        <w:tabs>
          <w:tab w:val="clear" w:pos="72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Organize the content in logical units, or modules, in which each module is organized around a major topic and contains relevant objectives, material, and associated activities</w:t>
      </w:r>
      <w:r w:rsidRPr="00F763D4">
        <w:rPr>
          <w:rFonts w:ascii="Times" w:eastAsia="Times New Roman" w:hAnsi="Times" w:cs="Times New Roman"/>
          <w:sz w:val="20"/>
          <w:szCs w:val="20"/>
        </w:rPr>
        <w:t xml:space="preserve">. In the introduction to the module, include information about how long the student should expect to spend working on the module. This helps to keep students moving along at a similar pace (Shea, </w:t>
      </w:r>
      <w:proofErr w:type="spellStart"/>
      <w:r w:rsidRPr="00F763D4">
        <w:rPr>
          <w:rFonts w:ascii="Times" w:eastAsia="Times New Roman" w:hAnsi="Times" w:cs="Times New Roman"/>
          <w:sz w:val="20"/>
          <w:szCs w:val="20"/>
        </w:rPr>
        <w:t>Fredericksen</w:t>
      </w:r>
      <w:proofErr w:type="spellEnd"/>
      <w:r w:rsidRPr="00F763D4">
        <w:rPr>
          <w:rFonts w:ascii="Times" w:eastAsia="Times New Roman" w:hAnsi="Times" w:cs="Times New Roman"/>
          <w:sz w:val="20"/>
          <w:szCs w:val="20"/>
        </w:rPr>
        <w:t xml:space="preserve">, Pickett &amp; </w:t>
      </w:r>
      <w:proofErr w:type="spellStart"/>
      <w:r w:rsidRPr="00F763D4">
        <w:rPr>
          <w:rFonts w:ascii="Times" w:eastAsia="Times New Roman" w:hAnsi="Times" w:cs="Times New Roman"/>
          <w:sz w:val="20"/>
          <w:szCs w:val="20"/>
        </w:rPr>
        <w:t>Pelz</w:t>
      </w:r>
      <w:proofErr w:type="spellEnd"/>
      <w:r w:rsidRPr="00F763D4">
        <w:rPr>
          <w:rFonts w:ascii="Times" w:eastAsia="Times New Roman" w:hAnsi="Times" w:cs="Times New Roman"/>
          <w:sz w:val="20"/>
          <w:szCs w:val="20"/>
        </w:rPr>
        <w:t xml:space="preserve">, 2003; Shea, Pickett &amp; </w:t>
      </w:r>
      <w:proofErr w:type="spellStart"/>
      <w:r w:rsidRPr="00F763D4">
        <w:rPr>
          <w:rFonts w:ascii="Times" w:eastAsia="Times New Roman" w:hAnsi="Times" w:cs="Times New Roman"/>
          <w:sz w:val="20"/>
          <w:szCs w:val="20"/>
        </w:rPr>
        <w:t>Pelz</w:t>
      </w:r>
      <w:proofErr w:type="spellEnd"/>
      <w:r w:rsidRPr="00F763D4">
        <w:rPr>
          <w:rFonts w:ascii="Times" w:eastAsia="Times New Roman" w:hAnsi="Times" w:cs="Times New Roman"/>
          <w:sz w:val="20"/>
          <w:szCs w:val="20"/>
        </w:rPr>
        <w:t xml:space="preserve">, 2003). The course demo from </w:t>
      </w:r>
      <w:hyperlink r:id="rId21" w:history="1">
        <w:r w:rsidRPr="00F763D4">
          <w:rPr>
            <w:rFonts w:ascii="Times" w:eastAsia="Times New Roman" w:hAnsi="Times" w:cs="Times New Roman"/>
            <w:color w:val="0000FF"/>
            <w:sz w:val="20"/>
            <w:szCs w:val="20"/>
            <w:u w:val="single"/>
          </w:rPr>
          <w:t xml:space="preserve">Boston University </w:t>
        </w:r>
      </w:hyperlink>
      <w:r w:rsidRPr="00F763D4">
        <w:rPr>
          <w:rFonts w:ascii="Times" w:eastAsia="Times New Roman" w:hAnsi="Times" w:cs="Times New Roman"/>
          <w:sz w:val="20"/>
          <w:szCs w:val="20"/>
        </w:rPr>
        <w:t>here illustrates this modular organization.</w:t>
      </w:r>
    </w:p>
    <w:p w14:paraId="22586F95" w14:textId="77777777" w:rsidR="00F763D4" w:rsidRPr="00F763D4" w:rsidRDefault="00F763D4" w:rsidP="009C78B7">
      <w:pPr>
        <w:numPr>
          <w:ilvl w:val="0"/>
          <w:numId w:val="13"/>
        </w:numPr>
        <w:tabs>
          <w:tab w:val="clear" w:pos="72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sz w:val="20"/>
          <w:szCs w:val="20"/>
        </w:rPr>
        <w:t xml:space="preserve">Within each module, present content in chunks that are easily digestible (Smith, 2008). </w:t>
      </w:r>
    </w:p>
    <w:p w14:paraId="35BD6CE3" w14:textId="77777777" w:rsidR="00F763D4" w:rsidRPr="00F763D4" w:rsidRDefault="00F763D4" w:rsidP="009C78B7">
      <w:pPr>
        <w:numPr>
          <w:ilvl w:val="1"/>
          <w:numId w:val="13"/>
        </w:numPr>
        <w:tabs>
          <w:tab w:val="clear" w:pos="1440"/>
          <w:tab w:val="left" w:pos="1080"/>
        </w:tabs>
        <w:spacing w:before="100" w:beforeAutospacing="1" w:after="100" w:afterAutospacing="1"/>
        <w:ind w:left="1080" w:hanging="180"/>
        <w:rPr>
          <w:rFonts w:ascii="Times" w:eastAsia="Times New Roman" w:hAnsi="Times" w:cs="Times New Roman"/>
          <w:sz w:val="20"/>
          <w:szCs w:val="20"/>
        </w:rPr>
      </w:pPr>
      <w:r w:rsidRPr="00F763D4">
        <w:rPr>
          <w:rFonts w:ascii="Times" w:eastAsia="Times New Roman" w:hAnsi="Times" w:cs="Times New Roman"/>
          <w:sz w:val="20"/>
          <w:szCs w:val="20"/>
        </w:rPr>
        <w:t>When presenting text, format the content for the Web by breaking it into short paragraphs and using headings, bullets, graphics and other formatting devices that make webpages easier to read and comprehend. The “7+/-2”instructional design rule of thumb, based on the work of psychologist George Miller, suggests inclusion of 5 to 9 pieces of information in a segment. This self-paced asynchronous course from UC-Irvine demonstrates several of these principles.</w:t>
      </w:r>
    </w:p>
    <w:p w14:paraId="3F071E6D" w14:textId="77777777" w:rsidR="00F763D4" w:rsidRPr="00F763D4" w:rsidRDefault="00F763D4" w:rsidP="009C78B7">
      <w:pPr>
        <w:numPr>
          <w:ilvl w:val="1"/>
          <w:numId w:val="13"/>
        </w:numPr>
        <w:tabs>
          <w:tab w:val="clear" w:pos="1440"/>
          <w:tab w:val="left" w:pos="1080"/>
        </w:tabs>
        <w:spacing w:before="100" w:beforeAutospacing="1" w:after="100" w:afterAutospacing="1"/>
        <w:ind w:left="1080" w:hanging="180"/>
        <w:rPr>
          <w:rFonts w:ascii="Times" w:eastAsia="Times New Roman" w:hAnsi="Times" w:cs="Times New Roman"/>
          <w:sz w:val="20"/>
          <w:szCs w:val="20"/>
        </w:rPr>
      </w:pPr>
      <w:r w:rsidRPr="00F763D4">
        <w:rPr>
          <w:rFonts w:ascii="Times" w:eastAsia="Times New Roman" w:hAnsi="Times" w:cs="Times New Roman"/>
          <w:sz w:val="20"/>
          <w:szCs w:val="20"/>
        </w:rPr>
        <w:t>When presenting audio or video, include a brief description and information about the length. Keep the segments short, from 2-15 minutes, to help maximize listeners’ retention (Smith, 2008). Strategically chunking content helps students to absorb the information, avoiding information overload and exhaustion (Garrison, Anderson &amp; Archer, 2001).</w:t>
      </w:r>
    </w:p>
    <w:p w14:paraId="0F270CE6" w14:textId="77777777" w:rsidR="00F763D4" w:rsidRPr="00F763D4" w:rsidRDefault="00F763D4" w:rsidP="009C78B7">
      <w:pPr>
        <w:numPr>
          <w:ilvl w:val="1"/>
          <w:numId w:val="13"/>
        </w:numPr>
        <w:tabs>
          <w:tab w:val="clear" w:pos="1440"/>
          <w:tab w:val="left" w:pos="1080"/>
        </w:tabs>
        <w:spacing w:before="100" w:beforeAutospacing="1" w:after="100" w:afterAutospacing="1"/>
        <w:ind w:left="1080" w:hanging="180"/>
        <w:rPr>
          <w:rFonts w:ascii="Times" w:eastAsia="Times New Roman" w:hAnsi="Times" w:cs="Times New Roman"/>
          <w:sz w:val="20"/>
          <w:szCs w:val="20"/>
        </w:rPr>
      </w:pPr>
      <w:r w:rsidRPr="00F763D4">
        <w:rPr>
          <w:rFonts w:ascii="Times" w:eastAsia="Times New Roman" w:hAnsi="Times" w:cs="Times New Roman"/>
          <w:sz w:val="20"/>
          <w:szCs w:val="20"/>
        </w:rPr>
        <w:lastRenderedPageBreak/>
        <w:t>Help your students digest the chunks of material by providing short recall or application questions after each one. Research has demonstrated the critical role of retrieval practices for conceptual learning (Karpicke &amp; Blunt, 2011; Karpicke &amp; Roediger, 2008).</w:t>
      </w:r>
    </w:p>
    <w:p w14:paraId="68268A1A" w14:textId="77777777" w:rsidR="00F763D4" w:rsidRPr="00F763D4" w:rsidRDefault="00F763D4" w:rsidP="00F763D4">
      <w:pPr>
        <w:spacing w:before="100" w:beforeAutospacing="1" w:after="100" w:afterAutospacing="1"/>
        <w:outlineLvl w:val="2"/>
        <w:rPr>
          <w:rFonts w:ascii="Times" w:eastAsia="Times New Roman" w:hAnsi="Times" w:cs="Times New Roman"/>
          <w:b/>
          <w:bCs/>
          <w:sz w:val="27"/>
          <w:szCs w:val="27"/>
        </w:rPr>
      </w:pPr>
      <w:bookmarkStart w:id="4" w:name="facilitating"/>
      <w:bookmarkEnd w:id="4"/>
      <w:r w:rsidRPr="00F763D4">
        <w:rPr>
          <w:rFonts w:ascii="Times" w:eastAsia="Times New Roman" w:hAnsi="Times" w:cs="Times New Roman"/>
          <w:b/>
          <w:bCs/>
          <w:color w:val="4274A6"/>
          <w:sz w:val="27"/>
          <w:szCs w:val="27"/>
        </w:rPr>
        <w:t>Facilitating Online Learning</w:t>
      </w:r>
    </w:p>
    <w:p w14:paraId="298CEA47" w14:textId="77777777" w:rsidR="00F763D4" w:rsidRPr="00F763D4" w:rsidRDefault="00F763D4" w:rsidP="009C78B7">
      <w:pPr>
        <w:numPr>
          <w:ilvl w:val="0"/>
          <w:numId w:val="1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Promote metacognitive awareness. </w:t>
      </w:r>
      <w:r w:rsidRPr="00F763D4">
        <w:rPr>
          <w:rFonts w:ascii="Times" w:eastAsia="Times New Roman" w:hAnsi="Times" w:cs="Times New Roman"/>
          <w:sz w:val="20"/>
          <w:szCs w:val="20"/>
        </w:rPr>
        <w:t>Since online learners have more autonomy and responsibility, it is crucial that are supported in planning, monitoring, and assessing their understanding and performance (Bransford, Brown, &amp; Cocking, 2000). As mentioned earlier, providing clear expectations and a clear path through the material can help students monitor their pace. In “</w:t>
      </w:r>
      <w:hyperlink r:id="rId22" w:history="1">
        <w:r w:rsidRPr="00F763D4">
          <w:rPr>
            <w:rFonts w:ascii="Times" w:eastAsia="Times New Roman" w:hAnsi="Times" w:cs="Times New Roman"/>
            <w:color w:val="0000FF"/>
            <w:sz w:val="20"/>
            <w:szCs w:val="20"/>
            <w:u w:val="single"/>
          </w:rPr>
          <w:t>Promoting Student Metacognition</w:t>
        </w:r>
      </w:hyperlink>
      <w:r w:rsidRPr="00F763D4">
        <w:rPr>
          <w:rFonts w:ascii="Times" w:eastAsia="Times New Roman" w:hAnsi="Times" w:cs="Times New Roman"/>
          <w:sz w:val="20"/>
          <w:szCs w:val="20"/>
        </w:rPr>
        <w:t xml:space="preserve">,” Tanner (2012) offers a handful of adaptable specific activities for promoting metacognition, including pre and post-assessments, reflective journals, and </w:t>
      </w:r>
      <w:hyperlink r:id="rId23" w:history="1">
        <w:r w:rsidRPr="00F763D4">
          <w:rPr>
            <w:rFonts w:ascii="Times" w:eastAsia="Times New Roman" w:hAnsi="Times" w:cs="Times New Roman"/>
            <w:color w:val="0000FF"/>
            <w:sz w:val="20"/>
            <w:szCs w:val="20"/>
            <w:u w:val="single"/>
          </w:rPr>
          <w:t>questions for students to ask themselves</w:t>
        </w:r>
      </w:hyperlink>
      <w:r w:rsidRPr="00F763D4">
        <w:rPr>
          <w:rFonts w:ascii="Times" w:eastAsia="Times New Roman" w:hAnsi="Times" w:cs="Times New Roman"/>
          <w:sz w:val="20"/>
          <w:szCs w:val="20"/>
        </w:rPr>
        <w:t xml:space="preserve"> as they plan, monitor, and evaluate their thinking.</w:t>
      </w:r>
    </w:p>
    <w:p w14:paraId="1E046FAD" w14:textId="77777777" w:rsidR="00F763D4" w:rsidRPr="00F763D4" w:rsidRDefault="00F763D4" w:rsidP="009C78B7">
      <w:pPr>
        <w:numPr>
          <w:ilvl w:val="0"/>
          <w:numId w:val="15"/>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Maintain a Social Presence: </w:t>
      </w:r>
      <w:r w:rsidRPr="00F763D4">
        <w:rPr>
          <w:rFonts w:ascii="Times" w:eastAsia="Times New Roman" w:hAnsi="Times" w:cs="Times New Roman"/>
          <w:sz w:val="20"/>
          <w:szCs w:val="20"/>
        </w:rPr>
        <w:t>Stay present and be responsive to student needs and concerns (</w:t>
      </w:r>
      <w:proofErr w:type="spellStart"/>
      <w:r w:rsidRPr="00F763D4">
        <w:rPr>
          <w:rFonts w:ascii="Times" w:eastAsia="Times New Roman" w:hAnsi="Times" w:cs="Times New Roman"/>
          <w:sz w:val="20"/>
          <w:szCs w:val="20"/>
        </w:rPr>
        <w:t>Savery</w:t>
      </w:r>
      <w:proofErr w:type="spellEnd"/>
      <w:r w:rsidRPr="00F763D4">
        <w:rPr>
          <w:rFonts w:ascii="Times" w:eastAsia="Times New Roman" w:hAnsi="Times" w:cs="Times New Roman"/>
          <w:sz w:val="20"/>
          <w:szCs w:val="20"/>
        </w:rPr>
        <w:t>, 2005). The instructor should engage in a balanced level of participation and communication—both publicly and privately—so students know he or she is engaged and available. This includes modeling good participation by frequently contributing to discussions through responding to students’ posts and asking further questions. The instructor is instrumental for creating a warm and inviting atmosphere that promotes an online sense of community (Garrison &amp; Vaughan, 2008; Jiang &amp; Ting, 2000).</w:t>
      </w:r>
    </w:p>
    <w:p w14:paraId="2B3CF712" w14:textId="77777777" w:rsidR="00F763D4" w:rsidRPr="00F763D4" w:rsidRDefault="00F763D4" w:rsidP="009C78B7">
      <w:pPr>
        <w:numPr>
          <w:ilvl w:val="0"/>
          <w:numId w:val="16"/>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Promote Collaboration: </w:t>
      </w:r>
      <w:r w:rsidRPr="00F763D4">
        <w:rPr>
          <w:rFonts w:ascii="Times" w:eastAsia="Times New Roman" w:hAnsi="Times" w:cs="Times New Roman"/>
          <w:sz w:val="20"/>
          <w:szCs w:val="20"/>
        </w:rPr>
        <w:t xml:space="preserve">As described by </w:t>
      </w:r>
      <w:proofErr w:type="spellStart"/>
      <w:r w:rsidRPr="00F763D4">
        <w:rPr>
          <w:rFonts w:ascii="Times" w:eastAsia="Times New Roman" w:hAnsi="Times" w:cs="Times New Roman"/>
          <w:sz w:val="20"/>
          <w:szCs w:val="20"/>
        </w:rPr>
        <w:t>Palloff</w:t>
      </w:r>
      <w:proofErr w:type="spellEnd"/>
      <w:r w:rsidRPr="00F763D4">
        <w:rPr>
          <w:rFonts w:ascii="Times" w:eastAsia="Times New Roman" w:hAnsi="Times" w:cs="Times New Roman"/>
          <w:sz w:val="20"/>
          <w:szCs w:val="20"/>
        </w:rPr>
        <w:t xml:space="preserve"> and Pratt (2013), “Collaborative learning processes help students achieve deeper levels of knowledge generation through the creation of shared goals, shared exploration, and a shared process of meaning making. In addition, collaborative activity can help to reduce the feeling s of isolation that can occur when students are working at a distance” (p. 39). Collaborative learning can be promoted through a variety of activities, including small group assignments, case studies, simulations, and group discussions.</w:t>
      </w:r>
    </w:p>
    <w:p w14:paraId="5CDF425B" w14:textId="77777777" w:rsidR="00F763D4" w:rsidRPr="00F763D4" w:rsidRDefault="00F763D4" w:rsidP="009C78B7">
      <w:pPr>
        <w:numPr>
          <w:ilvl w:val="0"/>
          <w:numId w:val="1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Promote Active Learning: </w:t>
      </w:r>
      <w:r w:rsidRPr="00F763D4">
        <w:rPr>
          <w:rFonts w:ascii="Times" w:eastAsia="Times New Roman" w:hAnsi="Times" w:cs="Times New Roman"/>
          <w:sz w:val="20"/>
          <w:szCs w:val="20"/>
        </w:rPr>
        <w:t xml:space="preserve">Chickering and </w:t>
      </w:r>
      <w:proofErr w:type="spellStart"/>
      <w:r w:rsidRPr="00F763D4">
        <w:rPr>
          <w:rFonts w:ascii="Times" w:eastAsia="Times New Roman" w:hAnsi="Times" w:cs="Times New Roman"/>
          <w:sz w:val="20"/>
          <w:szCs w:val="20"/>
        </w:rPr>
        <w:t>Ehrmann</w:t>
      </w:r>
      <w:proofErr w:type="spellEnd"/>
      <w:r w:rsidRPr="00F763D4">
        <w:rPr>
          <w:rFonts w:ascii="Times" w:eastAsia="Times New Roman" w:hAnsi="Times" w:cs="Times New Roman"/>
          <w:sz w:val="20"/>
          <w:szCs w:val="20"/>
        </w:rPr>
        <w:t xml:space="preserve"> (1996) explain that “learning is not a spectator sport…[Students] must talk about what they are learning, write reflectively about it, relate it to past experiences, and apply it to their daily lives. They must make what they learn part of themselves” (p. 5). Keeping in mind the characteristics of online learners, it’s also important to make tasks authentic for students. That is, complex tasks related to real-life experiences that can also be applied to future activities (Woo, Herrington, Agostinho &amp; Reeves, 2007). </w:t>
      </w:r>
      <w:hyperlink r:id="rId24" w:history="1">
        <w:r w:rsidRPr="00F763D4">
          <w:rPr>
            <w:rFonts w:ascii="Times" w:eastAsia="Times New Roman" w:hAnsi="Times" w:cs="Times New Roman"/>
            <w:color w:val="0000FF"/>
            <w:sz w:val="20"/>
            <w:szCs w:val="20"/>
            <w:u w:val="single"/>
          </w:rPr>
          <w:t>Here</w:t>
        </w:r>
      </w:hyperlink>
      <w:r w:rsidRPr="00F763D4">
        <w:rPr>
          <w:rFonts w:ascii="Times" w:eastAsia="Times New Roman" w:hAnsi="Times" w:cs="Times New Roman"/>
          <w:sz w:val="20"/>
          <w:szCs w:val="20"/>
        </w:rPr>
        <w:t xml:space="preserve"> are some specific ideas for online activities.</w:t>
      </w:r>
    </w:p>
    <w:p w14:paraId="7C018E92" w14:textId="77777777" w:rsidR="00F763D4" w:rsidRPr="00F763D4" w:rsidRDefault="00F763D4" w:rsidP="009C78B7">
      <w:pPr>
        <w:numPr>
          <w:ilvl w:val="0"/>
          <w:numId w:val="18"/>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Incorporate Multiple Media: </w:t>
      </w:r>
      <w:r w:rsidRPr="00F763D4">
        <w:rPr>
          <w:rFonts w:ascii="Times" w:eastAsia="Times New Roman" w:hAnsi="Times" w:cs="Times New Roman"/>
          <w:sz w:val="20"/>
          <w:szCs w:val="20"/>
        </w:rPr>
        <w:t xml:space="preserve">A key mistake instructors make is simply converting print materials for an online environment. Instead, leverage the possibilities of the Internet by considering various content sources and media formats to motivate learning and appeal to different learning styles (Mayer, 2001). CIRTL suggests that when selecting media for a course, think about how it accomplishes learning goals and how the medium will affect the learner (e.g., technology needs, download time, disabilities). In addition, </w:t>
      </w:r>
      <w:proofErr w:type="spellStart"/>
      <w:r w:rsidRPr="00F763D4">
        <w:rPr>
          <w:rFonts w:ascii="Times" w:eastAsia="Times New Roman" w:hAnsi="Times" w:cs="Times New Roman"/>
          <w:sz w:val="20"/>
          <w:szCs w:val="20"/>
        </w:rPr>
        <w:t>Kapus</w:t>
      </w:r>
      <w:proofErr w:type="spellEnd"/>
      <w:r w:rsidRPr="00F763D4">
        <w:rPr>
          <w:rFonts w:ascii="Times" w:eastAsia="Times New Roman" w:hAnsi="Times" w:cs="Times New Roman"/>
          <w:sz w:val="20"/>
          <w:szCs w:val="20"/>
        </w:rPr>
        <w:t xml:space="preserve"> (2010) recommends that when incorporating streaming media in a course to also post complete transcripts and encourage students to both watch the content and read the transcript.</w:t>
      </w:r>
    </w:p>
    <w:p w14:paraId="62C77E5C" w14:textId="77777777" w:rsidR="00F763D4" w:rsidRPr="00F763D4" w:rsidRDefault="00F763D4" w:rsidP="009C78B7">
      <w:pPr>
        <w:numPr>
          <w:ilvl w:val="0"/>
          <w:numId w:val="19"/>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Provide Adequate Technical Support: </w:t>
      </w:r>
      <w:r w:rsidRPr="00F763D4">
        <w:rPr>
          <w:rFonts w:ascii="Times" w:eastAsia="Times New Roman" w:hAnsi="Times" w:cs="Times New Roman"/>
          <w:sz w:val="20"/>
          <w:szCs w:val="20"/>
        </w:rPr>
        <w:t>It should not be assumed that all students have experience with online learning or using the necessary technology. Provide ample technical support for learners by including links to resources, making yourself available to students, and promoting collaborative peer problem solving on the discussion board</w:t>
      </w:r>
      <w:r w:rsidRPr="00F763D4">
        <w:rPr>
          <w:rFonts w:ascii="Times" w:eastAsia="Times New Roman" w:hAnsi="Times" w:cs="Times New Roman"/>
          <w:b/>
          <w:bCs/>
          <w:sz w:val="20"/>
          <w:szCs w:val="20"/>
        </w:rPr>
        <w:t>.</w:t>
      </w:r>
    </w:p>
    <w:p w14:paraId="1A476B10" w14:textId="77777777" w:rsidR="00F763D4" w:rsidRPr="00F763D4" w:rsidRDefault="00F763D4" w:rsidP="009C78B7">
      <w:pPr>
        <w:numPr>
          <w:ilvl w:val="0"/>
          <w:numId w:val="20"/>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F763D4">
        <w:rPr>
          <w:rFonts w:ascii="Times" w:eastAsia="Times New Roman" w:hAnsi="Times" w:cs="Times New Roman"/>
          <w:b/>
          <w:bCs/>
          <w:sz w:val="20"/>
          <w:szCs w:val="20"/>
        </w:rPr>
        <w:t xml:space="preserve">Respect Copyright Rules: </w:t>
      </w:r>
      <w:r w:rsidRPr="00F763D4">
        <w:rPr>
          <w:rFonts w:ascii="Times" w:eastAsia="Times New Roman" w:hAnsi="Times" w:cs="Times New Roman"/>
          <w:sz w:val="20"/>
          <w:szCs w:val="20"/>
        </w:rPr>
        <w:t xml:space="preserve">The rules of fair use described </w:t>
      </w:r>
      <w:hyperlink r:id="rId25" w:history="1">
        <w:r w:rsidRPr="00F763D4">
          <w:rPr>
            <w:rFonts w:ascii="Times" w:eastAsia="Times New Roman" w:hAnsi="Times" w:cs="Times New Roman"/>
            <w:color w:val="0000FF"/>
            <w:sz w:val="20"/>
            <w:szCs w:val="20"/>
            <w:u w:val="single"/>
          </w:rPr>
          <w:t>here</w:t>
        </w:r>
      </w:hyperlink>
      <w:r w:rsidRPr="00F763D4">
        <w:rPr>
          <w:rFonts w:ascii="Times" w:eastAsia="Times New Roman" w:hAnsi="Times" w:cs="Times New Roman"/>
          <w:sz w:val="20"/>
          <w:szCs w:val="20"/>
        </w:rPr>
        <w:t xml:space="preserve"> may apply to copyrighted material that you wish to excerpt.</w:t>
      </w:r>
    </w:p>
    <w:p w14:paraId="40E2FDE8" w14:textId="77777777" w:rsidR="00F763D4" w:rsidRPr="00F763D4" w:rsidRDefault="00F763D4" w:rsidP="00F763D4">
      <w:pPr>
        <w:spacing w:before="100" w:beforeAutospacing="1" w:after="100" w:afterAutospacing="1"/>
        <w:outlineLvl w:val="1"/>
        <w:rPr>
          <w:rFonts w:ascii="Times" w:eastAsia="Times New Roman" w:hAnsi="Times" w:cs="Times New Roman"/>
          <w:b/>
          <w:bCs/>
          <w:sz w:val="36"/>
          <w:szCs w:val="36"/>
        </w:rPr>
      </w:pPr>
      <w:bookmarkStart w:id="5" w:name="resources"/>
      <w:bookmarkEnd w:id="5"/>
      <w:r w:rsidRPr="00F763D4">
        <w:rPr>
          <w:rFonts w:ascii="Times" w:eastAsia="Times New Roman" w:hAnsi="Times" w:cs="Times New Roman"/>
          <w:b/>
          <w:bCs/>
          <w:sz w:val="36"/>
          <w:szCs w:val="36"/>
        </w:rPr>
        <w:t>Resources</w:t>
      </w:r>
    </w:p>
    <w:p w14:paraId="5F3396DB"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 xml:space="preserve">Allen, E. &amp; Seaman, J. (2013). </w:t>
      </w:r>
      <w:hyperlink r:id="rId26" w:history="1">
        <w:r w:rsidRPr="00F763D4">
          <w:rPr>
            <w:rFonts w:ascii="Times" w:eastAsia="Times New Roman" w:hAnsi="Times" w:cs="Times New Roman"/>
            <w:color w:val="0000FF"/>
            <w:sz w:val="20"/>
            <w:szCs w:val="20"/>
            <w:u w:val="single"/>
          </w:rPr>
          <w:t>Changing Course: Ten Years of Tracking Online Education in the United States.</w:t>
        </w:r>
      </w:hyperlink>
      <w:r w:rsidRPr="00F763D4">
        <w:rPr>
          <w:rFonts w:ascii="Times" w:eastAsia="Times New Roman" w:hAnsi="Times" w:cs="Times New Roman"/>
          <w:sz w:val="20"/>
          <w:szCs w:val="20"/>
        </w:rPr>
        <w:t xml:space="preserve"> Wellesley, MA: Babson College.</w:t>
      </w:r>
    </w:p>
    <w:p w14:paraId="592F26C6"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 xml:space="preserve">Angelino, L. M., Williams, F. K., &amp; </w:t>
      </w:r>
      <w:proofErr w:type="spellStart"/>
      <w:r w:rsidRPr="00F763D4">
        <w:rPr>
          <w:rFonts w:ascii="Times" w:eastAsia="Times New Roman" w:hAnsi="Times" w:cs="Times New Roman"/>
          <w:sz w:val="20"/>
          <w:szCs w:val="20"/>
        </w:rPr>
        <w:t>Natvig</w:t>
      </w:r>
      <w:proofErr w:type="spellEnd"/>
      <w:r w:rsidRPr="00F763D4">
        <w:rPr>
          <w:rFonts w:ascii="Times" w:eastAsia="Times New Roman" w:hAnsi="Times" w:cs="Times New Roman"/>
          <w:sz w:val="20"/>
          <w:szCs w:val="20"/>
        </w:rPr>
        <w:t>, D. (2007). Strategies to engage online students and reduce attrition rates. The Journal of Educators Online, 4(2), 1-14.</w:t>
      </w:r>
    </w:p>
    <w:p w14:paraId="00EF6442"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proofErr w:type="spellStart"/>
      <w:r w:rsidRPr="00F763D4">
        <w:rPr>
          <w:rFonts w:ascii="Times" w:eastAsia="Times New Roman" w:hAnsi="Times" w:cs="Times New Roman"/>
          <w:sz w:val="20"/>
          <w:szCs w:val="20"/>
        </w:rPr>
        <w:t>Aslanian</w:t>
      </w:r>
      <w:proofErr w:type="spellEnd"/>
      <w:r w:rsidRPr="00F763D4">
        <w:rPr>
          <w:rFonts w:ascii="Times" w:eastAsia="Times New Roman" w:hAnsi="Times" w:cs="Times New Roman"/>
          <w:sz w:val="20"/>
          <w:szCs w:val="20"/>
        </w:rPr>
        <w:t xml:space="preserve">, C. B., &amp; </w:t>
      </w:r>
      <w:proofErr w:type="spellStart"/>
      <w:r w:rsidRPr="00F763D4">
        <w:rPr>
          <w:rFonts w:ascii="Times" w:eastAsia="Times New Roman" w:hAnsi="Times" w:cs="Times New Roman"/>
          <w:sz w:val="20"/>
          <w:szCs w:val="20"/>
        </w:rPr>
        <w:t>Clinefelter</w:t>
      </w:r>
      <w:proofErr w:type="spellEnd"/>
      <w:r w:rsidRPr="00F763D4">
        <w:rPr>
          <w:rFonts w:ascii="Times" w:eastAsia="Times New Roman" w:hAnsi="Times" w:cs="Times New Roman"/>
          <w:sz w:val="20"/>
          <w:szCs w:val="20"/>
        </w:rPr>
        <w:t xml:space="preserve">, D. L. (2012). </w:t>
      </w:r>
      <w:hyperlink r:id="rId27" w:history="1">
        <w:r w:rsidRPr="00F763D4">
          <w:rPr>
            <w:rFonts w:ascii="Times" w:eastAsia="Times New Roman" w:hAnsi="Times" w:cs="Times New Roman"/>
            <w:color w:val="0000FF"/>
            <w:sz w:val="20"/>
            <w:szCs w:val="20"/>
            <w:u w:val="single"/>
          </w:rPr>
          <w:t>Online college students 2012: Comprehensive data on demands and preferences</w:t>
        </w:r>
      </w:hyperlink>
      <w:r w:rsidRPr="00F763D4">
        <w:rPr>
          <w:rFonts w:ascii="Times" w:eastAsia="Times New Roman" w:hAnsi="Times" w:cs="Times New Roman"/>
          <w:sz w:val="20"/>
          <w:szCs w:val="20"/>
        </w:rPr>
        <w:t>. Louisville, KY: The Learning House, Inc.</w:t>
      </w:r>
    </w:p>
    <w:p w14:paraId="7AE5E1C9"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lastRenderedPageBreak/>
        <w:t>Bransford, J. D., Brown, A., &amp; Cocking, R. (Eds.). (1999). How people learn: Mind brain, experience and school. Washington, DC: National Academy Press.</w:t>
      </w:r>
    </w:p>
    <w:p w14:paraId="6013C37F"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Caulfield, J. (2011). How to Design and Teach a Hybrid Course. Sterling, VA: Stylus Publishing.</w:t>
      </w:r>
    </w:p>
    <w:p w14:paraId="713FBEAB"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 xml:space="preserve">Chickering, A. W. </w:t>
      </w:r>
      <w:proofErr w:type="gramStart"/>
      <w:r w:rsidRPr="00F763D4">
        <w:rPr>
          <w:rFonts w:ascii="Times" w:eastAsia="Times New Roman" w:hAnsi="Times" w:cs="Times New Roman"/>
          <w:sz w:val="20"/>
          <w:szCs w:val="20"/>
        </w:rPr>
        <w:t xml:space="preserve">&amp;  </w:t>
      </w:r>
      <w:proofErr w:type="spellStart"/>
      <w:r w:rsidRPr="00F763D4">
        <w:rPr>
          <w:rFonts w:ascii="Times" w:eastAsia="Times New Roman" w:hAnsi="Times" w:cs="Times New Roman"/>
          <w:sz w:val="20"/>
          <w:szCs w:val="20"/>
        </w:rPr>
        <w:t>Ehrmann</w:t>
      </w:r>
      <w:proofErr w:type="spellEnd"/>
      <w:proofErr w:type="gramEnd"/>
      <w:r w:rsidRPr="00F763D4">
        <w:rPr>
          <w:rFonts w:ascii="Times" w:eastAsia="Times New Roman" w:hAnsi="Times" w:cs="Times New Roman"/>
          <w:sz w:val="20"/>
          <w:szCs w:val="20"/>
        </w:rPr>
        <w:t xml:space="preserve">, S. C. (1996). </w:t>
      </w:r>
      <w:hyperlink r:id="rId28" w:history="1">
        <w:r w:rsidRPr="00F763D4">
          <w:rPr>
            <w:rFonts w:ascii="Times" w:eastAsia="Times New Roman" w:hAnsi="Times" w:cs="Times New Roman"/>
            <w:color w:val="0000FF"/>
            <w:sz w:val="20"/>
            <w:szCs w:val="20"/>
            <w:u w:val="single"/>
          </w:rPr>
          <w:t>Implementing the Seven Principles: Technology as Lever.</w:t>
        </w:r>
      </w:hyperlink>
      <w:r w:rsidRPr="00F763D4">
        <w:rPr>
          <w:rFonts w:ascii="Times" w:eastAsia="Times New Roman" w:hAnsi="Times" w:cs="Times New Roman"/>
          <w:sz w:val="20"/>
          <w:szCs w:val="20"/>
        </w:rPr>
        <w:t xml:space="preserve"> AAHE Bulletin, 49(1-10), 3-6.</w:t>
      </w:r>
    </w:p>
    <w:p w14:paraId="358296AA"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proofErr w:type="spellStart"/>
      <w:r w:rsidRPr="00F763D4">
        <w:rPr>
          <w:rFonts w:ascii="Times" w:eastAsia="Times New Roman" w:hAnsi="Times" w:cs="Times New Roman"/>
          <w:sz w:val="20"/>
          <w:szCs w:val="20"/>
        </w:rPr>
        <w:t>Froyd</w:t>
      </w:r>
      <w:proofErr w:type="spellEnd"/>
      <w:r w:rsidRPr="00F763D4">
        <w:rPr>
          <w:rFonts w:ascii="Times" w:eastAsia="Times New Roman" w:hAnsi="Times" w:cs="Times New Roman"/>
          <w:sz w:val="20"/>
          <w:szCs w:val="20"/>
        </w:rPr>
        <w:t xml:space="preserve">, J. (2008, June). </w:t>
      </w:r>
      <w:hyperlink r:id="rId29" w:history="1">
        <w:r w:rsidRPr="00F763D4">
          <w:rPr>
            <w:rFonts w:ascii="Times" w:eastAsia="Times New Roman" w:hAnsi="Times" w:cs="Times New Roman"/>
            <w:color w:val="0000FF"/>
            <w:sz w:val="20"/>
            <w:szCs w:val="20"/>
            <w:u w:val="single"/>
          </w:rPr>
          <w:t>White paper on promising practices in undergraduate STEM education.</w:t>
        </w:r>
      </w:hyperlink>
    </w:p>
    <w:p w14:paraId="6DDACB00"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Paper presented at the National Research Council’s Workshop Linking Evidence to Promising Practices in STEM Undergraduate Education, Washington, DC.</w:t>
      </w:r>
    </w:p>
    <w:p w14:paraId="7DAAB7A2"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Garrison, D. R., &amp; Vaughan, N. D. (2008) Blended learning in higher education: Framework, principles, and guidelines. San Francisco, CA: Jossey-Bass.</w:t>
      </w:r>
    </w:p>
    <w:p w14:paraId="1953ACC7"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Garrison, R., Anderson, T., &amp; Archer, W. (2001). Critical thinking, cognitive presence, and computer conferencing in distance education. American Journal of Distance Education, 15(1), 87-105.</w:t>
      </w:r>
    </w:p>
    <w:p w14:paraId="3A180990"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Jiang, M. &amp; Ting, E. (2000). A study of factors influencing students’ perceived learning in a web-based course environment. International Journal of Educational Telecommunications 6(4), 317-338.</w:t>
      </w:r>
    </w:p>
    <w:p w14:paraId="4733A6CA"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proofErr w:type="spellStart"/>
      <w:r w:rsidRPr="00F763D4">
        <w:rPr>
          <w:rFonts w:ascii="Times" w:eastAsia="Times New Roman" w:hAnsi="Times" w:cs="Times New Roman"/>
          <w:sz w:val="20"/>
          <w:szCs w:val="20"/>
        </w:rPr>
        <w:t>Kapus</w:t>
      </w:r>
      <w:proofErr w:type="spellEnd"/>
      <w:r w:rsidRPr="00F763D4">
        <w:rPr>
          <w:rFonts w:ascii="Times" w:eastAsia="Times New Roman" w:hAnsi="Times" w:cs="Times New Roman"/>
          <w:sz w:val="20"/>
          <w:szCs w:val="20"/>
        </w:rPr>
        <w:t xml:space="preserve">, J. (2010, June 25). </w:t>
      </w:r>
      <w:hyperlink r:id="rId30" w:history="1">
        <w:r w:rsidRPr="00F763D4">
          <w:rPr>
            <w:rFonts w:ascii="Times" w:eastAsia="Times New Roman" w:hAnsi="Times" w:cs="Times New Roman"/>
            <w:color w:val="0000FF"/>
            <w:sz w:val="20"/>
            <w:szCs w:val="20"/>
            <w:u w:val="single"/>
          </w:rPr>
          <w:t>Five quick tips for using streaming media in your blended or online courses</w:t>
        </w:r>
      </w:hyperlink>
      <w:r w:rsidRPr="00F763D4">
        <w:rPr>
          <w:rFonts w:ascii="Times" w:eastAsia="Times New Roman" w:hAnsi="Times" w:cs="Times New Roman"/>
          <w:sz w:val="20"/>
          <w:szCs w:val="20"/>
        </w:rPr>
        <w:t>.</w:t>
      </w:r>
    </w:p>
    <w:p w14:paraId="2392662E"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Karpicke, J. D. &amp; Blunt, J. R. (2011). Retrieval practice produces more learning than elaborative studying with concept mapping. Science, 331(6018), 772-775.</w:t>
      </w:r>
    </w:p>
    <w:p w14:paraId="4266C189"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Karpicke, J. D. &amp; Roediger, H. L. (2008). The critical importance of retrieval for learning. Science, 319(5865), 966-968.</w:t>
      </w:r>
    </w:p>
    <w:p w14:paraId="7B1B81E7"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proofErr w:type="spellStart"/>
      <w:r w:rsidRPr="00F763D4">
        <w:rPr>
          <w:rFonts w:ascii="Times" w:eastAsia="Times New Roman" w:hAnsi="Times" w:cs="Times New Roman"/>
          <w:sz w:val="20"/>
          <w:szCs w:val="20"/>
        </w:rPr>
        <w:t>Kassop</w:t>
      </w:r>
      <w:proofErr w:type="spellEnd"/>
      <w:r w:rsidRPr="00F763D4">
        <w:rPr>
          <w:rFonts w:ascii="Times" w:eastAsia="Times New Roman" w:hAnsi="Times" w:cs="Times New Roman"/>
          <w:sz w:val="20"/>
          <w:szCs w:val="20"/>
        </w:rPr>
        <w:t xml:space="preserve">, M. (2003). </w:t>
      </w:r>
      <w:hyperlink r:id="rId31" w:history="1">
        <w:r w:rsidRPr="00F763D4">
          <w:rPr>
            <w:rFonts w:ascii="Times" w:eastAsia="Times New Roman" w:hAnsi="Times" w:cs="Times New Roman"/>
            <w:color w:val="0000FF"/>
            <w:sz w:val="20"/>
            <w:szCs w:val="20"/>
            <w:u w:val="single"/>
          </w:rPr>
          <w:t>Ten ways online education matches, or surpasses, face-to-face Learning.</w:t>
        </w:r>
      </w:hyperlink>
    </w:p>
    <w:p w14:paraId="695372A7"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Mayer R. E. (2001). Multimedia Learning. New York: Cambridge University Press.</w:t>
      </w:r>
    </w:p>
    <w:p w14:paraId="416254B3"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 xml:space="preserve">Means, B., Toyama, Y., Murphy, R., </w:t>
      </w:r>
      <w:proofErr w:type="spellStart"/>
      <w:r w:rsidRPr="00F763D4">
        <w:rPr>
          <w:rFonts w:ascii="Times" w:eastAsia="Times New Roman" w:hAnsi="Times" w:cs="Times New Roman"/>
          <w:sz w:val="20"/>
          <w:szCs w:val="20"/>
        </w:rPr>
        <w:t>Bakia</w:t>
      </w:r>
      <w:proofErr w:type="spellEnd"/>
      <w:r w:rsidRPr="00F763D4">
        <w:rPr>
          <w:rFonts w:ascii="Times" w:eastAsia="Times New Roman" w:hAnsi="Times" w:cs="Times New Roman"/>
          <w:sz w:val="20"/>
          <w:szCs w:val="20"/>
        </w:rPr>
        <w:t xml:space="preserve">, M., and Jones, K. (2010). </w:t>
      </w:r>
      <w:hyperlink r:id="rId32" w:history="1">
        <w:r w:rsidRPr="00F763D4">
          <w:rPr>
            <w:rFonts w:ascii="Times" w:eastAsia="Times New Roman" w:hAnsi="Times" w:cs="Times New Roman"/>
            <w:color w:val="0000FF"/>
            <w:sz w:val="20"/>
            <w:szCs w:val="20"/>
            <w:u w:val="single"/>
          </w:rPr>
          <w:t>Evaluation of Evidence-</w:t>
        </w:r>
      </w:hyperlink>
    </w:p>
    <w:p w14:paraId="74581D4F" w14:textId="77777777" w:rsidR="00F763D4" w:rsidRPr="00F763D4" w:rsidRDefault="003770B2" w:rsidP="00F763D4">
      <w:pPr>
        <w:numPr>
          <w:ilvl w:val="0"/>
          <w:numId w:val="21"/>
        </w:numPr>
        <w:spacing w:before="100" w:beforeAutospacing="1" w:after="100" w:afterAutospacing="1"/>
        <w:rPr>
          <w:rFonts w:ascii="Times" w:eastAsia="Times New Roman" w:hAnsi="Times" w:cs="Times New Roman"/>
          <w:sz w:val="20"/>
          <w:szCs w:val="20"/>
        </w:rPr>
      </w:pPr>
      <w:hyperlink r:id="rId33" w:history="1">
        <w:r w:rsidR="00F763D4" w:rsidRPr="00F763D4">
          <w:rPr>
            <w:rFonts w:ascii="Times" w:eastAsia="Times New Roman" w:hAnsi="Times" w:cs="Times New Roman"/>
            <w:color w:val="0000FF"/>
            <w:sz w:val="20"/>
            <w:szCs w:val="20"/>
            <w:u w:val="single"/>
          </w:rPr>
          <w:t>Based Practices in Online Learning: A Meta-Analysis and Review of Online Learning Studies</w:t>
        </w:r>
      </w:hyperlink>
      <w:r w:rsidR="00F763D4" w:rsidRPr="00F763D4">
        <w:rPr>
          <w:rFonts w:ascii="Times" w:eastAsia="Times New Roman" w:hAnsi="Times" w:cs="Times New Roman"/>
          <w:sz w:val="20"/>
          <w:szCs w:val="20"/>
        </w:rPr>
        <w:t>. US Department of Education. Office of Planning, Evaluation, and Policy Development. Policy and Program Studies Service. ED-04-CO-0040</w:t>
      </w:r>
    </w:p>
    <w:p w14:paraId="73694812"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proofErr w:type="spellStart"/>
      <w:r w:rsidRPr="00F763D4">
        <w:rPr>
          <w:rFonts w:ascii="Times" w:eastAsia="Times New Roman" w:hAnsi="Times" w:cs="Times New Roman"/>
          <w:sz w:val="20"/>
          <w:szCs w:val="20"/>
        </w:rPr>
        <w:t>Palloff</w:t>
      </w:r>
      <w:proofErr w:type="spellEnd"/>
      <w:r w:rsidRPr="00F763D4">
        <w:rPr>
          <w:rFonts w:ascii="Times" w:eastAsia="Times New Roman" w:hAnsi="Times" w:cs="Times New Roman"/>
          <w:sz w:val="20"/>
          <w:szCs w:val="20"/>
        </w:rPr>
        <w:t>, R. M. &amp; Pratt, K. (2013). Lessons from the Virtual Classroom (2</w:t>
      </w:r>
      <w:r w:rsidRPr="00F763D4">
        <w:rPr>
          <w:rFonts w:ascii="Times" w:eastAsia="Times New Roman" w:hAnsi="Times" w:cs="Times New Roman"/>
          <w:sz w:val="20"/>
          <w:szCs w:val="20"/>
          <w:vertAlign w:val="superscript"/>
        </w:rPr>
        <w:t>nd</w:t>
      </w:r>
      <w:r w:rsidRPr="00F763D4">
        <w:rPr>
          <w:rFonts w:ascii="Times" w:eastAsia="Times New Roman" w:hAnsi="Times" w:cs="Times New Roman"/>
          <w:sz w:val="20"/>
          <w:szCs w:val="20"/>
        </w:rPr>
        <w:t xml:space="preserve"> Ed). San Francisco, CA: Jossey-Bass.</w:t>
      </w:r>
    </w:p>
    <w:p w14:paraId="28FEDBCB"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proofErr w:type="spellStart"/>
      <w:r w:rsidRPr="00F763D4">
        <w:rPr>
          <w:rFonts w:ascii="Times" w:eastAsia="Times New Roman" w:hAnsi="Times" w:cs="Times New Roman"/>
          <w:sz w:val="20"/>
          <w:szCs w:val="20"/>
        </w:rPr>
        <w:t>Savery</w:t>
      </w:r>
      <w:proofErr w:type="spellEnd"/>
      <w:r w:rsidRPr="00F763D4">
        <w:rPr>
          <w:rFonts w:ascii="Times" w:eastAsia="Times New Roman" w:hAnsi="Times" w:cs="Times New Roman"/>
          <w:sz w:val="20"/>
          <w:szCs w:val="20"/>
        </w:rPr>
        <w:t xml:space="preserve">, J. R. (2005). </w:t>
      </w:r>
      <w:hyperlink r:id="rId34" w:history="1">
        <w:r w:rsidRPr="00F763D4">
          <w:rPr>
            <w:rFonts w:ascii="Times" w:eastAsia="Times New Roman" w:hAnsi="Times" w:cs="Times New Roman"/>
            <w:color w:val="0000FF"/>
            <w:sz w:val="20"/>
            <w:szCs w:val="20"/>
            <w:u w:val="single"/>
          </w:rPr>
          <w:t>BE VOCAL: Characteristics of Successful Online Instructors</w:t>
        </w:r>
      </w:hyperlink>
      <w:r w:rsidRPr="00F763D4">
        <w:rPr>
          <w:rFonts w:ascii="Times" w:eastAsia="Times New Roman" w:hAnsi="Times" w:cs="Times New Roman"/>
          <w:sz w:val="20"/>
          <w:szCs w:val="20"/>
        </w:rPr>
        <w:t>. Journal of Interactive Online Learning, 4(2). Retrieved from:</w:t>
      </w:r>
    </w:p>
    <w:p w14:paraId="5442BAF5"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 xml:space="preserve">Shea, P. J., </w:t>
      </w:r>
      <w:proofErr w:type="spellStart"/>
      <w:r w:rsidRPr="00F763D4">
        <w:rPr>
          <w:rFonts w:ascii="Times" w:eastAsia="Times New Roman" w:hAnsi="Times" w:cs="Times New Roman"/>
          <w:sz w:val="20"/>
          <w:szCs w:val="20"/>
        </w:rPr>
        <w:t>Fredericksen</w:t>
      </w:r>
      <w:proofErr w:type="spellEnd"/>
      <w:r w:rsidRPr="00F763D4">
        <w:rPr>
          <w:rFonts w:ascii="Times" w:eastAsia="Times New Roman" w:hAnsi="Times" w:cs="Times New Roman"/>
          <w:sz w:val="20"/>
          <w:szCs w:val="20"/>
        </w:rPr>
        <w:t xml:space="preserve">, E. E., Pickett, A. M. &amp; </w:t>
      </w:r>
      <w:proofErr w:type="spellStart"/>
      <w:r w:rsidRPr="00F763D4">
        <w:rPr>
          <w:rFonts w:ascii="Times" w:eastAsia="Times New Roman" w:hAnsi="Times" w:cs="Times New Roman"/>
          <w:sz w:val="20"/>
          <w:szCs w:val="20"/>
        </w:rPr>
        <w:t>Pelz</w:t>
      </w:r>
      <w:proofErr w:type="spellEnd"/>
      <w:r w:rsidRPr="00F763D4">
        <w:rPr>
          <w:rFonts w:ascii="Times" w:eastAsia="Times New Roman" w:hAnsi="Times" w:cs="Times New Roman"/>
          <w:sz w:val="20"/>
          <w:szCs w:val="20"/>
        </w:rPr>
        <w:t xml:space="preserve">, W. E. (2003). </w:t>
      </w:r>
      <w:hyperlink r:id="rId35" w:history="1">
        <w:r w:rsidRPr="00F763D4">
          <w:rPr>
            <w:rFonts w:ascii="Times" w:eastAsia="Times New Roman" w:hAnsi="Times" w:cs="Times New Roman"/>
            <w:color w:val="0000FF"/>
            <w:sz w:val="20"/>
            <w:szCs w:val="20"/>
            <w:u w:val="single"/>
          </w:rPr>
          <w:t>A preliminary investigation of “teaching presence” in the SUNY Learning Network</w:t>
        </w:r>
      </w:hyperlink>
      <w:r w:rsidRPr="00F763D4">
        <w:rPr>
          <w:rFonts w:ascii="Times" w:eastAsia="Times New Roman" w:hAnsi="Times" w:cs="Times New Roman"/>
          <w:sz w:val="20"/>
          <w:szCs w:val="20"/>
        </w:rPr>
        <w:t>. In J. Bourne &amp; J. C. Moore (Eds.) Elements of Quality Online Education: Practice and Direction. Needham, MA: Sloan Center for Online Education, 279-312.</w:t>
      </w:r>
    </w:p>
    <w:p w14:paraId="1F0B3C65"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 xml:space="preserve">Shea, P. J., Pickett, A. M. &amp; </w:t>
      </w:r>
      <w:proofErr w:type="spellStart"/>
      <w:r w:rsidRPr="00F763D4">
        <w:rPr>
          <w:rFonts w:ascii="Times" w:eastAsia="Times New Roman" w:hAnsi="Times" w:cs="Times New Roman"/>
          <w:sz w:val="20"/>
          <w:szCs w:val="20"/>
        </w:rPr>
        <w:t>Pelz</w:t>
      </w:r>
      <w:proofErr w:type="spellEnd"/>
      <w:r w:rsidRPr="00F763D4">
        <w:rPr>
          <w:rFonts w:ascii="Times" w:eastAsia="Times New Roman" w:hAnsi="Times" w:cs="Times New Roman"/>
          <w:sz w:val="20"/>
          <w:szCs w:val="20"/>
        </w:rPr>
        <w:t xml:space="preserve">, W. E. (2003). </w:t>
      </w:r>
      <w:hyperlink r:id="rId36" w:history="1">
        <w:r w:rsidRPr="00F763D4">
          <w:rPr>
            <w:rFonts w:ascii="Times" w:eastAsia="Times New Roman" w:hAnsi="Times" w:cs="Times New Roman"/>
            <w:color w:val="0000FF"/>
            <w:sz w:val="20"/>
            <w:szCs w:val="20"/>
            <w:u w:val="single"/>
          </w:rPr>
          <w:t>A follow-up investigation of “teaching presence” in the SUNY Learning Network.</w:t>
        </w:r>
      </w:hyperlink>
      <w:r w:rsidRPr="00F763D4">
        <w:rPr>
          <w:rFonts w:ascii="Times" w:eastAsia="Times New Roman" w:hAnsi="Times" w:cs="Times New Roman"/>
          <w:sz w:val="20"/>
          <w:szCs w:val="20"/>
        </w:rPr>
        <w:t xml:space="preserve"> Journal of Asynchronous Learning Networks, 7(2), 61-80.</w:t>
      </w:r>
    </w:p>
    <w:p w14:paraId="0D18BE0B"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Schutte, J. (1996). Virtual teaching in higher education. Retrieved from</w:t>
      </w:r>
      <w:hyperlink r:id="rId37" w:history="1">
        <w:r w:rsidRPr="00F763D4">
          <w:rPr>
            <w:rFonts w:ascii="Times" w:eastAsia="Times New Roman" w:hAnsi="Times" w:cs="Times New Roman"/>
            <w:color w:val="0000FF"/>
            <w:sz w:val="20"/>
            <w:szCs w:val="20"/>
            <w:u w:val="single"/>
          </w:rPr>
          <w:t xml:space="preserve"> http://media.sabda.org/alkitab-1/Pdfs/Schutte-VirtualTeachinginHigherEd.pdf</w:t>
        </w:r>
      </w:hyperlink>
    </w:p>
    <w:p w14:paraId="093F6D30"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Smith, R. (2008). Conquering the content: A step-by-step guide to online course design. San Francisco: Jossey-Bass.</w:t>
      </w:r>
    </w:p>
    <w:p w14:paraId="614C7EF6"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 xml:space="preserve">Tanner, Kimberly D.  (2012). </w:t>
      </w:r>
      <w:hyperlink r:id="rId38" w:history="1">
        <w:r w:rsidRPr="00F763D4">
          <w:rPr>
            <w:rFonts w:ascii="Times" w:eastAsia="Times New Roman" w:hAnsi="Times" w:cs="Times New Roman"/>
            <w:color w:val="0000FF"/>
            <w:sz w:val="20"/>
            <w:szCs w:val="20"/>
            <w:u w:val="single"/>
          </w:rPr>
          <w:t>Promoting student metacognition</w:t>
        </w:r>
      </w:hyperlink>
      <w:r w:rsidRPr="00F763D4">
        <w:rPr>
          <w:rFonts w:ascii="Times" w:eastAsia="Times New Roman" w:hAnsi="Times" w:cs="Times New Roman"/>
          <w:sz w:val="20"/>
          <w:szCs w:val="20"/>
        </w:rPr>
        <w:t>. CBE—Life Sciences Education, 11, 113-120.Thalheimer, W. (2008). Providing learners with feedback, part 1: Research based recommendations for training, education, and e-learning.</w:t>
      </w:r>
    </w:p>
    <w:p w14:paraId="4EAF89DE" w14:textId="77777777" w:rsidR="00F763D4" w:rsidRPr="00F763D4" w:rsidRDefault="00F763D4" w:rsidP="00F763D4">
      <w:pPr>
        <w:numPr>
          <w:ilvl w:val="0"/>
          <w:numId w:val="21"/>
        </w:numPr>
        <w:spacing w:before="100" w:beforeAutospacing="1" w:after="100" w:afterAutospacing="1"/>
        <w:rPr>
          <w:rFonts w:ascii="Times" w:eastAsia="Times New Roman" w:hAnsi="Times" w:cs="Times New Roman"/>
          <w:sz w:val="20"/>
          <w:szCs w:val="20"/>
        </w:rPr>
      </w:pPr>
      <w:r w:rsidRPr="00F763D4">
        <w:rPr>
          <w:rFonts w:ascii="Times" w:eastAsia="Times New Roman" w:hAnsi="Times" w:cs="Times New Roman"/>
          <w:sz w:val="20"/>
          <w:szCs w:val="20"/>
        </w:rPr>
        <w:t xml:space="preserve">Woo, Y., Herrington, J., </w:t>
      </w:r>
      <w:proofErr w:type="spellStart"/>
      <w:r w:rsidRPr="00F763D4">
        <w:rPr>
          <w:rFonts w:ascii="Times" w:eastAsia="Times New Roman" w:hAnsi="Times" w:cs="Times New Roman"/>
          <w:sz w:val="20"/>
          <w:szCs w:val="20"/>
        </w:rPr>
        <w:t>Agopstinho</w:t>
      </w:r>
      <w:proofErr w:type="spellEnd"/>
      <w:r w:rsidRPr="00F763D4">
        <w:rPr>
          <w:rFonts w:ascii="Times" w:eastAsia="Times New Roman" w:hAnsi="Times" w:cs="Times New Roman"/>
          <w:sz w:val="20"/>
          <w:szCs w:val="20"/>
        </w:rPr>
        <w:t xml:space="preserve">, S., and Reeves, T.C. (2007). </w:t>
      </w:r>
      <w:hyperlink r:id="rId39" w:history="1">
        <w:r w:rsidRPr="00F763D4">
          <w:rPr>
            <w:rFonts w:ascii="Times" w:eastAsia="Times New Roman" w:hAnsi="Times" w:cs="Times New Roman"/>
            <w:color w:val="0000FF"/>
            <w:sz w:val="20"/>
            <w:szCs w:val="20"/>
            <w:u w:val="single"/>
          </w:rPr>
          <w:t>Implementing authentic tasks in web-based learning environments.</w:t>
        </w:r>
      </w:hyperlink>
      <w:r w:rsidRPr="00F763D4">
        <w:rPr>
          <w:rFonts w:ascii="Times" w:eastAsia="Times New Roman" w:hAnsi="Times" w:cs="Times New Roman"/>
          <w:sz w:val="20"/>
          <w:szCs w:val="20"/>
        </w:rPr>
        <w:t xml:space="preserve"> Educause Quarterly 3, 36-43.</w:t>
      </w:r>
    </w:p>
    <w:p w14:paraId="2D245BB1" w14:textId="77777777" w:rsidR="003770B2" w:rsidRPr="003770B2" w:rsidRDefault="003770B2" w:rsidP="003770B2">
      <w:pPr>
        <w:shd w:val="clear" w:color="auto" w:fill="FFFFFF"/>
        <w:spacing w:before="225" w:after="225" w:line="408" w:lineRule="atLeast"/>
        <w:ind w:left="360"/>
        <w:jc w:val="center"/>
        <w:rPr>
          <w:rFonts w:ascii="Roboto" w:eastAsia="Times New Roman" w:hAnsi="Roboto" w:cs="Times New Roman"/>
          <w:color w:val="222222"/>
        </w:rPr>
      </w:pPr>
      <w:r w:rsidRPr="0099163E">
        <w:rPr>
          <w:noProof/>
        </w:rPr>
        <w:drawing>
          <wp:inline distT="0" distB="0" distL="0" distR="0" wp14:anchorId="66DE731C" wp14:editId="7EF2E2E4">
            <wp:extent cx="1016000" cy="193040"/>
            <wp:effectExtent l="0" t="0" r="0" b="0"/>
            <wp:docPr id="8" name="Picture 8" descr="Creative Commons Licens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6000" cy="193040"/>
                    </a:xfrm>
                    <a:prstGeom prst="rect">
                      <a:avLst/>
                    </a:prstGeom>
                    <a:noFill/>
                    <a:ln>
                      <a:noFill/>
                    </a:ln>
                  </pic:spPr>
                </pic:pic>
              </a:graphicData>
            </a:graphic>
          </wp:inline>
        </w:drawing>
      </w:r>
      <w:r w:rsidRPr="003770B2">
        <w:rPr>
          <w:rFonts w:ascii="Roboto" w:eastAsia="Times New Roman" w:hAnsi="Roboto" w:cs="Times New Roman"/>
          <w:color w:val="222222"/>
        </w:rPr>
        <w:br/>
        <w:t>This teaching guide is licensed under a </w:t>
      </w:r>
      <w:hyperlink r:id="rId42" w:history="1">
        <w:r w:rsidRPr="003770B2">
          <w:rPr>
            <w:rFonts w:ascii="Roboto" w:eastAsia="Times New Roman" w:hAnsi="Roboto" w:cs="Times New Roman"/>
            <w:color w:val="006682"/>
            <w:u w:val="single"/>
          </w:rPr>
          <w:t>Creative Commons Attribution-</w:t>
        </w:r>
        <w:proofErr w:type="spellStart"/>
        <w:r w:rsidRPr="003770B2">
          <w:rPr>
            <w:rFonts w:ascii="Roboto" w:eastAsia="Times New Roman" w:hAnsi="Roboto" w:cs="Times New Roman"/>
            <w:color w:val="006682"/>
            <w:u w:val="single"/>
          </w:rPr>
          <w:t>NonCommercial</w:t>
        </w:r>
        <w:proofErr w:type="spellEnd"/>
        <w:r w:rsidRPr="003770B2">
          <w:rPr>
            <w:rFonts w:ascii="Roboto" w:eastAsia="Times New Roman" w:hAnsi="Roboto" w:cs="Times New Roman"/>
            <w:color w:val="006682"/>
            <w:u w:val="single"/>
          </w:rPr>
          <w:t xml:space="preserve"> 4.0 International License</w:t>
        </w:r>
      </w:hyperlink>
      <w:r w:rsidRPr="003770B2">
        <w:rPr>
          <w:rFonts w:ascii="Roboto" w:eastAsia="Times New Roman" w:hAnsi="Roboto" w:cs="Times New Roman"/>
          <w:color w:val="222222"/>
        </w:rPr>
        <w:t>.</w:t>
      </w:r>
    </w:p>
    <w:p w14:paraId="557C07E7" w14:textId="77777777" w:rsidR="000C22FC" w:rsidRDefault="000C22FC" w:rsidP="00F763D4"/>
    <w:sectPr w:rsidR="000C22FC" w:rsidSect="009C78B7">
      <w:pgSz w:w="12240" w:h="15840"/>
      <w:pgMar w:top="720" w:right="180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926"/>
    <w:multiLevelType w:val="multilevel"/>
    <w:tmpl w:val="D6B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E1557"/>
    <w:multiLevelType w:val="multilevel"/>
    <w:tmpl w:val="D6D44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A76D4"/>
    <w:multiLevelType w:val="multilevel"/>
    <w:tmpl w:val="E86E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54DA1"/>
    <w:multiLevelType w:val="multilevel"/>
    <w:tmpl w:val="BAF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63E08"/>
    <w:multiLevelType w:val="multilevel"/>
    <w:tmpl w:val="161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61CC5"/>
    <w:multiLevelType w:val="multilevel"/>
    <w:tmpl w:val="BCF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D2194"/>
    <w:multiLevelType w:val="multilevel"/>
    <w:tmpl w:val="EADC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23BDE"/>
    <w:multiLevelType w:val="multilevel"/>
    <w:tmpl w:val="CDD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857B0"/>
    <w:multiLevelType w:val="multilevel"/>
    <w:tmpl w:val="61E6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F2081"/>
    <w:multiLevelType w:val="multilevel"/>
    <w:tmpl w:val="55307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C4230"/>
    <w:multiLevelType w:val="multilevel"/>
    <w:tmpl w:val="D050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729E0"/>
    <w:multiLevelType w:val="multilevel"/>
    <w:tmpl w:val="4F70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D2B1C"/>
    <w:multiLevelType w:val="multilevel"/>
    <w:tmpl w:val="F7B2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05AB7"/>
    <w:multiLevelType w:val="multilevel"/>
    <w:tmpl w:val="BFB4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D221A"/>
    <w:multiLevelType w:val="multilevel"/>
    <w:tmpl w:val="F204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30A19"/>
    <w:multiLevelType w:val="multilevel"/>
    <w:tmpl w:val="1E3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92ADF"/>
    <w:multiLevelType w:val="multilevel"/>
    <w:tmpl w:val="F31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83248"/>
    <w:multiLevelType w:val="multilevel"/>
    <w:tmpl w:val="620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E4CEF"/>
    <w:multiLevelType w:val="multilevel"/>
    <w:tmpl w:val="4F22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91D5A"/>
    <w:multiLevelType w:val="multilevel"/>
    <w:tmpl w:val="5396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045E1"/>
    <w:multiLevelType w:val="multilevel"/>
    <w:tmpl w:val="0EC6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2"/>
  </w:num>
  <w:num w:numId="4">
    <w:abstractNumId w:val="20"/>
  </w:num>
  <w:num w:numId="5">
    <w:abstractNumId w:val="11"/>
  </w:num>
  <w:num w:numId="6">
    <w:abstractNumId w:val="16"/>
  </w:num>
  <w:num w:numId="7">
    <w:abstractNumId w:val="12"/>
  </w:num>
  <w:num w:numId="8">
    <w:abstractNumId w:val="9"/>
  </w:num>
  <w:num w:numId="9">
    <w:abstractNumId w:val="7"/>
  </w:num>
  <w:num w:numId="10">
    <w:abstractNumId w:val="15"/>
  </w:num>
  <w:num w:numId="11">
    <w:abstractNumId w:val="4"/>
  </w:num>
  <w:num w:numId="12">
    <w:abstractNumId w:val="0"/>
  </w:num>
  <w:num w:numId="13">
    <w:abstractNumId w:val="1"/>
  </w:num>
  <w:num w:numId="14">
    <w:abstractNumId w:val="17"/>
  </w:num>
  <w:num w:numId="15">
    <w:abstractNumId w:val="8"/>
  </w:num>
  <w:num w:numId="16">
    <w:abstractNumId w:val="5"/>
  </w:num>
  <w:num w:numId="17">
    <w:abstractNumId w:val="6"/>
  </w:num>
  <w:num w:numId="18">
    <w:abstractNumId w:val="14"/>
  </w:num>
  <w:num w:numId="19">
    <w:abstractNumId w:val="1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3D4"/>
    <w:rsid w:val="000C22FC"/>
    <w:rsid w:val="003770B2"/>
    <w:rsid w:val="009C78B7"/>
    <w:rsid w:val="00C9720B"/>
    <w:rsid w:val="00F76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93362"/>
  <w14:defaultImageDpi w14:val="300"/>
  <w15:docId w15:val="{F13EA73D-4EB9-1840-8896-5DEF50F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63D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763D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763D4"/>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F763D4"/>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F763D4"/>
    <w:rPr>
      <w:rFonts w:ascii="Times" w:hAnsi="Times"/>
      <w:b/>
      <w:bCs/>
      <w:kern w:val="36"/>
      <w:sz w:val="48"/>
      <w:szCs w:val="48"/>
    </w:rPr>
  </w:style>
  <w:style w:type="character" w:customStyle="1" w:styleId="Heading2Char">
    <w:name w:val="Heading 2 Char"/>
    <w:basedOn w:val="DefaultParagraphFont"/>
    <w:link w:val="Heading2"/>
    <w:uiPriority w:val="9"/>
    <w:rsid w:val="00F763D4"/>
    <w:rPr>
      <w:rFonts w:ascii="Times" w:hAnsi="Times"/>
      <w:b/>
      <w:bCs/>
      <w:sz w:val="36"/>
      <w:szCs w:val="36"/>
    </w:rPr>
  </w:style>
  <w:style w:type="character" w:customStyle="1" w:styleId="Heading3Char">
    <w:name w:val="Heading 3 Char"/>
    <w:basedOn w:val="DefaultParagraphFont"/>
    <w:link w:val="Heading3"/>
    <w:uiPriority w:val="9"/>
    <w:rsid w:val="00F763D4"/>
    <w:rPr>
      <w:rFonts w:ascii="Times" w:hAnsi="Times"/>
      <w:b/>
      <w:bCs/>
      <w:sz w:val="27"/>
      <w:szCs w:val="27"/>
    </w:rPr>
  </w:style>
  <w:style w:type="character" w:customStyle="1" w:styleId="Heading6Char">
    <w:name w:val="Heading 6 Char"/>
    <w:basedOn w:val="DefaultParagraphFont"/>
    <w:link w:val="Heading6"/>
    <w:uiPriority w:val="9"/>
    <w:rsid w:val="00F763D4"/>
    <w:rPr>
      <w:rFonts w:ascii="Times" w:hAnsi="Times"/>
      <w:b/>
      <w:bCs/>
      <w:sz w:val="15"/>
      <w:szCs w:val="15"/>
    </w:rPr>
  </w:style>
  <w:style w:type="character" w:styleId="Emphasis">
    <w:name w:val="Emphasis"/>
    <w:basedOn w:val="DefaultParagraphFont"/>
    <w:uiPriority w:val="20"/>
    <w:qFormat/>
    <w:rsid w:val="00F763D4"/>
    <w:rPr>
      <w:i/>
      <w:iCs/>
    </w:rPr>
  </w:style>
  <w:style w:type="paragraph" w:styleId="NormalWeb">
    <w:name w:val="Normal (Web)"/>
    <w:basedOn w:val="Normal"/>
    <w:uiPriority w:val="99"/>
    <w:unhideWhenUsed/>
    <w:rsid w:val="00F763D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63D4"/>
    <w:rPr>
      <w:b/>
      <w:bCs/>
    </w:rPr>
  </w:style>
  <w:style w:type="character" w:styleId="Hyperlink">
    <w:name w:val="Hyperlink"/>
    <w:basedOn w:val="DefaultParagraphFont"/>
    <w:uiPriority w:val="99"/>
    <w:semiHidden/>
    <w:unhideWhenUsed/>
    <w:rsid w:val="00F763D4"/>
    <w:rPr>
      <w:color w:val="0000FF"/>
      <w:u w:val="single"/>
    </w:rPr>
  </w:style>
  <w:style w:type="paragraph" w:styleId="BalloonText">
    <w:name w:val="Balloon Text"/>
    <w:basedOn w:val="Normal"/>
    <w:link w:val="BalloonTextChar"/>
    <w:uiPriority w:val="99"/>
    <w:semiHidden/>
    <w:unhideWhenUsed/>
    <w:rsid w:val="00F763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3D4"/>
    <w:rPr>
      <w:rFonts w:ascii="Lucida Grande" w:hAnsi="Lucida Grande" w:cs="Lucida Grande"/>
      <w:sz w:val="18"/>
      <w:szCs w:val="18"/>
    </w:rPr>
  </w:style>
  <w:style w:type="paragraph" w:styleId="ListParagraph">
    <w:name w:val="List Paragraph"/>
    <w:basedOn w:val="Normal"/>
    <w:uiPriority w:val="34"/>
    <w:qFormat/>
    <w:rsid w:val="0037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5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ft.vanderbilt.edu/teaching-guides/pedagogical/metacognition/" TargetMode="External"/><Relationship Id="rId18" Type="http://schemas.openxmlformats.org/officeDocument/2006/relationships/hyperlink" Target="http://www.stjohns.edu/media/3/c84d5c3eb0f54c19baba0ba5e59af116.pdf" TargetMode="External"/><Relationship Id="rId26" Type="http://schemas.openxmlformats.org/officeDocument/2006/relationships/hyperlink" Target="http://onlinelearningsurvey.com/highered.html" TargetMode="External"/><Relationship Id="rId39" Type="http://schemas.openxmlformats.org/officeDocument/2006/relationships/hyperlink" Target="http://www.educause.edu/ero/article/implementing-authentic-tasks-web-based-learning-environments" TargetMode="External"/><Relationship Id="rId21" Type="http://schemas.openxmlformats.org/officeDocument/2006/relationships/hyperlink" Target="http://www.bu.edu/online/prospective-students/demo.html" TargetMode="External"/><Relationship Id="rId34" Type="http://schemas.openxmlformats.org/officeDocument/2006/relationships/hyperlink" Target="http://www.ncolr.org/issues/jiol/v9/n3/be-vocal-characteristics-of-successful-online-instructors." TargetMode="External"/><Relationship Id="rId42" Type="http://schemas.openxmlformats.org/officeDocument/2006/relationships/hyperlink" Target="http://creativecommons.org/licenses/by-nc/4.0/" TargetMode="External"/><Relationship Id="rId7" Type="http://schemas.openxmlformats.org/officeDocument/2006/relationships/hyperlink" Target="http://vanderbilt.edu/bold/" TargetMode="External"/><Relationship Id="rId2" Type="http://schemas.openxmlformats.org/officeDocument/2006/relationships/styles" Target="styles.xml"/><Relationship Id="rId16" Type="http://schemas.openxmlformats.org/officeDocument/2006/relationships/hyperlink" Target="https://cft.vanderbilt.edu/teaching-guides/pedagogical/understanding-by-design/" TargetMode="External"/><Relationship Id="rId20" Type="http://schemas.openxmlformats.org/officeDocument/2006/relationships/hyperlink" Target="http://www.youtube.com/watch?annotation_id=annotation_884309&amp;v=qalr5NLY9CE&amp;feature=iv" TargetMode="External"/><Relationship Id="rId29" Type="http://schemas.openxmlformats.org/officeDocument/2006/relationships/hyperlink" Target="http://www7.nationalacademies.org/bose/Froyd_Promising_Practices_CommissionedPaper.pdf"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hyperlink" Target="http://vanderbilt.edu/bold/activities/" TargetMode="External"/><Relationship Id="rId32" Type="http://schemas.openxmlformats.org/officeDocument/2006/relationships/hyperlink" Target="http://www2.ed.gov/rschstat/eval/tech/evidence-based-practices/finalreport.pdf" TargetMode="External"/><Relationship Id="rId37" Type="http://schemas.openxmlformats.org/officeDocument/2006/relationships/hyperlink" Target="http://media.sabda.org/alkitab-1/Pdfs/Schutte-VirtualTeachinginHigherEd.pdf" TargetMode="External"/><Relationship Id="rId40"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vanderbilt.edu/bold/content-delivery/" TargetMode="External"/><Relationship Id="rId23" Type="http://schemas.openxmlformats.org/officeDocument/2006/relationships/hyperlink" Target="http://www.lifescied.org/content/11/2/113/T1.expansion.html" TargetMode="External"/><Relationship Id="rId28" Type="http://schemas.openxmlformats.org/officeDocument/2006/relationships/hyperlink" Target="http://www.tltgroup.org/programs/seven.html" TargetMode="External"/><Relationship Id="rId36" Type="http://schemas.openxmlformats.org/officeDocument/2006/relationships/hyperlink" Target="http://www.sloan-c.org/publications/jaln/v7n2/v7n2_shea.asp" TargetMode="External"/><Relationship Id="rId10" Type="http://schemas.openxmlformats.org/officeDocument/2006/relationships/image" Target="media/image5.jpeg"/><Relationship Id="rId19" Type="http://schemas.openxmlformats.org/officeDocument/2006/relationships/hyperlink" Target="http://astro.phy.vanderbilt.edu/~palladl2/BOLD.html" TargetMode="External"/><Relationship Id="rId31" Type="http://schemas.openxmlformats.org/officeDocument/2006/relationships/hyperlink" Target="http://technologysource.org/article/ten_ways_online_education_matches_or_surpasses_facetoface_learnin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cft.vanderbilt.edu/teaching-guides/pedagogical/learning-styles-preferences/" TargetMode="External"/><Relationship Id="rId22" Type="http://schemas.openxmlformats.org/officeDocument/2006/relationships/hyperlink" Target="http://www.lifescied.org/content/11/2/113.full" TargetMode="External"/><Relationship Id="rId27" Type="http://schemas.openxmlformats.org/officeDocument/2006/relationships/hyperlink" Target="http://www.learninghouse.com/files/documents/resources/Online%20College%20Students%202012.pdf" TargetMode="External"/><Relationship Id="rId30" Type="http://schemas.openxmlformats.org/officeDocument/2006/relationships/hyperlink" Target="http://www.facultyfocus.com/articles/asynchronous-learning-and-trends/five-quick-tips-for-using-streaming-audio-or-video-in-your-blended-or-online-courses/" TargetMode="External"/><Relationship Id="rId35" Type="http://schemas.openxmlformats.org/officeDocument/2006/relationships/hyperlink" Target="http://cpd.suny.edu/files/TeachingPresence.pdf" TargetMode="External"/><Relationship Id="rId43" Type="http://schemas.openxmlformats.org/officeDocument/2006/relationships/fontTable" Target="fontTable.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cft.vanderbilt.edu//cft/guides-sub-pages/blended-and-online-learning/" TargetMode="External"/><Relationship Id="rId17" Type="http://schemas.openxmlformats.org/officeDocument/2006/relationships/hyperlink" Target="https://cft.vanderbilt.edu/teaching-guides/assessment/grading-student-work/" TargetMode="External"/><Relationship Id="rId25" Type="http://schemas.openxmlformats.org/officeDocument/2006/relationships/hyperlink" Target="http://www.copyright.gov/fls/f1102.html" TargetMode="External"/><Relationship Id="rId33" Type="http://schemas.openxmlformats.org/officeDocument/2006/relationships/hyperlink" Target="http://www2.ed.gov/rschstat/eval/tech/evidence-based-practices/finalreport.pdf" TargetMode="External"/><Relationship Id="rId38" Type="http://schemas.openxmlformats.org/officeDocument/2006/relationships/hyperlink" Target="http://www.lifescied.org/content/11/2/11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3296</Words>
  <Characters>18791</Characters>
  <Application>Microsoft Office Word</Application>
  <DocSecurity>0</DocSecurity>
  <Lines>156</Lines>
  <Paragraphs>44</Paragraphs>
  <ScaleCrop>false</ScaleCrop>
  <Company>vanderbilt</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2021-02-17T21:29:00Z</dcterms:created>
  <dcterms:modified xsi:type="dcterms:W3CDTF">2021-02-17T21:29:00Z</dcterms:modified>
</cp:coreProperties>
</file>