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B2AE6" w14:textId="00CE18D5" w:rsidR="00A3195F" w:rsidRDefault="00F613F5" w:rsidP="00A3195F">
      <w:pPr>
        <w:spacing w:before="100" w:beforeAutospacing="1" w:after="100" w:afterAutospacing="1"/>
        <w:outlineLvl w:val="0"/>
        <w:rPr>
          <w:rFonts w:ascii="Times" w:eastAsia="Times New Roman" w:hAnsi="Times" w:cs="Times New Roman"/>
          <w:bCs/>
          <w:i/>
          <w:iCs/>
          <w:sz w:val="15"/>
          <w:szCs w:val="15"/>
        </w:rPr>
      </w:pPr>
      <w:r>
        <w:rPr>
          <w:rFonts w:ascii="Times" w:eastAsia="Times New Roman" w:hAnsi="Times" w:cs="Times New Roman"/>
          <w:bCs/>
          <w:i/>
          <w:iCs/>
          <w:noProof/>
          <w:sz w:val="15"/>
          <w:szCs w:val="15"/>
        </w:rPr>
        <w:drawing>
          <wp:anchor distT="0" distB="0" distL="114300" distR="114300" simplePos="0" relativeHeight="251660288" behindDoc="0" locked="0" layoutInCell="1" allowOverlap="1" wp14:anchorId="09C4C33B" wp14:editId="5C8251E0">
            <wp:simplePos x="0" y="0"/>
            <wp:positionH relativeFrom="column">
              <wp:posOffset>5600700</wp:posOffset>
            </wp:positionH>
            <wp:positionV relativeFrom="paragraph">
              <wp:posOffset>-342900</wp:posOffset>
            </wp:positionV>
            <wp:extent cx="1075188" cy="1485900"/>
            <wp:effectExtent l="0" t="0" r="0" b="0"/>
            <wp:wrapNone/>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5188" cy="1485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3195F">
        <w:rPr>
          <w:noProof/>
        </w:rPr>
        <mc:AlternateContent>
          <mc:Choice Requires="wps">
            <w:drawing>
              <wp:anchor distT="0" distB="0" distL="114300" distR="114300" simplePos="0" relativeHeight="251659264" behindDoc="0" locked="0" layoutInCell="1" allowOverlap="1" wp14:anchorId="0E8BD4FF" wp14:editId="2576ED37">
                <wp:simplePos x="0" y="0"/>
                <wp:positionH relativeFrom="column">
                  <wp:posOffset>228600</wp:posOffset>
                </wp:positionH>
                <wp:positionV relativeFrom="paragraph">
                  <wp:posOffset>1143000</wp:posOffset>
                </wp:positionV>
                <wp:extent cx="5829300" cy="183769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1837690"/>
                        </a:xfrm>
                        <a:prstGeom prst="round2Diag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5E7721C2" w14:textId="77777777" w:rsidR="00A3195F" w:rsidRPr="00A3195F" w:rsidRDefault="00A3195F" w:rsidP="00BD49BF">
                            <w:pPr>
                              <w:spacing w:before="100" w:beforeAutospacing="1" w:after="100" w:afterAutospacing="1"/>
                              <w:rPr>
                                <w:rFonts w:asciiTheme="majorHAnsi" w:hAnsiTheme="majorHAnsi" w:cs="Times New Roman"/>
                                <w:i/>
                                <w:iCs/>
                                <w:sz w:val="22"/>
                                <w:szCs w:val="20"/>
                              </w:rPr>
                            </w:pPr>
                            <w:r w:rsidRPr="00A3195F">
                              <w:rPr>
                                <w:rFonts w:asciiTheme="majorHAnsi" w:hAnsiTheme="majorHAnsi" w:cs="Times New Roman"/>
                                <w:i/>
                                <w:iCs/>
                                <w:sz w:val="22"/>
                                <w:szCs w:val="20"/>
                              </w:rPr>
                              <w:t>“We asked faculty to ask themselves the most important questions they could about student learning in their courses. How did they know that their students were learning? Did the students’ learning promise to last? What did teachers really know about the processes of their students’ learning, especially what we call the ‘intermediate processes,’ or the processes that experienced or expert learners employ habitually in their work but that are often tacit or absent in instruction. By asking these questions, faculty members discovered early on that what most interested–or eluded–them about their students’ learning could not be answered simply by looking at regularly assigned course work.” (Bernstein &amp; Bass, 2005, p.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o="http://schemas.microsoft.com/office/mac/office/2008/main" xmlns:mv="urn:schemas-microsoft-com:mac:vml">
            <w:pict>
              <v:shape id="Text Box 1" o:spid="_x0000_s1026" style="position:absolute;margin-left:18pt;margin-top:90pt;width:459pt;height:14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829300,183769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" adj="-11796480,,5400" path="m306288,0l5829300,,5829300,,5829300,1531402c5829300,1700560,5692170,1837690,5523012,1837690l0,1837690,,1837690,,306288c0,137130,137130,,306288,0xe" fillcolor="#4f81bd [3204]" stroked="f" strokeweight="2pt">
                <v:stroke joinstyle="miter"/>
                <v:formulas/>
                <v:path arrowok="t" o:connecttype="custom" o:connectlocs="306288,0;5829300,0;5829300,0;5829300,1531402;5523012,1837690;0,1837690;0,1837690;0,306288;306288,0" o:connectangles="0,0,0,0,0,0,0,0,0" textboxrect="0,0,5829300,1837690"/>
                <v:textbox style="mso-fit-shape-to-text:t">
                  <w:txbxContent>
                    <w:p w:rsidR="00A3195F" w:rsidRPr="00A3195F" w:rsidRDefault="00A3195F" w:rsidP="00BD49BF">
                      <w:pPr>
                        <w:spacing w:before="100" w:beforeAutospacing="1" w:after="100" w:afterAutospacing="1"/>
                        <w:rPr>
                          <w:rFonts w:asciiTheme="majorHAnsi" w:hAnsiTheme="majorHAnsi" w:cs="Times New Roman"/>
                          <w:i/>
                          <w:iCs/>
                          <w:sz w:val="22"/>
                          <w:szCs w:val="20"/>
                        </w:rPr>
                      </w:pPr>
                      <w:r w:rsidRPr="00A3195F">
                        <w:rPr>
                          <w:rFonts w:asciiTheme="majorHAnsi" w:hAnsiTheme="majorHAnsi" w:cs="Times New Roman"/>
                          <w:i/>
                          <w:iCs/>
                          <w:sz w:val="22"/>
                          <w:szCs w:val="20"/>
                        </w:rPr>
                        <w:t>“We asked faculty to ask themselves the most important questions they could about student learning in their courses. How did they know that their students were learning? Did the students’ learning promise to last? What did teachers really know about the processes of their students’ learning, especially what we call the ‘intermediate processes,’ or the processes that experienced or expert learners employ habitually in their work but that are often tacit or absent in instruction. By asking these questions, faculty members discovered early on that what most interested–or eluded–them about their students’ learning could not be answered simply by looking at regularly assigned course work.” (Bernstein &amp; Bass, 2005, p. 39)</w:t>
                      </w:r>
                    </w:p>
                  </w:txbxContent>
                </v:textbox>
                <w10:wrap type="square"/>
              </v:shape>
            </w:pict>
          </mc:Fallback>
        </mc:AlternateContent>
      </w:r>
      <w:r w:rsidR="00A3195F" w:rsidRPr="00A3195F">
        <w:rPr>
          <w:rFonts w:ascii="Times" w:eastAsia="Times New Roman" w:hAnsi="Times" w:cs="Times New Roman"/>
          <w:b/>
          <w:bCs/>
          <w:kern w:val="36"/>
          <w:sz w:val="44"/>
          <w:szCs w:val="44"/>
        </w:rPr>
        <w:t>Beyond the Essay: Making Student Thinking Visible in the Humanities</w:t>
      </w:r>
      <w:r w:rsidR="00A3195F">
        <w:rPr>
          <w:rFonts w:ascii="Times" w:eastAsia="Times New Roman" w:hAnsi="Times" w:cs="Times New Roman"/>
          <w:b/>
          <w:bCs/>
          <w:kern w:val="36"/>
          <w:sz w:val="44"/>
          <w:szCs w:val="44"/>
        </w:rPr>
        <w:br/>
      </w:r>
      <w:r w:rsidR="00A3195F" w:rsidRPr="00A3195F">
        <w:rPr>
          <w:rFonts w:ascii="Times" w:eastAsia="Times New Roman" w:hAnsi="Times" w:cs="Times New Roman"/>
          <w:bCs/>
          <w:i/>
          <w:iCs/>
          <w:sz w:val="15"/>
          <w:szCs w:val="15"/>
        </w:rPr>
        <w:t>by Nancy Chick</w:t>
      </w:r>
    </w:p>
    <w:p w14:paraId="3CC99797" w14:textId="77777777" w:rsidR="00A3195F" w:rsidRPr="00A3195F" w:rsidRDefault="00A3195F" w:rsidP="00A3195F">
      <w:pPr>
        <w:spacing w:before="100" w:beforeAutospacing="1" w:after="100" w:afterAutospacing="1"/>
        <w:outlineLvl w:val="0"/>
        <w:rPr>
          <w:rFonts w:ascii="Times" w:eastAsia="Times New Roman" w:hAnsi="Times" w:cs="Times New Roman"/>
          <w:b/>
          <w:bCs/>
          <w:kern w:val="36"/>
          <w:sz w:val="44"/>
          <w:szCs w:val="44"/>
        </w:rPr>
      </w:pPr>
    </w:p>
    <w:p w14:paraId="1CC95420" w14:textId="77777777" w:rsidR="00A3195F" w:rsidRPr="00A3195F" w:rsidRDefault="00A3195F" w:rsidP="00A3195F">
      <w:pPr>
        <w:spacing w:before="100" w:beforeAutospacing="1" w:after="100" w:afterAutospacing="1"/>
        <w:rPr>
          <w:rFonts w:ascii="Times" w:hAnsi="Times" w:cs="Times New Roman"/>
          <w:sz w:val="20"/>
          <w:szCs w:val="20"/>
        </w:rPr>
      </w:pPr>
      <w:r>
        <w:rPr>
          <w:rFonts w:ascii="Times" w:hAnsi="Times" w:cs="Times New Roman"/>
          <w:sz w:val="20"/>
          <w:szCs w:val="20"/>
        </w:rPr>
        <w:br/>
      </w:r>
      <w:r w:rsidRPr="00A3195F">
        <w:rPr>
          <w:rFonts w:ascii="Times" w:hAnsi="Times" w:cs="Times New Roman"/>
          <w:sz w:val="20"/>
          <w:szCs w:val="20"/>
        </w:rPr>
        <w:t xml:space="preserve">In the quote above, Randy Bass reflects on </w:t>
      </w:r>
      <w:hyperlink r:id="rId6" w:tgtFrame="_blank" w:history="1">
        <w:r w:rsidRPr="00A3195F">
          <w:rPr>
            <w:rFonts w:ascii="Times" w:hAnsi="Times" w:cs="Times New Roman"/>
            <w:color w:val="0000FF"/>
            <w:sz w:val="20"/>
            <w:szCs w:val="20"/>
            <w:u w:val="single"/>
          </w:rPr>
          <w:t>The Visible Knowledge Project</w:t>
        </w:r>
      </w:hyperlink>
      <w:r w:rsidRPr="00A3195F">
        <w:rPr>
          <w:rFonts w:ascii="Times" w:hAnsi="Times" w:cs="Times New Roman"/>
          <w:sz w:val="20"/>
          <w:szCs w:val="20"/>
        </w:rPr>
        <w:t>, a five-year, multi-campus program that sought ways of making student and faculty knowledge more visible to each other. Authentic student thinking is rarely surfaced through traditional assignments, and faculty thinking most often occurs at a distance from students’ learning experiences–in research activities, in class preparation, at conferences, in specialized journals.</w:t>
      </w:r>
    </w:p>
    <w:p w14:paraId="72AD020D" w14:textId="77777777" w:rsidR="00A3195F" w:rsidRPr="00A3195F" w:rsidRDefault="00A3195F" w:rsidP="00A3195F">
      <w:pPr>
        <w:spacing w:before="100" w:beforeAutospacing="1" w:after="100" w:afterAutospacing="1"/>
        <w:rPr>
          <w:rFonts w:ascii="Times" w:hAnsi="Times" w:cs="Times New Roman"/>
          <w:sz w:val="20"/>
          <w:szCs w:val="20"/>
        </w:rPr>
      </w:pPr>
      <w:r w:rsidRPr="00A3195F">
        <w:rPr>
          <w:rFonts w:ascii="Times" w:hAnsi="Times" w:cs="Times New Roman"/>
          <w:sz w:val="20"/>
          <w:szCs w:val="20"/>
        </w:rPr>
        <w:t>Subsequent research on teaching and learning has picked up where The Visible Knowledge Project left off.  Some scholars have worked on assignments that encourage students to create “external and thus concretized representations of personal understanding,” thus sharing their “process of mental construction” with faculty (</w:t>
      </w:r>
      <w:proofErr w:type="spellStart"/>
      <w:r w:rsidRPr="00A3195F">
        <w:rPr>
          <w:rFonts w:ascii="Times" w:hAnsi="Times" w:cs="Times New Roman"/>
          <w:sz w:val="20"/>
          <w:szCs w:val="20"/>
        </w:rPr>
        <w:t>Kandiko</w:t>
      </w:r>
      <w:proofErr w:type="spellEnd"/>
      <w:r w:rsidRPr="00A3195F">
        <w:rPr>
          <w:rFonts w:ascii="Times" w:hAnsi="Times" w:cs="Times New Roman"/>
          <w:sz w:val="20"/>
          <w:szCs w:val="20"/>
        </w:rPr>
        <w:t>, Hay, &amp; Weller, 2012, p. 71-72). Others have called for faculty to render explicit in the classroom the typically hidden ways of thinking and doing by disciplinary experts–not simply to model expertise but to shift students from recipients of others’ meaning-making to agents of their own meaning-making. The notion of “signature pedagogies”–ways of teaching that are “signature” or authentic to the discipline–calls for learning activities that “invoke the core characteristics of a discipline to help students think like a biologist, a creative writer, or a sociologist, rather than simply expecting them to passive accept analysis or findings of an expert who already thinks like a biologist, a creative writer, or a sociologist” (Chick, Haynie, &amp; Gurung, 2009, p. 4).</w:t>
      </w:r>
    </w:p>
    <w:p w14:paraId="72348FED" w14:textId="77777777" w:rsidR="00A3195F" w:rsidRDefault="00A3195F" w:rsidP="00A3195F">
      <w:pPr>
        <w:spacing w:before="100" w:beforeAutospacing="1" w:after="100" w:afterAutospacing="1"/>
        <w:rPr>
          <w:rFonts w:ascii="Times" w:hAnsi="Times" w:cs="Times New Roman"/>
          <w:sz w:val="20"/>
          <w:szCs w:val="20"/>
        </w:rPr>
      </w:pPr>
      <w:r w:rsidRPr="00A3195F">
        <w:rPr>
          <w:rFonts w:ascii="Times" w:hAnsi="Times" w:cs="Times New Roman"/>
          <w:sz w:val="20"/>
          <w:szCs w:val="20"/>
        </w:rPr>
        <w:t>These three ways of talking about teaching and learning—making faculty and student knowledge visible, externalizing representations of personal understanding, and having students create, produce, or perform their own interpretations or conclusions—shift students away from the role of passive recipients or consumers to creators, producers, or performers of knowledge, understanding, interpretations, and conclusions. The next two pages offer examples of humanities-based activities and assignments designed to fulfill these goals.</w:t>
      </w:r>
    </w:p>
    <w:p w14:paraId="658263D1" w14:textId="77777777" w:rsidR="00A3195F" w:rsidRPr="00A3195F" w:rsidRDefault="00A3195F" w:rsidP="00A3195F">
      <w:pPr>
        <w:spacing w:before="100" w:beforeAutospacing="1" w:after="100" w:afterAutospacing="1"/>
        <w:rPr>
          <w:rFonts w:ascii="Times" w:hAnsi="Times" w:cs="Times New Roman"/>
          <w:sz w:val="20"/>
          <w:szCs w:val="20"/>
        </w:rPr>
      </w:pPr>
    </w:p>
    <w:tbl>
      <w:tblPr>
        <w:tblW w:w="743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8"/>
        <w:gridCol w:w="2417"/>
        <w:gridCol w:w="2974"/>
      </w:tblGrid>
      <w:tr w:rsidR="00A3195F" w:rsidRPr="00A3195F" w14:paraId="0DE943D4" w14:textId="77777777" w:rsidTr="00A3195F">
        <w:trPr>
          <w:trHeight w:val="630"/>
          <w:tblCellSpacing w:w="15" w:type="dxa"/>
          <w:jc w:val="center"/>
        </w:trPr>
        <w:tc>
          <w:tcPr>
            <w:tcW w:w="2003" w:type="dxa"/>
            <w:vAlign w:val="center"/>
            <w:hideMark/>
          </w:tcPr>
          <w:p w14:paraId="563C3858" w14:textId="77777777" w:rsidR="00A3195F" w:rsidRPr="00A3195F" w:rsidRDefault="00A3195F" w:rsidP="00A3195F">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 xml:space="preserve">   </w:t>
            </w:r>
            <w:r w:rsidRPr="00A3195F">
              <w:rPr>
                <w:rFonts w:ascii="Times" w:eastAsia="Times New Roman" w:hAnsi="Times" w:cs="Times New Roman"/>
                <w:b/>
                <w:bCs/>
                <w:sz w:val="27"/>
                <w:szCs w:val="27"/>
              </w:rPr>
              <w:t>Introduction</w:t>
            </w:r>
          </w:p>
        </w:tc>
        <w:tc>
          <w:tcPr>
            <w:tcW w:w="2387" w:type="dxa"/>
            <w:vAlign w:val="center"/>
            <w:hideMark/>
          </w:tcPr>
          <w:p w14:paraId="5F4A65A1" w14:textId="77777777" w:rsidR="00A3195F" w:rsidRPr="00A3195F" w:rsidRDefault="00F616D6" w:rsidP="00A3195F">
            <w:pPr>
              <w:jc w:val="center"/>
              <w:rPr>
                <w:rFonts w:ascii="Times" w:eastAsia="Times New Roman" w:hAnsi="Times" w:cs="Times New Roman"/>
                <w:sz w:val="20"/>
                <w:szCs w:val="20"/>
              </w:rPr>
            </w:pPr>
            <w:hyperlink r:id="rId7" w:history="1">
              <w:r w:rsidR="00A3195F" w:rsidRPr="00A3195F">
                <w:rPr>
                  <w:rFonts w:ascii="Times" w:eastAsia="Times New Roman" w:hAnsi="Times" w:cs="Times New Roman"/>
                  <w:b/>
                  <w:bCs/>
                  <w:color w:val="0000FF"/>
                  <w:sz w:val="20"/>
                  <w:szCs w:val="20"/>
                  <w:u w:val="single"/>
                </w:rPr>
                <w:t>Formative Activities:</w:t>
              </w:r>
              <w:r w:rsidR="00A3195F" w:rsidRPr="00A3195F">
                <w:rPr>
                  <w:rFonts w:ascii="Times" w:eastAsia="Times New Roman" w:hAnsi="Times" w:cs="Times New Roman"/>
                  <w:b/>
                  <w:bCs/>
                  <w:color w:val="0000FF"/>
                  <w:sz w:val="20"/>
                  <w:szCs w:val="20"/>
                  <w:u w:val="single"/>
                </w:rPr>
                <w:br/>
                <w:t>Snapshots of Learning</w:t>
              </w:r>
              <w:r w:rsidR="00A3195F" w:rsidRPr="00A3195F">
                <w:rPr>
                  <w:rFonts w:ascii="Times" w:eastAsia="Times New Roman" w:hAnsi="Times" w:cs="Times New Roman"/>
                  <w:b/>
                  <w:bCs/>
                  <w:color w:val="0000FF"/>
                  <w:sz w:val="20"/>
                  <w:szCs w:val="20"/>
                  <w:u w:val="single"/>
                </w:rPr>
                <w:br/>
                <w:t>in Progress</w:t>
              </w:r>
            </w:hyperlink>
          </w:p>
        </w:tc>
        <w:tc>
          <w:tcPr>
            <w:tcW w:w="2929" w:type="dxa"/>
            <w:vAlign w:val="center"/>
            <w:hideMark/>
          </w:tcPr>
          <w:p w14:paraId="4429AD47" w14:textId="77777777" w:rsidR="00A3195F" w:rsidRPr="00A3195F" w:rsidRDefault="00F616D6" w:rsidP="00A3195F">
            <w:pPr>
              <w:jc w:val="center"/>
              <w:rPr>
                <w:rFonts w:ascii="Times" w:eastAsia="Times New Roman" w:hAnsi="Times" w:cs="Times New Roman"/>
                <w:sz w:val="20"/>
                <w:szCs w:val="20"/>
              </w:rPr>
            </w:pPr>
            <w:hyperlink r:id="rId8" w:history="1">
              <w:r w:rsidR="00A3195F" w:rsidRPr="00A3195F">
                <w:rPr>
                  <w:rFonts w:ascii="Times" w:eastAsia="Times New Roman" w:hAnsi="Times" w:cs="Times New Roman"/>
                  <w:b/>
                  <w:bCs/>
                  <w:color w:val="0000FF"/>
                  <w:sz w:val="20"/>
                  <w:szCs w:val="20"/>
                  <w:u w:val="single"/>
                </w:rPr>
                <w:t>Summative Assignments:</w:t>
              </w:r>
              <w:r w:rsidR="00A3195F" w:rsidRPr="00A3195F">
                <w:rPr>
                  <w:rFonts w:ascii="Times" w:eastAsia="Times New Roman" w:hAnsi="Times" w:cs="Times New Roman"/>
                  <w:b/>
                  <w:bCs/>
                  <w:color w:val="0000FF"/>
                  <w:sz w:val="20"/>
                  <w:szCs w:val="20"/>
                  <w:u w:val="single"/>
                </w:rPr>
                <w:br/>
                <w:t>Authentic Alternatives</w:t>
              </w:r>
              <w:r w:rsidR="00A3195F" w:rsidRPr="00A3195F">
                <w:rPr>
                  <w:rFonts w:ascii="Times" w:eastAsia="Times New Roman" w:hAnsi="Times" w:cs="Times New Roman"/>
                  <w:b/>
                  <w:bCs/>
                  <w:color w:val="0000FF"/>
                  <w:sz w:val="20"/>
                  <w:szCs w:val="20"/>
                  <w:u w:val="single"/>
                </w:rPr>
                <w:br/>
                <w:t>to the Essay</w:t>
              </w:r>
            </w:hyperlink>
          </w:p>
        </w:tc>
      </w:tr>
      <w:tr w:rsidR="00A3195F" w:rsidRPr="00A3195F" w14:paraId="681FA10D" w14:textId="77777777" w:rsidTr="00A3195F">
        <w:trPr>
          <w:trHeight w:val="946"/>
          <w:tblCellSpacing w:w="15" w:type="dxa"/>
          <w:jc w:val="center"/>
        </w:trPr>
        <w:tc>
          <w:tcPr>
            <w:tcW w:w="2003" w:type="dxa"/>
            <w:vAlign w:val="center"/>
            <w:hideMark/>
          </w:tcPr>
          <w:p w14:paraId="48DBD6FC" w14:textId="77777777" w:rsidR="00A3195F" w:rsidRPr="00A3195F" w:rsidRDefault="00A3195F" w:rsidP="00A3195F">
            <w:pPr>
              <w:rPr>
                <w:rFonts w:ascii="Times" w:eastAsia="Times New Roman" w:hAnsi="Times" w:cs="Times New Roman"/>
                <w:sz w:val="20"/>
                <w:szCs w:val="20"/>
              </w:rPr>
            </w:pPr>
          </w:p>
        </w:tc>
        <w:tc>
          <w:tcPr>
            <w:tcW w:w="2387" w:type="dxa"/>
            <w:vAlign w:val="center"/>
            <w:hideMark/>
          </w:tcPr>
          <w:p w14:paraId="34D35984" w14:textId="77777777" w:rsidR="00A3195F" w:rsidRPr="00A3195F" w:rsidRDefault="00A3195F" w:rsidP="00A3195F">
            <w:pPr>
              <w:numPr>
                <w:ilvl w:val="0"/>
                <w:numId w:val="1"/>
              </w:numPr>
              <w:tabs>
                <w:tab w:val="clear" w:pos="720"/>
              </w:tabs>
              <w:spacing w:before="100" w:beforeAutospacing="1" w:after="100" w:afterAutospacing="1"/>
              <w:ind w:left="307" w:hanging="180"/>
              <w:rPr>
                <w:rFonts w:ascii="Times" w:eastAsia="Times New Roman" w:hAnsi="Times" w:cs="Times New Roman"/>
                <w:sz w:val="20"/>
                <w:szCs w:val="20"/>
              </w:rPr>
            </w:pPr>
            <w:r w:rsidRPr="00A3195F">
              <w:rPr>
                <w:rFonts w:ascii="Times" w:eastAsia="Times New Roman" w:hAnsi="Times" w:cs="Times New Roman"/>
                <w:sz w:val="20"/>
                <w:szCs w:val="20"/>
              </w:rPr>
              <w:t>Concept Maps</w:t>
            </w:r>
          </w:p>
          <w:p w14:paraId="2B1DD9DF" w14:textId="77777777" w:rsidR="00A3195F" w:rsidRPr="00A3195F" w:rsidRDefault="00A3195F" w:rsidP="00A3195F">
            <w:pPr>
              <w:numPr>
                <w:ilvl w:val="0"/>
                <w:numId w:val="1"/>
              </w:numPr>
              <w:tabs>
                <w:tab w:val="clear" w:pos="720"/>
              </w:tabs>
              <w:spacing w:before="100" w:beforeAutospacing="1" w:after="100" w:afterAutospacing="1"/>
              <w:ind w:left="307" w:hanging="180"/>
              <w:rPr>
                <w:rFonts w:ascii="Times" w:eastAsia="Times New Roman" w:hAnsi="Times" w:cs="Times New Roman"/>
                <w:sz w:val="20"/>
                <w:szCs w:val="20"/>
              </w:rPr>
            </w:pPr>
            <w:r w:rsidRPr="00A3195F">
              <w:rPr>
                <w:rFonts w:ascii="Times" w:eastAsia="Times New Roman" w:hAnsi="Times" w:cs="Times New Roman"/>
                <w:sz w:val="20"/>
                <w:szCs w:val="20"/>
              </w:rPr>
              <w:t>Word Clouds</w:t>
            </w:r>
          </w:p>
          <w:p w14:paraId="333C0D57" w14:textId="77777777" w:rsidR="00A3195F" w:rsidRPr="00A3195F" w:rsidRDefault="00A3195F" w:rsidP="00A3195F">
            <w:pPr>
              <w:numPr>
                <w:ilvl w:val="0"/>
                <w:numId w:val="1"/>
              </w:numPr>
              <w:tabs>
                <w:tab w:val="clear" w:pos="720"/>
              </w:tabs>
              <w:spacing w:before="100" w:beforeAutospacing="1" w:after="100" w:afterAutospacing="1"/>
              <w:ind w:left="307" w:hanging="180"/>
              <w:rPr>
                <w:rFonts w:ascii="Times" w:eastAsia="Times New Roman" w:hAnsi="Times" w:cs="Times New Roman"/>
                <w:sz w:val="20"/>
                <w:szCs w:val="20"/>
              </w:rPr>
            </w:pPr>
            <w:r w:rsidRPr="00A3195F">
              <w:rPr>
                <w:rFonts w:ascii="Times" w:eastAsia="Times New Roman" w:hAnsi="Times" w:cs="Times New Roman"/>
                <w:sz w:val="20"/>
                <w:szCs w:val="20"/>
              </w:rPr>
              <w:t>Word Webs</w:t>
            </w:r>
          </w:p>
        </w:tc>
        <w:tc>
          <w:tcPr>
            <w:tcW w:w="2929" w:type="dxa"/>
            <w:vAlign w:val="center"/>
            <w:hideMark/>
          </w:tcPr>
          <w:p w14:paraId="21D88777" w14:textId="77777777" w:rsidR="00A3195F" w:rsidRPr="00A3195F" w:rsidRDefault="00A3195F" w:rsidP="00A3195F">
            <w:pPr>
              <w:numPr>
                <w:ilvl w:val="0"/>
                <w:numId w:val="2"/>
              </w:numPr>
              <w:tabs>
                <w:tab w:val="clear" w:pos="720"/>
                <w:tab w:val="num" w:pos="500"/>
              </w:tabs>
              <w:spacing w:before="100" w:beforeAutospacing="1" w:after="100" w:afterAutospacing="1"/>
              <w:rPr>
                <w:rFonts w:ascii="Times" w:eastAsia="Times New Roman" w:hAnsi="Times" w:cs="Times New Roman"/>
                <w:sz w:val="20"/>
                <w:szCs w:val="20"/>
              </w:rPr>
            </w:pPr>
            <w:r w:rsidRPr="00A3195F">
              <w:rPr>
                <w:rFonts w:ascii="Times" w:eastAsia="Times New Roman" w:hAnsi="Times" w:cs="Times New Roman"/>
                <w:sz w:val="20"/>
                <w:szCs w:val="20"/>
              </w:rPr>
              <w:t>Metaphor Maps</w:t>
            </w:r>
          </w:p>
          <w:p w14:paraId="0AD1B74D" w14:textId="77777777" w:rsidR="00A3195F" w:rsidRPr="00A3195F" w:rsidRDefault="00A3195F" w:rsidP="00A3195F">
            <w:pPr>
              <w:numPr>
                <w:ilvl w:val="0"/>
                <w:numId w:val="2"/>
              </w:numPr>
              <w:tabs>
                <w:tab w:val="clear" w:pos="720"/>
                <w:tab w:val="num" w:pos="500"/>
              </w:tabs>
              <w:spacing w:before="100" w:beforeAutospacing="1" w:after="100" w:afterAutospacing="1"/>
              <w:rPr>
                <w:rFonts w:ascii="Times" w:eastAsia="Times New Roman" w:hAnsi="Times" w:cs="Times New Roman"/>
                <w:sz w:val="20"/>
                <w:szCs w:val="20"/>
              </w:rPr>
            </w:pPr>
            <w:r w:rsidRPr="00A3195F">
              <w:rPr>
                <w:rFonts w:ascii="Times" w:eastAsia="Times New Roman" w:hAnsi="Times" w:cs="Times New Roman"/>
                <w:sz w:val="20"/>
                <w:szCs w:val="20"/>
              </w:rPr>
              <w:t>Student Anthologies</w:t>
            </w:r>
          </w:p>
          <w:p w14:paraId="2A71BAFF" w14:textId="77777777" w:rsidR="00A3195F" w:rsidRPr="00A3195F" w:rsidRDefault="00A3195F" w:rsidP="00A3195F">
            <w:pPr>
              <w:numPr>
                <w:ilvl w:val="0"/>
                <w:numId w:val="2"/>
              </w:numPr>
              <w:tabs>
                <w:tab w:val="clear" w:pos="720"/>
                <w:tab w:val="num" w:pos="500"/>
              </w:tabs>
              <w:spacing w:before="100" w:beforeAutospacing="1" w:after="100" w:afterAutospacing="1"/>
              <w:rPr>
                <w:rFonts w:ascii="Times" w:eastAsia="Times New Roman" w:hAnsi="Times" w:cs="Times New Roman"/>
                <w:sz w:val="20"/>
                <w:szCs w:val="20"/>
              </w:rPr>
            </w:pPr>
            <w:r w:rsidRPr="00A3195F">
              <w:rPr>
                <w:rFonts w:ascii="Times" w:eastAsia="Times New Roman" w:hAnsi="Times" w:cs="Times New Roman"/>
                <w:sz w:val="20"/>
                <w:szCs w:val="20"/>
              </w:rPr>
              <w:t>Poster Presentations</w:t>
            </w:r>
          </w:p>
        </w:tc>
      </w:tr>
    </w:tbl>
    <w:p w14:paraId="20725674" w14:textId="77777777" w:rsidR="00A3195F" w:rsidRPr="00A3195F" w:rsidRDefault="00A3195F" w:rsidP="00A3195F">
      <w:pPr>
        <w:spacing w:before="100" w:beforeAutospacing="1" w:after="100" w:afterAutospacing="1"/>
        <w:outlineLvl w:val="1"/>
        <w:rPr>
          <w:rFonts w:ascii="Times" w:eastAsia="Times New Roman" w:hAnsi="Times" w:cs="Times New Roman"/>
          <w:b/>
          <w:bCs/>
          <w:sz w:val="36"/>
          <w:szCs w:val="36"/>
        </w:rPr>
      </w:pPr>
      <w:r w:rsidRPr="00A3195F">
        <w:rPr>
          <w:rFonts w:ascii="Times" w:eastAsia="Times New Roman" w:hAnsi="Times" w:cs="Times New Roman"/>
          <w:b/>
          <w:bCs/>
          <w:sz w:val="36"/>
          <w:szCs w:val="36"/>
        </w:rPr>
        <w:lastRenderedPageBreak/>
        <w:t>References</w:t>
      </w:r>
    </w:p>
    <w:p w14:paraId="5D6B54BD" w14:textId="77777777" w:rsidR="00A3195F" w:rsidRPr="00A3195F" w:rsidRDefault="00A3195F" w:rsidP="00A3195F">
      <w:pPr>
        <w:spacing w:before="100" w:beforeAutospacing="1" w:after="100" w:afterAutospacing="1"/>
        <w:rPr>
          <w:rFonts w:ascii="Times" w:hAnsi="Times" w:cs="Times New Roman"/>
          <w:sz w:val="20"/>
          <w:szCs w:val="20"/>
        </w:rPr>
      </w:pPr>
      <w:r w:rsidRPr="00A3195F">
        <w:rPr>
          <w:rFonts w:ascii="Times" w:hAnsi="Times" w:cs="Times New Roman"/>
          <w:sz w:val="20"/>
          <w:szCs w:val="20"/>
        </w:rPr>
        <w:t xml:space="preserve">Bernstein, Dan, &amp; Bass, Randy. (July/August 2005). </w:t>
      </w:r>
      <w:hyperlink r:id="rId9" w:tgtFrame="_blank" w:history="1">
        <w:r w:rsidRPr="00A3195F">
          <w:rPr>
            <w:rFonts w:ascii="Times" w:hAnsi="Times" w:cs="Times New Roman"/>
            <w:color w:val="0000FF"/>
            <w:sz w:val="20"/>
            <w:szCs w:val="20"/>
            <w:u w:val="single"/>
          </w:rPr>
          <w:t>The Scholarship of teaching and learning</w:t>
        </w:r>
      </w:hyperlink>
      <w:r w:rsidRPr="00A3195F">
        <w:rPr>
          <w:rFonts w:ascii="Times" w:hAnsi="Times" w:cs="Times New Roman"/>
          <w:sz w:val="20"/>
          <w:szCs w:val="20"/>
        </w:rPr>
        <w:t xml:space="preserve"> . </w:t>
      </w:r>
      <w:r w:rsidRPr="00A3195F">
        <w:rPr>
          <w:rFonts w:ascii="Times" w:hAnsi="Times" w:cs="Times New Roman"/>
          <w:i/>
          <w:iCs/>
          <w:sz w:val="20"/>
          <w:szCs w:val="20"/>
        </w:rPr>
        <w:t>Academe</w:t>
      </w:r>
      <w:r w:rsidRPr="00A3195F">
        <w:rPr>
          <w:rFonts w:ascii="Times" w:hAnsi="Times" w:cs="Times New Roman"/>
          <w:sz w:val="20"/>
          <w:szCs w:val="20"/>
        </w:rPr>
        <w:t xml:space="preserve">, </w:t>
      </w:r>
      <w:r w:rsidRPr="00A3195F">
        <w:rPr>
          <w:rFonts w:ascii="Times" w:hAnsi="Times" w:cs="Times New Roman"/>
          <w:i/>
          <w:iCs/>
          <w:sz w:val="20"/>
          <w:szCs w:val="20"/>
        </w:rPr>
        <w:t>91(</w:t>
      </w:r>
      <w:r w:rsidRPr="00A3195F">
        <w:rPr>
          <w:rFonts w:ascii="Times" w:hAnsi="Times" w:cs="Times New Roman"/>
          <w:sz w:val="20"/>
          <w:szCs w:val="20"/>
        </w:rPr>
        <w:t>4). 37-43.</w:t>
      </w:r>
    </w:p>
    <w:p w14:paraId="799EC421" w14:textId="77777777" w:rsidR="00A3195F" w:rsidRPr="00A3195F" w:rsidRDefault="00A3195F" w:rsidP="00A3195F">
      <w:pPr>
        <w:spacing w:before="100" w:beforeAutospacing="1" w:after="100" w:afterAutospacing="1"/>
        <w:rPr>
          <w:rFonts w:ascii="Times" w:hAnsi="Times" w:cs="Times New Roman"/>
          <w:sz w:val="20"/>
          <w:szCs w:val="20"/>
        </w:rPr>
      </w:pPr>
      <w:r w:rsidRPr="00A3195F">
        <w:rPr>
          <w:rFonts w:ascii="Times" w:hAnsi="Times" w:cs="Times New Roman"/>
          <w:sz w:val="20"/>
          <w:szCs w:val="20"/>
        </w:rPr>
        <w:t xml:space="preserve">Chick, Nancy L, Haynie, Aeron, &amp; Gurung, Regan A.R. (2009). From generic to signature pedagogies: teaching disciplinary understandings. </w:t>
      </w:r>
      <w:hyperlink r:id="rId10" w:tgtFrame="_blank" w:history="1">
        <w:r w:rsidRPr="00A3195F">
          <w:rPr>
            <w:rFonts w:ascii="Times" w:hAnsi="Times" w:cs="Times New Roman"/>
            <w:i/>
            <w:iCs/>
            <w:color w:val="0000FF"/>
            <w:sz w:val="20"/>
            <w:szCs w:val="20"/>
            <w:u w:val="single"/>
          </w:rPr>
          <w:t>Exploring Signature Pedagogies: Approaching Disciplinary Habits of Mind</w:t>
        </w:r>
      </w:hyperlink>
      <w:r w:rsidRPr="00A3195F">
        <w:rPr>
          <w:rFonts w:ascii="Times" w:hAnsi="Times" w:cs="Times New Roman"/>
          <w:sz w:val="20"/>
          <w:szCs w:val="20"/>
        </w:rPr>
        <w:t>. Eds. Gurung, Chick, &amp; Haynie. Sterling, WV: Stylus. 1-16.</w:t>
      </w:r>
    </w:p>
    <w:p w14:paraId="5AD70E4A" w14:textId="77777777" w:rsidR="00A3195F" w:rsidRPr="00A3195F" w:rsidRDefault="00A3195F" w:rsidP="00A3195F">
      <w:pPr>
        <w:spacing w:before="100" w:beforeAutospacing="1" w:after="100" w:afterAutospacing="1"/>
        <w:rPr>
          <w:rFonts w:ascii="Times" w:hAnsi="Times" w:cs="Times New Roman"/>
          <w:sz w:val="20"/>
          <w:szCs w:val="20"/>
        </w:rPr>
      </w:pPr>
      <w:proofErr w:type="spellStart"/>
      <w:r w:rsidRPr="00A3195F">
        <w:rPr>
          <w:rFonts w:ascii="Times" w:hAnsi="Times" w:cs="Times New Roman"/>
          <w:sz w:val="20"/>
          <w:szCs w:val="20"/>
        </w:rPr>
        <w:t>Kandiko</w:t>
      </w:r>
      <w:proofErr w:type="spellEnd"/>
      <w:r w:rsidRPr="00A3195F">
        <w:rPr>
          <w:rFonts w:ascii="Times" w:hAnsi="Times" w:cs="Times New Roman"/>
          <w:sz w:val="20"/>
          <w:szCs w:val="20"/>
        </w:rPr>
        <w:t xml:space="preserve">, Camille, Hay, David, &amp; Weller, </w:t>
      </w:r>
      <w:proofErr w:type="spellStart"/>
      <w:r w:rsidRPr="00A3195F">
        <w:rPr>
          <w:rFonts w:ascii="Times" w:hAnsi="Times" w:cs="Times New Roman"/>
          <w:sz w:val="20"/>
          <w:szCs w:val="20"/>
        </w:rPr>
        <w:t>Saranne</w:t>
      </w:r>
      <w:proofErr w:type="spellEnd"/>
      <w:r w:rsidRPr="00A3195F">
        <w:rPr>
          <w:rFonts w:ascii="Times" w:hAnsi="Times" w:cs="Times New Roman"/>
          <w:sz w:val="20"/>
          <w:szCs w:val="20"/>
        </w:rPr>
        <w:t xml:space="preserve">. (2012). </w:t>
      </w:r>
      <w:hyperlink r:id="rId11" w:tgtFrame="_blank" w:history="1">
        <w:r w:rsidRPr="00A3195F">
          <w:rPr>
            <w:rFonts w:ascii="Times" w:hAnsi="Times" w:cs="Times New Roman"/>
            <w:color w:val="0000FF"/>
            <w:sz w:val="20"/>
            <w:szCs w:val="20"/>
            <w:u w:val="single"/>
          </w:rPr>
          <w:t>Concept mapping in the humanities to facilitate reflection: externalizing the relationship between public and personal learning</w:t>
        </w:r>
      </w:hyperlink>
      <w:r w:rsidRPr="00A3195F">
        <w:rPr>
          <w:rFonts w:ascii="Times" w:hAnsi="Times" w:cs="Times New Roman"/>
          <w:sz w:val="20"/>
          <w:szCs w:val="20"/>
        </w:rPr>
        <w:t xml:space="preserve">. </w:t>
      </w:r>
      <w:r w:rsidRPr="00A3195F">
        <w:rPr>
          <w:rFonts w:ascii="Times" w:hAnsi="Times" w:cs="Times New Roman"/>
          <w:i/>
          <w:iCs/>
          <w:sz w:val="20"/>
          <w:szCs w:val="20"/>
        </w:rPr>
        <w:t>Arts &amp; Humanities in Higher Education</w:t>
      </w:r>
      <w:r w:rsidRPr="00A3195F">
        <w:rPr>
          <w:rFonts w:ascii="Times" w:hAnsi="Times" w:cs="Times New Roman"/>
          <w:sz w:val="20"/>
          <w:szCs w:val="20"/>
        </w:rPr>
        <w:t xml:space="preserve">, </w:t>
      </w:r>
      <w:r w:rsidRPr="00A3195F">
        <w:rPr>
          <w:rFonts w:ascii="Times" w:hAnsi="Times" w:cs="Times New Roman"/>
          <w:i/>
          <w:iCs/>
          <w:sz w:val="20"/>
          <w:szCs w:val="20"/>
        </w:rPr>
        <w:t>12</w:t>
      </w:r>
      <w:r w:rsidRPr="00A3195F">
        <w:rPr>
          <w:rFonts w:ascii="Times" w:hAnsi="Times" w:cs="Times New Roman"/>
          <w:sz w:val="20"/>
          <w:szCs w:val="20"/>
        </w:rPr>
        <w:t>.1. 70-87.</w:t>
      </w:r>
    </w:p>
    <w:p w14:paraId="1B9B9FB0" w14:textId="77777777" w:rsidR="00F616D6" w:rsidRDefault="00F616D6" w:rsidP="00F616D6">
      <w:pPr>
        <w:jc w:val="center"/>
      </w:pPr>
      <w:r>
        <w:rPr>
          <w:noProof/>
          <w:color w:val="0000FF"/>
        </w:rPr>
        <w:drawing>
          <wp:inline distT="0" distB="0" distL="0" distR="0" wp14:anchorId="3C49D178" wp14:editId="76F5BAB6">
            <wp:extent cx="1018540" cy="185420"/>
            <wp:effectExtent l="0" t="0" r="0" b="5080"/>
            <wp:docPr id="3" name="Picture 3"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8540" cy="185420"/>
                    </a:xfrm>
                    <a:prstGeom prst="rect">
                      <a:avLst/>
                    </a:prstGeom>
                    <a:noFill/>
                    <a:ln>
                      <a:noFill/>
                    </a:ln>
                  </pic:spPr>
                </pic:pic>
              </a:graphicData>
            </a:graphic>
          </wp:inline>
        </w:drawing>
      </w:r>
      <w:r>
        <w:br/>
        <w:t xml:space="preserve">Content is licensed under a </w:t>
      </w:r>
      <w:hyperlink r:id="rId14" w:history="1">
        <w:r>
          <w:rPr>
            <w:rStyle w:val="Hyperlink"/>
          </w:rPr>
          <w:t>Creative Commons Attribution-</w:t>
        </w:r>
        <w:proofErr w:type="spellStart"/>
        <w:r>
          <w:rPr>
            <w:rStyle w:val="Hyperlink"/>
          </w:rPr>
          <w:t>NonCommercial</w:t>
        </w:r>
        <w:proofErr w:type="spellEnd"/>
        <w:r>
          <w:rPr>
            <w:rStyle w:val="Hyperlink"/>
          </w:rPr>
          <w:t xml:space="preserve"> 4.0 International License</w:t>
        </w:r>
      </w:hyperlink>
      <w:r>
        <w:t>.</w:t>
      </w:r>
    </w:p>
    <w:p w14:paraId="074C00BB" w14:textId="77777777" w:rsidR="000C22FC" w:rsidRDefault="000C22FC" w:rsidP="00A3195F"/>
    <w:sectPr w:rsidR="000C22FC" w:rsidSect="00A3195F">
      <w:pgSz w:w="12240" w:h="15840"/>
      <w:pgMar w:top="900" w:right="18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134"/>
    <w:multiLevelType w:val="multilevel"/>
    <w:tmpl w:val="8FAC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E7CDA"/>
    <w:multiLevelType w:val="multilevel"/>
    <w:tmpl w:val="2374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95F"/>
    <w:rsid w:val="000C22FC"/>
    <w:rsid w:val="002D2938"/>
    <w:rsid w:val="00A3195F"/>
    <w:rsid w:val="00C9720B"/>
    <w:rsid w:val="00F613F5"/>
    <w:rsid w:val="00F61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E8F0D"/>
  <w14:defaultImageDpi w14:val="300"/>
  <w15:docId w15:val="{F13EA73D-4EB9-1840-8896-5DEF50F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195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3195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3195F"/>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A3195F"/>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A3195F"/>
    <w:rPr>
      <w:rFonts w:ascii="Times" w:hAnsi="Times"/>
      <w:b/>
      <w:bCs/>
      <w:kern w:val="36"/>
      <w:sz w:val="48"/>
      <w:szCs w:val="48"/>
    </w:rPr>
  </w:style>
  <w:style w:type="character" w:customStyle="1" w:styleId="Heading2Char">
    <w:name w:val="Heading 2 Char"/>
    <w:basedOn w:val="DefaultParagraphFont"/>
    <w:link w:val="Heading2"/>
    <w:uiPriority w:val="9"/>
    <w:rsid w:val="00A3195F"/>
    <w:rPr>
      <w:rFonts w:ascii="Times" w:hAnsi="Times"/>
      <w:b/>
      <w:bCs/>
      <w:sz w:val="36"/>
      <w:szCs w:val="36"/>
    </w:rPr>
  </w:style>
  <w:style w:type="character" w:customStyle="1" w:styleId="Heading3Char">
    <w:name w:val="Heading 3 Char"/>
    <w:basedOn w:val="DefaultParagraphFont"/>
    <w:link w:val="Heading3"/>
    <w:uiPriority w:val="9"/>
    <w:rsid w:val="00A3195F"/>
    <w:rPr>
      <w:rFonts w:ascii="Times" w:hAnsi="Times"/>
      <w:b/>
      <w:bCs/>
      <w:sz w:val="27"/>
      <w:szCs w:val="27"/>
    </w:rPr>
  </w:style>
  <w:style w:type="character" w:customStyle="1" w:styleId="Heading6Char">
    <w:name w:val="Heading 6 Char"/>
    <w:basedOn w:val="DefaultParagraphFont"/>
    <w:link w:val="Heading6"/>
    <w:uiPriority w:val="9"/>
    <w:rsid w:val="00A3195F"/>
    <w:rPr>
      <w:rFonts w:ascii="Times" w:hAnsi="Times"/>
      <w:b/>
      <w:bCs/>
      <w:sz w:val="15"/>
      <w:szCs w:val="15"/>
    </w:rPr>
  </w:style>
  <w:style w:type="character" w:styleId="Emphasis">
    <w:name w:val="Emphasis"/>
    <w:basedOn w:val="DefaultParagraphFont"/>
    <w:uiPriority w:val="20"/>
    <w:qFormat/>
    <w:rsid w:val="00A3195F"/>
    <w:rPr>
      <w:i/>
      <w:iCs/>
    </w:rPr>
  </w:style>
  <w:style w:type="paragraph" w:styleId="NormalWeb">
    <w:name w:val="Normal (Web)"/>
    <w:basedOn w:val="Normal"/>
    <w:uiPriority w:val="99"/>
    <w:semiHidden/>
    <w:unhideWhenUsed/>
    <w:rsid w:val="00A3195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3195F"/>
    <w:rPr>
      <w:color w:val="0000FF"/>
      <w:u w:val="single"/>
    </w:rPr>
  </w:style>
  <w:style w:type="character" w:styleId="Strong">
    <w:name w:val="Strong"/>
    <w:basedOn w:val="DefaultParagraphFont"/>
    <w:uiPriority w:val="22"/>
    <w:qFormat/>
    <w:rsid w:val="00A3195F"/>
    <w:rPr>
      <w:b/>
      <w:bCs/>
    </w:rPr>
  </w:style>
  <w:style w:type="paragraph" w:styleId="BalloonText">
    <w:name w:val="Balloon Text"/>
    <w:basedOn w:val="Normal"/>
    <w:link w:val="BalloonTextChar"/>
    <w:uiPriority w:val="99"/>
    <w:semiHidden/>
    <w:unhideWhenUsed/>
    <w:rsid w:val="00F613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3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547052">
      <w:bodyDiv w:val="1"/>
      <w:marLeft w:val="0"/>
      <w:marRight w:val="0"/>
      <w:marTop w:val="0"/>
      <w:marBottom w:val="0"/>
      <w:divBdr>
        <w:top w:val="none" w:sz="0" w:space="0" w:color="auto"/>
        <w:left w:val="none" w:sz="0" w:space="0" w:color="auto"/>
        <w:bottom w:val="none" w:sz="0" w:space="0" w:color="auto"/>
        <w:right w:val="none" w:sz="0" w:space="0" w:color="auto"/>
      </w:divBdr>
      <w:divsChild>
        <w:div w:id="206264292">
          <w:marLeft w:val="0"/>
          <w:marRight w:val="0"/>
          <w:marTop w:val="0"/>
          <w:marBottom w:val="0"/>
          <w:divBdr>
            <w:top w:val="none" w:sz="0" w:space="0" w:color="auto"/>
            <w:left w:val="none" w:sz="0" w:space="0" w:color="auto"/>
            <w:bottom w:val="none" w:sz="0" w:space="0" w:color="auto"/>
            <w:right w:val="none" w:sz="0" w:space="0" w:color="auto"/>
          </w:divBdr>
          <w:divsChild>
            <w:div w:id="104155535">
              <w:marLeft w:val="0"/>
              <w:marRight w:val="0"/>
              <w:marTop w:val="0"/>
              <w:marBottom w:val="0"/>
              <w:divBdr>
                <w:top w:val="none" w:sz="0" w:space="0" w:color="auto"/>
                <w:left w:val="none" w:sz="0" w:space="0" w:color="auto"/>
                <w:bottom w:val="none" w:sz="0" w:space="0" w:color="auto"/>
                <w:right w:val="none" w:sz="0" w:space="0" w:color="auto"/>
              </w:divBdr>
              <w:divsChild>
                <w:div w:id="6170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teaching-guides/assessment/beyond-the-essay/beyond-the-essay-summativ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ft.vanderbilt.edu/teaching-guides/assessment/beyond-the-essay/beyond-the-essay-formative/" TargetMode="External"/><Relationship Id="rId12" Type="http://schemas.openxmlformats.org/officeDocument/2006/relationships/hyperlink" Target="http://creativecommons.org/licenses/by-nc/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ndls.georgetown.edu/about/grants/vkp/" TargetMode="External"/><Relationship Id="rId11" Type="http://schemas.openxmlformats.org/officeDocument/2006/relationships/hyperlink" Target="http://ahh.sagepub.com/content/12/1/70.abstrac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ylus.styluspub.com/books/BookDetail.aspx?productID=182769" TargetMode="External"/><Relationship Id="rId4" Type="http://schemas.openxmlformats.org/officeDocument/2006/relationships/webSettings" Target="webSettings.xml"/><Relationship Id="rId9" Type="http://schemas.openxmlformats.org/officeDocument/2006/relationships/hyperlink" Target="http://ctlt2.sites.olt.ubc.ca/files/2010/08/Scholarship-of-Teaching-and-Learning.pdf" TargetMode="External"/><Relationship Id="rId1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Company>vanderbilt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2021-02-17T18:20:00Z</dcterms:created>
  <dcterms:modified xsi:type="dcterms:W3CDTF">2021-02-17T18:20:00Z</dcterms:modified>
</cp:coreProperties>
</file>