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C0CB" w14:textId="27CB97B1" w:rsidR="0015083E" w:rsidRPr="00A964A3" w:rsidRDefault="00A964A3" w:rsidP="0015083E">
      <w:pPr>
        <w:spacing w:before="100" w:beforeAutospacing="1" w:after="100" w:afterAutospacing="1"/>
        <w:rPr>
          <w:rFonts w:ascii="Times" w:hAnsi="Times" w:cs="Times New Roman"/>
          <w:b/>
          <w:iCs/>
          <w:sz w:val="40"/>
          <w:szCs w:val="40"/>
        </w:rPr>
      </w:pPr>
      <w:r>
        <w:rPr>
          <w:rFonts w:ascii="Times" w:hAnsi="Times" w:cs="Times New Roman"/>
          <w:noProof/>
          <w:sz w:val="20"/>
          <w:szCs w:val="20"/>
        </w:rPr>
        <w:drawing>
          <wp:anchor distT="0" distB="0" distL="114300" distR="114300" simplePos="0" relativeHeight="251661312" behindDoc="0" locked="0" layoutInCell="1" allowOverlap="1" wp14:anchorId="353805C0" wp14:editId="414154F1">
            <wp:simplePos x="0" y="0"/>
            <wp:positionH relativeFrom="column">
              <wp:posOffset>5257800</wp:posOffset>
            </wp:positionH>
            <wp:positionV relativeFrom="paragraph">
              <wp:posOffset>-114300</wp:posOffset>
            </wp:positionV>
            <wp:extent cx="1342390" cy="1856105"/>
            <wp:effectExtent l="0" t="0" r="3810" b="0"/>
            <wp:wrapNone/>
            <wp:docPr id="4" name="Picture 4"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8561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5083E" w:rsidRPr="0015083E">
        <w:rPr>
          <w:rFonts w:ascii="Times" w:hAnsi="Times" w:cs="Times New Roman"/>
          <w:b/>
          <w:iCs/>
          <w:sz w:val="40"/>
          <w:szCs w:val="40"/>
        </w:rPr>
        <w:t>Metacognition</w:t>
      </w:r>
      <w:r>
        <w:rPr>
          <w:rFonts w:ascii="Times" w:hAnsi="Times" w:cs="Times New Roman"/>
          <w:b/>
          <w:iCs/>
          <w:sz w:val="40"/>
          <w:szCs w:val="40"/>
        </w:rPr>
        <w:br/>
      </w:r>
      <w:r w:rsidR="0015083E" w:rsidRPr="0015083E">
        <w:rPr>
          <w:rFonts w:ascii="Times" w:hAnsi="Times" w:cs="Times New Roman"/>
          <w:i/>
          <w:iCs/>
          <w:sz w:val="20"/>
          <w:szCs w:val="20"/>
        </w:rPr>
        <w:t>by Nancy Chick</w:t>
      </w:r>
      <w:bookmarkStart w:id="0" w:name="def"/>
      <w:bookmarkEnd w:id="0"/>
    </w:p>
    <w:p w14:paraId="4E910985" w14:textId="77777777" w:rsidR="0015083E" w:rsidRPr="0015083E" w:rsidRDefault="0015083E" w:rsidP="0015083E">
      <w:pPr>
        <w:spacing w:before="100" w:beforeAutospacing="1" w:after="100" w:afterAutospacing="1"/>
        <w:outlineLvl w:val="1"/>
        <w:rPr>
          <w:rFonts w:ascii="Times" w:eastAsia="Times New Roman" w:hAnsi="Times" w:cs="Times New Roman"/>
          <w:b/>
          <w:bCs/>
          <w:sz w:val="36"/>
          <w:szCs w:val="36"/>
        </w:rPr>
      </w:pPr>
      <w:r w:rsidRPr="0015083E">
        <w:rPr>
          <w:rFonts w:ascii="Times" w:eastAsia="Times New Roman" w:hAnsi="Times" w:cs="Times New Roman"/>
          <w:b/>
          <w:bCs/>
          <w:sz w:val="36"/>
          <w:szCs w:val="36"/>
        </w:rPr>
        <w:t>Thinking about One’s Thinking</w:t>
      </w:r>
    </w:p>
    <w:p w14:paraId="2D270657"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Metacognition is, put simply, thinking about one’s thinking.  M</w:t>
      </w:r>
      <w:r w:rsidR="00A964A3">
        <w:rPr>
          <w:rFonts w:ascii="Times" w:hAnsi="Times" w:cs="Times New Roman"/>
          <w:sz w:val="20"/>
          <w:szCs w:val="20"/>
        </w:rPr>
        <w:t>ore precisely, it refers to the</w:t>
      </w:r>
      <w:r w:rsidR="00A964A3">
        <w:rPr>
          <w:rFonts w:ascii="Times" w:hAnsi="Times" w:cs="Times New Roman"/>
          <w:sz w:val="20"/>
          <w:szCs w:val="20"/>
        </w:rPr>
        <w:br/>
      </w:r>
      <w:r w:rsidRPr="0015083E">
        <w:rPr>
          <w:rFonts w:ascii="Times" w:hAnsi="Times" w:cs="Times New Roman"/>
          <w:sz w:val="20"/>
          <w:szCs w:val="20"/>
        </w:rPr>
        <w:t xml:space="preserve">processes used to plan, monitor, and assess one’s understanding and </w:t>
      </w:r>
      <w:r w:rsidR="00A964A3">
        <w:rPr>
          <w:rFonts w:ascii="Times" w:hAnsi="Times" w:cs="Times New Roman"/>
          <w:sz w:val="20"/>
          <w:szCs w:val="20"/>
        </w:rPr>
        <w:t>performance. Metacognition</w:t>
      </w:r>
      <w:r w:rsidR="00A964A3">
        <w:rPr>
          <w:rFonts w:ascii="Times" w:hAnsi="Times" w:cs="Times New Roman"/>
          <w:sz w:val="20"/>
          <w:szCs w:val="20"/>
        </w:rPr>
        <w:br/>
      </w:r>
      <w:r w:rsidRPr="0015083E">
        <w:rPr>
          <w:rFonts w:ascii="Times" w:hAnsi="Times" w:cs="Times New Roman"/>
          <w:sz w:val="20"/>
          <w:szCs w:val="20"/>
        </w:rPr>
        <w:t>includes a critical awareness of a) one’s thinking and learning and b) oneself as a thinker and learner.</w:t>
      </w:r>
    </w:p>
    <w:p w14:paraId="4D2AF4F9" w14:textId="77777777" w:rsidR="00A964A3" w:rsidRDefault="00A964A3" w:rsidP="0015083E">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anchor distT="0" distB="0" distL="114300" distR="114300" simplePos="0" relativeHeight="251660288" behindDoc="0" locked="0" layoutInCell="1" allowOverlap="1" wp14:anchorId="02647241" wp14:editId="627FCCC7">
            <wp:simplePos x="0" y="0"/>
            <wp:positionH relativeFrom="column">
              <wp:posOffset>0</wp:posOffset>
            </wp:positionH>
            <wp:positionV relativeFrom="paragraph">
              <wp:posOffset>151765</wp:posOffset>
            </wp:positionV>
            <wp:extent cx="2045970" cy="1637665"/>
            <wp:effectExtent l="0" t="0" r="11430" b="0"/>
            <wp:wrapSquare wrapText="bothSides"/>
            <wp:docPr id="1" name="Picture 1" descr="http://wp0.vanderbilt.edu/cft/wp-content/uploads/sites/59/metacog-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0.vanderbilt.edu/cft/wp-content/uploads/sites/59/metacog-300x24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970"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4C53C" w14:textId="77777777" w:rsid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Initially studied for it</w:t>
      </w:r>
      <w:r w:rsidR="00A964A3">
        <w:rPr>
          <w:rFonts w:ascii="Times" w:hAnsi="Times" w:cs="Times New Roman"/>
          <w:sz w:val="20"/>
          <w:szCs w:val="20"/>
        </w:rPr>
        <w:t>s development in young children</w:t>
      </w:r>
      <w:r w:rsidR="00A964A3">
        <w:rPr>
          <w:rFonts w:ascii="Times" w:hAnsi="Times" w:cs="Times New Roman"/>
          <w:sz w:val="20"/>
          <w:szCs w:val="20"/>
        </w:rPr>
        <w:br/>
      </w:r>
      <w:r w:rsidRPr="0015083E">
        <w:rPr>
          <w:rFonts w:ascii="Times" w:hAnsi="Times" w:cs="Times New Roman"/>
          <w:sz w:val="20"/>
          <w:szCs w:val="20"/>
        </w:rPr>
        <w:t>(Baker &amp; Brown, 1984; Flavell, 1</w:t>
      </w:r>
      <w:r w:rsidR="00A964A3">
        <w:rPr>
          <w:rFonts w:ascii="Times" w:hAnsi="Times" w:cs="Times New Roman"/>
          <w:sz w:val="20"/>
          <w:szCs w:val="20"/>
        </w:rPr>
        <w:t>985), researchers soon began to</w:t>
      </w:r>
      <w:r w:rsidR="00A964A3">
        <w:rPr>
          <w:rFonts w:ascii="Times" w:hAnsi="Times" w:cs="Times New Roman"/>
          <w:sz w:val="20"/>
          <w:szCs w:val="20"/>
        </w:rPr>
        <w:br/>
      </w:r>
      <w:r w:rsidRPr="0015083E">
        <w:rPr>
          <w:rFonts w:ascii="Times" w:hAnsi="Times" w:cs="Times New Roman"/>
          <w:sz w:val="20"/>
          <w:szCs w:val="20"/>
        </w:rPr>
        <w:t>look at how experts display metacognitive thinking and how, then, these thought processes can be taught to novices to improve their learning (</w:t>
      </w:r>
      <w:proofErr w:type="spellStart"/>
      <w:r w:rsidRPr="0015083E">
        <w:rPr>
          <w:rFonts w:ascii="Times" w:hAnsi="Times" w:cs="Times New Roman"/>
          <w:sz w:val="20"/>
          <w:szCs w:val="20"/>
        </w:rPr>
        <w:t>Hatano</w:t>
      </w:r>
      <w:proofErr w:type="spellEnd"/>
      <w:r w:rsidRPr="0015083E">
        <w:rPr>
          <w:rFonts w:ascii="Times" w:hAnsi="Times" w:cs="Times New Roman"/>
          <w:sz w:val="20"/>
          <w:szCs w:val="20"/>
        </w:rPr>
        <w:t xml:space="preserve"> &amp; Inagaki, 1986).  In </w:t>
      </w:r>
      <w:hyperlink r:id="rId8" w:tgtFrame="_blank" w:history="1">
        <w:r w:rsidRPr="0015083E">
          <w:rPr>
            <w:rFonts w:ascii="Times" w:hAnsi="Times" w:cs="Times New Roman"/>
            <w:i/>
            <w:iCs/>
            <w:color w:val="0000FF"/>
            <w:sz w:val="20"/>
            <w:szCs w:val="20"/>
            <w:u w:val="single"/>
          </w:rPr>
          <w:t>How People Learn</w:t>
        </w:r>
      </w:hyperlink>
      <w:r w:rsidRPr="0015083E">
        <w:rPr>
          <w:rFonts w:ascii="Times" w:hAnsi="Times" w:cs="Times New Roman"/>
          <w:sz w:val="20"/>
          <w:szCs w:val="20"/>
        </w:rPr>
        <w:t xml:space="preserve">, the National Academy of Sciences’ synthesis of decades of research on the science of learning, </w:t>
      </w:r>
      <w:r w:rsidRPr="0015083E">
        <w:rPr>
          <w:rFonts w:ascii="Times" w:hAnsi="Times" w:cs="Times New Roman"/>
          <w:b/>
          <w:bCs/>
          <w:sz w:val="20"/>
          <w:szCs w:val="20"/>
        </w:rPr>
        <w:t>one of the three key findings of this work is the effectiveness of a “‘metacognitive’ approach to instruction”</w:t>
      </w:r>
      <w:r w:rsidRPr="0015083E">
        <w:rPr>
          <w:rFonts w:ascii="Times" w:hAnsi="Times" w:cs="Times New Roman"/>
          <w:sz w:val="20"/>
          <w:szCs w:val="20"/>
        </w:rPr>
        <w:t xml:space="preserve"> (Bransford, Brown, &amp; Cocking, 2000, p. 18).</w:t>
      </w:r>
    </w:p>
    <w:p w14:paraId="460F3AEE" w14:textId="77777777" w:rsidR="00A964A3" w:rsidRPr="0015083E" w:rsidRDefault="00A964A3" w:rsidP="0015083E">
      <w:pPr>
        <w:spacing w:before="100" w:beforeAutospacing="1" w:after="100" w:afterAutospacing="1"/>
        <w:rPr>
          <w:rFonts w:ascii="Times" w:hAnsi="Times" w:cs="Times New Roman"/>
          <w:sz w:val="20"/>
          <w:szCs w:val="20"/>
        </w:rPr>
      </w:pPr>
    </w:p>
    <w:p w14:paraId="515495C6"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Metacognitive practices increase students’ abilities to transfer or adapt their learning to new contexts and tasks (Bransford, Brown, &amp; Cocking, p. 12; </w:t>
      </w:r>
      <w:proofErr w:type="spellStart"/>
      <w:r w:rsidRPr="0015083E">
        <w:rPr>
          <w:rFonts w:ascii="Times" w:hAnsi="Times" w:cs="Times New Roman"/>
          <w:sz w:val="20"/>
          <w:szCs w:val="20"/>
        </w:rPr>
        <w:t>Palincsar</w:t>
      </w:r>
      <w:proofErr w:type="spellEnd"/>
      <w:r w:rsidRPr="0015083E">
        <w:rPr>
          <w:rFonts w:ascii="Times" w:hAnsi="Times" w:cs="Times New Roman"/>
          <w:sz w:val="20"/>
          <w:szCs w:val="20"/>
        </w:rPr>
        <w:t xml:space="preserve"> &amp; Brown, 1984; </w:t>
      </w:r>
      <w:proofErr w:type="spellStart"/>
      <w:r w:rsidRPr="0015083E">
        <w:rPr>
          <w:rFonts w:ascii="Times" w:hAnsi="Times" w:cs="Times New Roman"/>
          <w:sz w:val="20"/>
          <w:szCs w:val="20"/>
        </w:rPr>
        <w:t>Scardamalia</w:t>
      </w:r>
      <w:proofErr w:type="spellEnd"/>
      <w:r w:rsidRPr="0015083E">
        <w:rPr>
          <w:rFonts w:ascii="Times" w:hAnsi="Times" w:cs="Times New Roman"/>
          <w:sz w:val="20"/>
          <w:szCs w:val="20"/>
        </w:rPr>
        <w:t xml:space="preserve"> et al., 1984; Schoenfeld, 1983, 1985, 1991).  They do this by gaining a level of awareness </w:t>
      </w:r>
      <w:r w:rsidRPr="0015083E">
        <w:rPr>
          <w:rFonts w:ascii="Times" w:hAnsi="Times" w:cs="Times New Roman"/>
          <w:i/>
          <w:iCs/>
          <w:sz w:val="20"/>
          <w:szCs w:val="20"/>
        </w:rPr>
        <w:t>above the subject matter</w:t>
      </w:r>
      <w:r w:rsidRPr="0015083E">
        <w:rPr>
          <w:rFonts w:ascii="Times" w:hAnsi="Times" w:cs="Times New Roman"/>
          <w:sz w:val="20"/>
          <w:szCs w:val="20"/>
        </w:rPr>
        <w:t xml:space="preserve">: they also think about the tasks and contexts of different learning situations and themselves as learners in these different contexts.  When </w:t>
      </w:r>
      <w:proofErr w:type="spellStart"/>
      <w:r w:rsidRPr="0015083E">
        <w:rPr>
          <w:rFonts w:ascii="Times" w:hAnsi="Times" w:cs="Times New Roman"/>
          <w:sz w:val="20"/>
          <w:szCs w:val="20"/>
        </w:rPr>
        <w:t>Pintrich</w:t>
      </w:r>
      <w:proofErr w:type="spellEnd"/>
      <w:r w:rsidRPr="0015083E">
        <w:rPr>
          <w:rFonts w:ascii="Times" w:hAnsi="Times" w:cs="Times New Roman"/>
          <w:sz w:val="20"/>
          <w:szCs w:val="20"/>
        </w:rPr>
        <w:t xml:space="preserve"> (2002) asserts that “Students who know about the different kinds of strategies for learning, thinking, and problem solving will be more likely to use them” (p. 222), notice the students must “know about” these strategies, not just practice them.  As Zohar and David (2009) explain, there must be a “</w:t>
      </w:r>
      <w:r w:rsidRPr="0015083E">
        <w:rPr>
          <w:rFonts w:ascii="Times" w:hAnsi="Times" w:cs="Times New Roman"/>
          <w:i/>
          <w:iCs/>
          <w:sz w:val="20"/>
          <w:szCs w:val="20"/>
        </w:rPr>
        <w:t>conscious</w:t>
      </w:r>
      <w:r w:rsidRPr="0015083E">
        <w:rPr>
          <w:rFonts w:ascii="Times" w:hAnsi="Times" w:cs="Times New Roman"/>
          <w:sz w:val="20"/>
          <w:szCs w:val="20"/>
        </w:rPr>
        <w:t xml:space="preserve"> meta-strategic level of H[</w:t>
      </w:r>
      <w:proofErr w:type="spellStart"/>
      <w:r w:rsidRPr="0015083E">
        <w:rPr>
          <w:rFonts w:ascii="Times" w:hAnsi="Times" w:cs="Times New Roman"/>
          <w:sz w:val="20"/>
          <w:szCs w:val="20"/>
        </w:rPr>
        <w:t>igher</w:t>
      </w:r>
      <w:proofErr w:type="spellEnd"/>
      <w:r w:rsidRPr="0015083E">
        <w:rPr>
          <w:rFonts w:ascii="Times" w:hAnsi="Times" w:cs="Times New Roman"/>
          <w:sz w:val="20"/>
          <w:szCs w:val="20"/>
        </w:rPr>
        <w:t>] O[</w:t>
      </w:r>
      <w:proofErr w:type="spellStart"/>
      <w:r w:rsidRPr="0015083E">
        <w:rPr>
          <w:rFonts w:ascii="Times" w:hAnsi="Times" w:cs="Times New Roman"/>
          <w:sz w:val="20"/>
          <w:szCs w:val="20"/>
        </w:rPr>
        <w:t>rder</w:t>
      </w:r>
      <w:proofErr w:type="spellEnd"/>
      <w:r w:rsidRPr="0015083E">
        <w:rPr>
          <w:rFonts w:ascii="Times" w:hAnsi="Times" w:cs="Times New Roman"/>
          <w:sz w:val="20"/>
          <w:szCs w:val="20"/>
        </w:rPr>
        <w:t>] T[</w:t>
      </w:r>
      <w:proofErr w:type="spellStart"/>
      <w:r w:rsidRPr="0015083E">
        <w:rPr>
          <w:rFonts w:ascii="Times" w:hAnsi="Times" w:cs="Times New Roman"/>
          <w:sz w:val="20"/>
          <w:szCs w:val="20"/>
        </w:rPr>
        <w:t>hinking</w:t>
      </w:r>
      <w:proofErr w:type="spellEnd"/>
      <w:r w:rsidRPr="0015083E">
        <w:rPr>
          <w:rFonts w:ascii="Times" w:hAnsi="Times" w:cs="Times New Roman"/>
          <w:sz w:val="20"/>
          <w:szCs w:val="20"/>
        </w:rPr>
        <w:t>]” (p. 179).</w:t>
      </w:r>
    </w:p>
    <w:p w14:paraId="3502BA8D"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Metacognitive practices help students become aware of their strengths and weaknesses as learners, writers, readers, test-takers, group members, etc.  A key element is recognizing the limit of one’s knowledge or ability and then figuring out how to expand that knowledge or extend the ability. Those who know their strengths and weaknesses in these areas will be more likely to “actively monitor their learning strategies and resources and assess their readiness for particular tasks and performances” (Bransford, Brown, &amp; Cocking, p. 67).</w:t>
      </w:r>
    </w:p>
    <w:p w14:paraId="44BB8319"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The absence of metacognition connects to the research by Dunning, Johnson, </w:t>
      </w:r>
      <w:proofErr w:type="spellStart"/>
      <w:r w:rsidRPr="0015083E">
        <w:rPr>
          <w:rFonts w:ascii="Times" w:hAnsi="Times" w:cs="Times New Roman"/>
          <w:sz w:val="20"/>
          <w:szCs w:val="20"/>
        </w:rPr>
        <w:t>Ehrlinger</w:t>
      </w:r>
      <w:proofErr w:type="spellEnd"/>
      <w:r w:rsidRPr="0015083E">
        <w:rPr>
          <w:rFonts w:ascii="Times" w:hAnsi="Times" w:cs="Times New Roman"/>
          <w:sz w:val="20"/>
          <w:szCs w:val="20"/>
        </w:rPr>
        <w:t xml:space="preserve">, and Kruger on “Why People Fail to Recognize Their Own Incompetence” (2003).  They found that “people tend to be blissfully unaware of their incompetence,” lacking “insight about deficiencies in their intellectual and social skills.”  They identified this pattern across domains—from test-taking, writing grammatically, thinking logically, to recognizing humor, to hunters’ knowledge about firearms and medical lab technicians’ knowledge of medical terminology and problem-solving skills (p. 83-84).  In short, “if people lack the skills to produce correct answers, they are also cursed with an inability to know when their answers, or anyone else’s, are right or wrong” (p. 85).  </w:t>
      </w:r>
      <w:bookmarkStart w:id="1" w:name="practice"/>
      <w:bookmarkEnd w:id="1"/>
      <w:r w:rsidRPr="0015083E">
        <w:rPr>
          <w:rFonts w:ascii="Times" w:hAnsi="Times" w:cs="Times New Roman"/>
          <w:sz w:val="20"/>
          <w:szCs w:val="20"/>
        </w:rPr>
        <w:t>This research suggests that increased metacognitive abilities—to learn specific (and correct) skills, how to recognize them, and how to practice them—is needed in many contexts.</w:t>
      </w:r>
    </w:p>
    <w:p w14:paraId="68A121AF"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w:t>
      </w:r>
    </w:p>
    <w:p w14:paraId="08961AFB" w14:textId="77777777" w:rsidR="0015083E" w:rsidRPr="0015083E" w:rsidRDefault="0015083E" w:rsidP="0015083E">
      <w:pPr>
        <w:spacing w:before="100" w:beforeAutospacing="1" w:after="100" w:afterAutospacing="1"/>
        <w:outlineLvl w:val="1"/>
        <w:rPr>
          <w:rFonts w:ascii="Times" w:eastAsia="Times New Roman" w:hAnsi="Times" w:cs="Times New Roman"/>
          <w:b/>
          <w:bCs/>
          <w:sz w:val="36"/>
          <w:szCs w:val="36"/>
        </w:rPr>
      </w:pPr>
      <w:r w:rsidRPr="0015083E">
        <w:rPr>
          <w:rFonts w:ascii="Times" w:eastAsia="Times New Roman" w:hAnsi="Times" w:cs="Times New Roman"/>
          <w:b/>
          <w:bCs/>
          <w:sz w:val="36"/>
          <w:szCs w:val="36"/>
        </w:rPr>
        <w:t>Putting Metacognition into Practice</w:t>
      </w:r>
    </w:p>
    <w:p w14:paraId="0195D1F3" w14:textId="77777777" w:rsid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In “</w:t>
      </w:r>
      <w:hyperlink r:id="rId9" w:tgtFrame="_blank" w:history="1">
        <w:r w:rsidRPr="0015083E">
          <w:rPr>
            <w:rFonts w:ascii="Times" w:hAnsi="Times" w:cs="Times New Roman"/>
            <w:color w:val="0000FF"/>
            <w:sz w:val="20"/>
            <w:szCs w:val="20"/>
            <w:u w:val="single"/>
          </w:rPr>
          <w:t>Promoting Student Metacognition</w:t>
        </w:r>
      </w:hyperlink>
      <w:r w:rsidRPr="0015083E">
        <w:rPr>
          <w:rFonts w:ascii="Times" w:hAnsi="Times" w:cs="Times New Roman"/>
          <w:sz w:val="20"/>
          <w:szCs w:val="20"/>
        </w:rPr>
        <w:t xml:space="preserve">,” Tanner (2012) offers a handful of specific activities for biology classes, but they can be adapted to any discipline. She first describes four </w:t>
      </w:r>
      <w:r w:rsidRPr="0015083E">
        <w:rPr>
          <w:rFonts w:ascii="Times" w:hAnsi="Times" w:cs="Times New Roman"/>
          <w:b/>
          <w:bCs/>
          <w:sz w:val="20"/>
          <w:szCs w:val="20"/>
        </w:rPr>
        <w:t xml:space="preserve">assignments for explicit instruction </w:t>
      </w:r>
      <w:r w:rsidRPr="0015083E">
        <w:rPr>
          <w:rFonts w:ascii="Times" w:hAnsi="Times" w:cs="Times New Roman"/>
          <w:sz w:val="20"/>
          <w:szCs w:val="20"/>
        </w:rPr>
        <w:t>(p. 116):</w:t>
      </w:r>
    </w:p>
    <w:p w14:paraId="6BA404AE" w14:textId="77777777" w:rsidR="00A964A3" w:rsidRPr="0015083E" w:rsidRDefault="00A964A3" w:rsidP="0015083E">
      <w:pPr>
        <w:spacing w:before="100" w:beforeAutospacing="1" w:after="100" w:afterAutospacing="1"/>
        <w:rPr>
          <w:rFonts w:ascii="Times" w:hAnsi="Times" w:cs="Times New Roman"/>
          <w:sz w:val="20"/>
          <w:szCs w:val="20"/>
        </w:rPr>
      </w:pPr>
    </w:p>
    <w:p w14:paraId="0E548A44" w14:textId="77777777" w:rsidR="0015083E" w:rsidRPr="0015083E" w:rsidRDefault="0015083E" w:rsidP="0015083E">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i/>
          <w:iCs/>
          <w:noProof/>
          <w:color w:val="0000FF"/>
          <w:sz w:val="20"/>
          <w:szCs w:val="20"/>
        </w:rPr>
        <w:lastRenderedPageBreak/>
        <w:drawing>
          <wp:anchor distT="0" distB="0" distL="114300" distR="114300" simplePos="0" relativeHeight="251658240" behindDoc="0" locked="0" layoutInCell="1" allowOverlap="1" wp14:anchorId="5BDFCBBB" wp14:editId="3397A2D2">
            <wp:simplePos x="0" y="0"/>
            <wp:positionH relativeFrom="column">
              <wp:align>right</wp:align>
            </wp:positionH>
            <wp:positionV relativeFrom="paragraph">
              <wp:posOffset>137795</wp:posOffset>
            </wp:positionV>
            <wp:extent cx="2007870" cy="2007870"/>
            <wp:effectExtent l="0" t="0" r="0" b="0"/>
            <wp:wrapSquare wrapText="bothSides"/>
            <wp:docPr id="2" name="Picture 2" descr="http://wp0.vanderbilt.edu/cft/wp-content/uploads/sites/59/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0.vanderbilt.edu/cft/wp-content/uploads/sites/59/quest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0078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5083E">
        <w:rPr>
          <w:rFonts w:ascii="Times" w:eastAsia="Times New Roman" w:hAnsi="Times" w:cs="Times New Roman"/>
          <w:sz w:val="20"/>
          <w:szCs w:val="20"/>
        </w:rPr>
        <w:t xml:space="preserve">Preassessments—Encouraging Students to Examine Their Current Thinking: </w:t>
      </w:r>
      <w:r w:rsidRPr="0015083E">
        <w:rPr>
          <w:rFonts w:ascii="Times" w:eastAsia="Times New Roman" w:hAnsi="Times" w:cs="Times New Roman"/>
          <w:i/>
          <w:iCs/>
          <w:sz w:val="20"/>
          <w:szCs w:val="20"/>
        </w:rPr>
        <w:t>“What do I already know about this topic that could guide my learning?”</w:t>
      </w:r>
    </w:p>
    <w:p w14:paraId="5C4905E1" w14:textId="77777777" w:rsidR="0015083E" w:rsidRPr="0015083E" w:rsidRDefault="0015083E" w:rsidP="0015083E">
      <w:pPr>
        <w:numPr>
          <w:ilvl w:val="0"/>
          <w:numId w:val="1"/>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The Muddiest Point—Giving Students Practice in Identifying Confusions: </w:t>
      </w:r>
      <w:r w:rsidRPr="0015083E">
        <w:rPr>
          <w:rFonts w:ascii="Times" w:eastAsia="Times New Roman" w:hAnsi="Times" w:cs="Times New Roman"/>
          <w:i/>
          <w:iCs/>
          <w:sz w:val="20"/>
          <w:szCs w:val="20"/>
        </w:rPr>
        <w:t>“What was most confusing to me about the material explored in class today?”</w:t>
      </w:r>
    </w:p>
    <w:p w14:paraId="787364E6" w14:textId="77777777" w:rsidR="0015083E" w:rsidRPr="0015083E" w:rsidRDefault="0015083E" w:rsidP="0015083E">
      <w:pPr>
        <w:numPr>
          <w:ilvl w:val="0"/>
          <w:numId w:val="1"/>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Retrospective </w:t>
      </w:r>
      <w:proofErr w:type="spellStart"/>
      <w:r w:rsidRPr="0015083E">
        <w:rPr>
          <w:rFonts w:ascii="Times" w:eastAsia="Times New Roman" w:hAnsi="Times" w:cs="Times New Roman"/>
          <w:sz w:val="20"/>
          <w:szCs w:val="20"/>
        </w:rPr>
        <w:t>Postassessments</w:t>
      </w:r>
      <w:proofErr w:type="spellEnd"/>
      <w:r w:rsidRPr="0015083E">
        <w:rPr>
          <w:rFonts w:ascii="Times" w:eastAsia="Times New Roman" w:hAnsi="Times" w:cs="Times New Roman"/>
          <w:sz w:val="20"/>
          <w:szCs w:val="20"/>
        </w:rPr>
        <w:t xml:space="preserve">—Pushing Students to Recognize Conceptual Change: </w:t>
      </w:r>
      <w:r w:rsidRPr="0015083E">
        <w:rPr>
          <w:rFonts w:ascii="Times" w:eastAsia="Times New Roman" w:hAnsi="Times" w:cs="Times New Roman"/>
          <w:i/>
          <w:iCs/>
          <w:sz w:val="20"/>
          <w:szCs w:val="20"/>
        </w:rPr>
        <w:t xml:space="preserve">“Before this course, I thought evolution was… Now I think that evolution is ….” </w:t>
      </w:r>
      <w:r w:rsidRPr="0015083E">
        <w:rPr>
          <w:rFonts w:ascii="Times" w:eastAsia="Times New Roman" w:hAnsi="Times" w:cs="Times New Roman"/>
          <w:sz w:val="20"/>
          <w:szCs w:val="20"/>
        </w:rPr>
        <w:t xml:space="preserve">or </w:t>
      </w:r>
      <w:r w:rsidRPr="0015083E">
        <w:rPr>
          <w:rFonts w:ascii="Times" w:eastAsia="Times New Roman" w:hAnsi="Times" w:cs="Times New Roman"/>
          <w:i/>
          <w:iCs/>
          <w:sz w:val="20"/>
          <w:szCs w:val="20"/>
        </w:rPr>
        <w:t>“How is my thinking changing (or not changing) over time?”</w:t>
      </w:r>
    </w:p>
    <w:p w14:paraId="7DF2B56D" w14:textId="77777777" w:rsidR="0015083E" w:rsidRPr="0015083E" w:rsidRDefault="0015083E" w:rsidP="0015083E">
      <w:pPr>
        <w:numPr>
          <w:ilvl w:val="0"/>
          <w:numId w:val="1"/>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Reflective Journals—Providing a Forum in Which Students Monitor Their Own Thinking: </w:t>
      </w:r>
      <w:r w:rsidRPr="0015083E">
        <w:rPr>
          <w:rFonts w:ascii="Times" w:eastAsia="Times New Roman" w:hAnsi="Times" w:cs="Times New Roman"/>
          <w:i/>
          <w:iCs/>
          <w:sz w:val="20"/>
          <w:szCs w:val="20"/>
        </w:rPr>
        <w:t>“What about my exam preparation worked well that I should remember to do next time?</w:t>
      </w:r>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What did not work so well that I should not do next time or that I should change?”</w:t>
      </w:r>
    </w:p>
    <w:p w14:paraId="632709C3"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Next are recommendations for </w:t>
      </w:r>
      <w:r w:rsidRPr="0015083E">
        <w:rPr>
          <w:rFonts w:ascii="Times" w:hAnsi="Times" w:cs="Times New Roman"/>
          <w:b/>
          <w:bCs/>
          <w:sz w:val="20"/>
          <w:szCs w:val="20"/>
        </w:rPr>
        <w:t>developing a “classroom culture grounded in metacognition”</w:t>
      </w:r>
      <w:r w:rsidRPr="0015083E">
        <w:rPr>
          <w:rFonts w:ascii="Times" w:hAnsi="Times" w:cs="Times New Roman"/>
          <w:sz w:val="20"/>
          <w:szCs w:val="20"/>
        </w:rPr>
        <w:t xml:space="preserve"> (p. 116-118):</w:t>
      </w:r>
    </w:p>
    <w:p w14:paraId="6BAE5EB8" w14:textId="77777777" w:rsidR="0015083E" w:rsidRPr="0015083E" w:rsidRDefault="0015083E" w:rsidP="0015083E">
      <w:pPr>
        <w:numPr>
          <w:ilvl w:val="0"/>
          <w:numId w:val="2"/>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Giving Students License to Identify Confusions within the Classroom Culture:  </w:t>
      </w:r>
      <w:r w:rsidRPr="0015083E">
        <w:rPr>
          <w:rFonts w:ascii="Times" w:eastAsia="Times New Roman" w:hAnsi="Times" w:cs="Times New Roman"/>
          <w:i/>
          <w:iCs/>
          <w:sz w:val="20"/>
          <w:szCs w:val="20"/>
        </w:rPr>
        <w:t>ask students what they find confusing, acknowledge the difficulties</w:t>
      </w:r>
    </w:p>
    <w:p w14:paraId="1B74B3BB" w14:textId="77777777" w:rsidR="0015083E" w:rsidRPr="0015083E" w:rsidRDefault="0015083E" w:rsidP="0015083E">
      <w:pPr>
        <w:numPr>
          <w:ilvl w:val="0"/>
          <w:numId w:val="2"/>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Integrating Reflection into Credited Course Work: </w:t>
      </w:r>
      <w:r w:rsidRPr="0015083E">
        <w:rPr>
          <w:rFonts w:ascii="Times" w:eastAsia="Times New Roman" w:hAnsi="Times" w:cs="Times New Roman"/>
          <w:i/>
          <w:iCs/>
          <w:sz w:val="20"/>
          <w:szCs w:val="20"/>
        </w:rPr>
        <w:t>integrate short reflection (oral or written) that ask students what they found challenging or what questions arose during an assignment/exam/project</w:t>
      </w:r>
    </w:p>
    <w:p w14:paraId="671FBC36" w14:textId="77777777" w:rsidR="0015083E" w:rsidRPr="0015083E" w:rsidRDefault="0015083E" w:rsidP="0015083E">
      <w:pPr>
        <w:numPr>
          <w:ilvl w:val="0"/>
          <w:numId w:val="2"/>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Metacognitive Modeling by the Instructor for Students: </w:t>
      </w:r>
      <w:r w:rsidRPr="0015083E">
        <w:rPr>
          <w:rFonts w:ascii="Times" w:eastAsia="Times New Roman" w:hAnsi="Times" w:cs="Times New Roman"/>
          <w:i/>
          <w:iCs/>
          <w:sz w:val="20"/>
          <w:szCs w:val="20"/>
        </w:rPr>
        <w:t>model the thinking processes involved in your field and sought in your course by being explicit about “how you start, how you decide what to do first and then next, how you check your work, how you know when you are done” (p. 118)</w:t>
      </w:r>
    </w:p>
    <w:p w14:paraId="4784550F"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To facilitate these activities, she also offers three useful tables:</w:t>
      </w:r>
    </w:p>
    <w:p w14:paraId="3ABFFA70" w14:textId="77777777" w:rsidR="0015083E" w:rsidRPr="0015083E" w:rsidRDefault="0015083E" w:rsidP="0015083E">
      <w:pPr>
        <w:numPr>
          <w:ilvl w:val="0"/>
          <w:numId w:val="3"/>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Questions for students to ask themselves as they plan, monitor, and evaluate their thinking within four learning contexts—in class, assignments, quizzes/exams, and the course as a whole (p. 115)</w:t>
      </w:r>
    </w:p>
    <w:p w14:paraId="71F77A4B" w14:textId="77777777" w:rsidR="0015083E" w:rsidRPr="0015083E" w:rsidRDefault="0015083E" w:rsidP="0015083E">
      <w:pPr>
        <w:numPr>
          <w:ilvl w:val="0"/>
          <w:numId w:val="3"/>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Prompts for integrating metacognition into discussions of pairs during clicker activities, assignments, and quiz or exam preparation (p. 117)</w:t>
      </w:r>
    </w:p>
    <w:p w14:paraId="3E1B86C2" w14:textId="77777777" w:rsidR="0015083E" w:rsidRPr="0015083E" w:rsidRDefault="0015083E" w:rsidP="0015083E">
      <w:pPr>
        <w:numPr>
          <w:ilvl w:val="0"/>
          <w:numId w:val="3"/>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Questions to help faculty metacognitively assess their own teaching (p. 119)</w:t>
      </w:r>
    </w:p>
    <w:p w14:paraId="410D8F87"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Weimer’s “</w:t>
      </w:r>
      <w:hyperlink r:id="rId12" w:tgtFrame="_blank" w:history="1">
        <w:r w:rsidRPr="0015083E">
          <w:rPr>
            <w:rFonts w:ascii="Times" w:hAnsi="Times" w:cs="Times New Roman"/>
            <w:color w:val="0000FF"/>
            <w:sz w:val="20"/>
            <w:szCs w:val="20"/>
            <w:u w:val="single"/>
          </w:rPr>
          <w:t>Deep Learning vs. Surface Learning: Getting Students to Understand the Difference</w:t>
        </w:r>
      </w:hyperlink>
      <w:r w:rsidRPr="0015083E">
        <w:rPr>
          <w:rFonts w:ascii="Times" w:hAnsi="Times" w:cs="Times New Roman"/>
          <w:sz w:val="20"/>
          <w:szCs w:val="20"/>
        </w:rPr>
        <w:t>” (2012) offers additional recommendations for developing students’ metacognitive awareness and improvement of their study skills:</w:t>
      </w:r>
    </w:p>
    <w:p w14:paraId="4047F9B9" w14:textId="77777777" w:rsidR="0015083E" w:rsidRPr="0015083E" w:rsidRDefault="0015083E" w:rsidP="0015083E">
      <w:pPr>
        <w:spacing w:beforeAutospacing="1" w:afterAutospacing="1"/>
        <w:rPr>
          <w:rFonts w:ascii="Times" w:hAnsi="Times" w:cs="Times New Roman"/>
          <w:sz w:val="20"/>
          <w:szCs w:val="20"/>
        </w:rPr>
      </w:pPr>
      <w:r w:rsidRPr="0015083E">
        <w:rPr>
          <w:rFonts w:ascii="Times" w:hAnsi="Times" w:cs="Times New Roman"/>
          <w:sz w:val="20"/>
          <w:szCs w:val="20"/>
        </w:rPr>
        <w:t xml:space="preserve">“[I]t is terribly important that in explicit and concerted ways we make students aware of themselves as learners. </w:t>
      </w:r>
      <w:r w:rsidRPr="0015083E">
        <w:rPr>
          <w:rFonts w:ascii="Times" w:hAnsi="Times" w:cs="Times New Roman"/>
          <w:b/>
          <w:bCs/>
          <w:i/>
          <w:iCs/>
          <w:sz w:val="20"/>
          <w:szCs w:val="20"/>
        </w:rPr>
        <w:t>We must regularly ask, not only ‘What are you learning?’ but ‘How are you learning?’ We must confront them with the effectiveness (more often ineffectiveness) of their approaches. We must offer alternatives and then challenge students to test the efficacy of those approaches.</w:t>
      </w:r>
      <w:r w:rsidRPr="0015083E">
        <w:rPr>
          <w:rFonts w:ascii="Times" w:hAnsi="Times" w:cs="Times New Roman"/>
          <w:sz w:val="20"/>
          <w:szCs w:val="20"/>
        </w:rPr>
        <w:t>” (emphasis added)</w:t>
      </w:r>
    </w:p>
    <w:p w14:paraId="2443F338" w14:textId="77777777" w:rsid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She points to a tool developed by </w:t>
      </w:r>
      <w:hyperlink r:id="rId13" w:history="1">
        <w:r w:rsidRPr="0015083E">
          <w:rPr>
            <w:rFonts w:ascii="Times" w:hAnsi="Times" w:cs="Times New Roman"/>
            <w:color w:val="0000FF"/>
            <w:sz w:val="20"/>
            <w:szCs w:val="20"/>
            <w:u w:val="single"/>
          </w:rPr>
          <w:t>Stanger-Hall</w:t>
        </w:r>
      </w:hyperlink>
      <w:r w:rsidRPr="0015083E">
        <w:rPr>
          <w:rFonts w:ascii="Times" w:hAnsi="Times" w:cs="Times New Roman"/>
          <w:sz w:val="20"/>
          <w:szCs w:val="20"/>
        </w:rPr>
        <w:t xml:space="preserve"> (2012, p. 297) for her students to identify their study strategies, which she divided into “</w:t>
      </w:r>
      <w:r w:rsidRPr="0015083E">
        <w:rPr>
          <w:rFonts w:ascii="Times" w:hAnsi="Times" w:cs="Times New Roman"/>
          <w:b/>
          <w:bCs/>
          <w:sz w:val="20"/>
          <w:szCs w:val="20"/>
        </w:rPr>
        <w:t>cognitively passive</w:t>
      </w:r>
      <w:r w:rsidRPr="0015083E">
        <w:rPr>
          <w:rFonts w:ascii="Times" w:hAnsi="Times" w:cs="Times New Roman"/>
          <w:sz w:val="20"/>
          <w:szCs w:val="20"/>
        </w:rPr>
        <w:t xml:space="preserve">” </w:t>
      </w:r>
      <w:r w:rsidRPr="0015083E">
        <w:rPr>
          <w:rFonts w:ascii="Times" w:hAnsi="Times" w:cs="Times New Roman"/>
          <w:i/>
          <w:iCs/>
          <w:sz w:val="20"/>
          <w:szCs w:val="20"/>
        </w:rPr>
        <w:t>(“I previewed the reading before class,” “I came to class,” “I read the assigned text,” “I highlighted the text,” et al)</w:t>
      </w:r>
      <w:r w:rsidRPr="0015083E">
        <w:rPr>
          <w:rFonts w:ascii="Times" w:hAnsi="Times" w:cs="Times New Roman"/>
          <w:sz w:val="20"/>
          <w:szCs w:val="20"/>
        </w:rPr>
        <w:t xml:space="preserve"> and “</w:t>
      </w:r>
      <w:r w:rsidRPr="0015083E">
        <w:rPr>
          <w:rFonts w:ascii="Times" w:hAnsi="Times" w:cs="Times New Roman"/>
          <w:b/>
          <w:bCs/>
          <w:sz w:val="20"/>
          <w:szCs w:val="20"/>
        </w:rPr>
        <w:t>cognitively active study behaviors</w:t>
      </w:r>
      <w:r w:rsidRPr="0015083E">
        <w:rPr>
          <w:rFonts w:ascii="Times" w:hAnsi="Times" w:cs="Times New Roman"/>
          <w:sz w:val="20"/>
          <w:szCs w:val="20"/>
        </w:rPr>
        <w:t xml:space="preserve">” </w:t>
      </w:r>
      <w:r w:rsidRPr="0015083E">
        <w:rPr>
          <w:rFonts w:ascii="Times" w:hAnsi="Times" w:cs="Times New Roman"/>
          <w:i/>
          <w:iCs/>
          <w:sz w:val="20"/>
          <w:szCs w:val="20"/>
        </w:rPr>
        <w:t>(“I asked myself: ‘How does it work?’ and ‘Why does it work this way?’” “I wrote my own study questions,” “I fit all the facts into a bigger picture,” “I closed my notes and tested how much I remembered,” et al)</w:t>
      </w:r>
      <w:r w:rsidRPr="0015083E">
        <w:rPr>
          <w:rFonts w:ascii="Times" w:hAnsi="Times" w:cs="Times New Roman"/>
          <w:sz w:val="20"/>
          <w:szCs w:val="20"/>
        </w:rPr>
        <w:t>.  The specific focus of Stanger-Hall’s study is tangential to this discussion,</w:t>
      </w:r>
      <w:r w:rsidRPr="0015083E">
        <w:rPr>
          <w:rFonts w:ascii="Times" w:hAnsi="Times" w:cs="Times New Roman"/>
          <w:sz w:val="20"/>
          <w:szCs w:val="20"/>
          <w:vertAlign w:val="superscript"/>
        </w:rPr>
        <w:t>1</w:t>
      </w:r>
      <w:r w:rsidRPr="0015083E">
        <w:rPr>
          <w:rFonts w:ascii="Times" w:hAnsi="Times" w:cs="Times New Roman"/>
          <w:sz w:val="20"/>
          <w:szCs w:val="20"/>
        </w:rPr>
        <w:t xml:space="preserve"> but imagine giving students lists like hers adapted to your course and then, after a major assignment, having students discuss which ones worked and which types of behaviors led to higher grades. Even further, follow Lovett’s advice (2013) by assigning “</w:t>
      </w:r>
      <w:hyperlink r:id="rId14" w:history="1">
        <w:r w:rsidRPr="0015083E">
          <w:rPr>
            <w:rFonts w:ascii="Times" w:hAnsi="Times" w:cs="Times New Roman"/>
            <w:color w:val="0000FF"/>
            <w:sz w:val="20"/>
            <w:szCs w:val="20"/>
            <w:u w:val="single"/>
          </w:rPr>
          <w:t>exam wrappers</w:t>
        </w:r>
      </w:hyperlink>
      <w:r w:rsidRPr="0015083E">
        <w:rPr>
          <w:rFonts w:ascii="Times" w:hAnsi="Times" w:cs="Times New Roman"/>
          <w:sz w:val="20"/>
          <w:szCs w:val="20"/>
        </w:rPr>
        <w:t>,” which include students reflecting on their previous exam-preparation strategies, assessing those strategies and then looking ahead to the next exam, and writing an action plan for a revised approach to studying. A common assignment in English composition courses is the self-assessment essay in which students apply course criteria to articulate their strengths and weaknesses within single papers or over the course of the semester. These activities can be adapted to assignments other than exams or essays, such as projects, speeches, discussions, and the like.</w:t>
      </w:r>
    </w:p>
    <w:p w14:paraId="5DD669FB" w14:textId="77777777" w:rsidR="00A964A3" w:rsidRPr="0015083E" w:rsidRDefault="00A964A3" w:rsidP="0015083E">
      <w:pPr>
        <w:spacing w:before="100" w:beforeAutospacing="1" w:after="100" w:afterAutospacing="1"/>
        <w:rPr>
          <w:rFonts w:ascii="Times" w:hAnsi="Times" w:cs="Times New Roman"/>
          <w:sz w:val="20"/>
          <w:szCs w:val="20"/>
        </w:rPr>
      </w:pPr>
    </w:p>
    <w:p w14:paraId="05ACBCB2"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lastRenderedPageBreak/>
        <w:t xml:space="preserve">As these examples illustrate, for students to become more metacognitive, </w:t>
      </w:r>
      <w:r w:rsidRPr="0015083E">
        <w:rPr>
          <w:rFonts w:ascii="Times" w:hAnsi="Times" w:cs="Times New Roman"/>
          <w:b/>
          <w:bCs/>
          <w:sz w:val="20"/>
          <w:szCs w:val="20"/>
        </w:rPr>
        <w:t>they must be taught the concept and its language explicitly</w:t>
      </w:r>
      <w:r w:rsidRPr="0015083E">
        <w:rPr>
          <w:rFonts w:ascii="Times" w:hAnsi="Times" w:cs="Times New Roman"/>
          <w:sz w:val="20"/>
          <w:szCs w:val="20"/>
        </w:rPr>
        <w:t xml:space="preserve"> (</w:t>
      </w:r>
      <w:proofErr w:type="spellStart"/>
      <w:r w:rsidRPr="0015083E">
        <w:rPr>
          <w:rFonts w:ascii="Times" w:hAnsi="Times" w:cs="Times New Roman"/>
          <w:sz w:val="20"/>
          <w:szCs w:val="20"/>
        </w:rPr>
        <w:t>Pintrich</w:t>
      </w:r>
      <w:proofErr w:type="spellEnd"/>
      <w:r w:rsidRPr="0015083E">
        <w:rPr>
          <w:rFonts w:ascii="Times" w:hAnsi="Times" w:cs="Times New Roman"/>
          <w:sz w:val="20"/>
          <w:szCs w:val="20"/>
        </w:rPr>
        <w:t xml:space="preserve">, 2002; Tanner, 2012), though not in a content-delivery model (simply a reading or a </w:t>
      </w:r>
      <w:r w:rsidR="00A964A3">
        <w:rPr>
          <w:rFonts w:ascii="Times" w:hAnsi="Times" w:cs="Times New Roman"/>
          <w:noProof/>
          <w:color w:val="0000FF"/>
          <w:sz w:val="20"/>
          <w:szCs w:val="20"/>
        </w:rPr>
        <w:drawing>
          <wp:anchor distT="0" distB="0" distL="114300" distR="114300" simplePos="0" relativeHeight="251659264" behindDoc="0" locked="0" layoutInCell="1" allowOverlap="1" wp14:anchorId="5B4E1C9E" wp14:editId="5EACBA6E">
            <wp:simplePos x="0" y="0"/>
            <wp:positionH relativeFrom="column">
              <wp:posOffset>0</wp:posOffset>
            </wp:positionH>
            <wp:positionV relativeFrom="paragraph">
              <wp:posOffset>0</wp:posOffset>
            </wp:positionV>
            <wp:extent cx="1188720" cy="1188720"/>
            <wp:effectExtent l="0" t="0" r="5080" b="5080"/>
            <wp:wrapSquare wrapText="bothSides"/>
            <wp:docPr id="3" name="Picture 3" descr="http://wp0.vanderbilt.edu/cft/wp-content/uploads/sites/59/read-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p0.vanderbilt.edu/cft/wp-content/uploads/sites/59/read-300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5083E">
        <w:rPr>
          <w:rFonts w:ascii="Times" w:hAnsi="Times" w:cs="Times New Roman"/>
          <w:sz w:val="20"/>
          <w:szCs w:val="20"/>
        </w:rPr>
        <w:t>lecture) and not in one lesson. Instead, the explicit instruction should be “designed according to a knowledge construction approach,” or students need to recognize, assess, and connect new skills to old ones, “and it needs to take place over an extended period of time” (Zohar &amp; David, p. 187).  This kind of explicit instruction will help students expand or replace existing learning strategies with new and more effective ones, give students a way to talk about learning and thinking, compare strategies with their classmates’ and make more informed choices, and render learning “less opaque to students, rather than being something that happens mysteriously or that some students ‘get’ and learn and others struggle and don’t learn” (</w:t>
      </w:r>
      <w:proofErr w:type="spellStart"/>
      <w:r w:rsidRPr="0015083E">
        <w:rPr>
          <w:rFonts w:ascii="Times" w:hAnsi="Times" w:cs="Times New Roman"/>
          <w:sz w:val="20"/>
          <w:szCs w:val="20"/>
        </w:rPr>
        <w:t>Pintrich</w:t>
      </w:r>
      <w:proofErr w:type="spellEnd"/>
      <w:r w:rsidRPr="0015083E">
        <w:rPr>
          <w:rFonts w:ascii="Times" w:hAnsi="Times" w:cs="Times New Roman"/>
          <w:sz w:val="20"/>
          <w:szCs w:val="20"/>
        </w:rPr>
        <w:t>, 2002, p. 223).</w:t>
      </w:r>
    </w:p>
    <w:p w14:paraId="4ECFAB77"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Metacognition instruction should also be embedded with the content and activities about which students are thinking.  Why?  Metacognition is “not generic” (Bransford, Brown, &amp; Cocking, p. 19) but instead is most effective when it is adapted to </w:t>
      </w:r>
      <w:r w:rsidRPr="0015083E">
        <w:rPr>
          <w:rFonts w:ascii="Times" w:hAnsi="Times" w:cs="Times New Roman"/>
          <w:b/>
          <w:bCs/>
          <w:sz w:val="20"/>
          <w:szCs w:val="20"/>
        </w:rPr>
        <w:t>reflect the specific learning contexts</w:t>
      </w:r>
      <w:r w:rsidRPr="0015083E">
        <w:rPr>
          <w:rFonts w:ascii="Times" w:hAnsi="Times" w:cs="Times New Roman"/>
          <w:sz w:val="20"/>
          <w:szCs w:val="20"/>
        </w:rPr>
        <w:t xml:space="preserve"> of a specific topic, course, or discipline (Zohar &amp; David, 2009).  In explicitly connecting a learning context to its relevant processes, learners will be more able to adapt strategies to new contexts, rather than assume that learning is the same everywhere and every time.  For instance, students’ abilities to read disciplinary texts in discipline-appropriate ways would also benefit from metacognitive practice.  A literature professor may read a passage of a novel aloud in class, while also talking about what she’s thinking as she reads: how she makes sense of specific words and phrases, what connections she makes, how she approaches difficult passages, etc.  This kind of modeling is a good practice in metacognition instruction, as suggested by Tanner above.  Concepción’s “</w:t>
      </w:r>
      <w:hyperlink r:id="rId17" w:history="1">
        <w:r w:rsidRPr="0015083E">
          <w:rPr>
            <w:rFonts w:ascii="Times" w:hAnsi="Times" w:cs="Times New Roman"/>
            <w:color w:val="0000FF"/>
            <w:sz w:val="20"/>
            <w:szCs w:val="20"/>
            <w:u w:val="single"/>
          </w:rPr>
          <w:t>Reading Philosophy with Background Knowledge and Metacognition</w:t>
        </w:r>
      </w:hyperlink>
      <w:r w:rsidRPr="0015083E">
        <w:rPr>
          <w:rFonts w:ascii="Times" w:hAnsi="Times" w:cs="Times New Roman"/>
          <w:sz w:val="20"/>
          <w:szCs w:val="20"/>
        </w:rPr>
        <w:t>” (2004) includes his detailed “How to Read Philosophy” handout (pp. 358-367), which includes the following components:</w:t>
      </w:r>
    </w:p>
    <w:p w14:paraId="0FF1D3EB"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What to Expect (when reading philosophy)</w:t>
      </w:r>
    </w:p>
    <w:p w14:paraId="4B5B9020"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The Ultimate Goal (of reading philosophy)</w:t>
      </w:r>
    </w:p>
    <w:p w14:paraId="12B4E67B"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Basic Good Reading Behaviors</w:t>
      </w:r>
    </w:p>
    <w:p w14:paraId="40FAC1C5"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Important Background Information, or discipline- and course-specific reading practices, such as “reading for enlightenment” rather than information, and “problem-based classes” rather than historical or figure-based classes</w:t>
      </w:r>
    </w:p>
    <w:p w14:paraId="6EE8682C"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A Three-Part Reading Process (pre-reading, understanding, and evaluating)</w:t>
      </w:r>
    </w:p>
    <w:p w14:paraId="64F1565F"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Flagging, or annotating the reading</w:t>
      </w:r>
    </w:p>
    <w:p w14:paraId="198B540E" w14:textId="77777777" w:rsidR="0015083E" w:rsidRPr="0015083E" w:rsidRDefault="0015083E" w:rsidP="0015083E">
      <w:pPr>
        <w:numPr>
          <w:ilvl w:val="0"/>
          <w:numId w:val="4"/>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Linear vs. Dialogical Writing (Philosophical writing is rarely straightforward but instead “a monologue that contains a dialogue” [p. 365].)</w:t>
      </w:r>
    </w:p>
    <w:p w14:paraId="112452E3"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What would such a handout look like for your discipline?</w:t>
      </w:r>
    </w:p>
    <w:p w14:paraId="398C91FA"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 xml:space="preserve">Students can even be metacognitively prepared (and then prepare themselves) for the </w:t>
      </w:r>
      <w:r w:rsidRPr="0015083E">
        <w:rPr>
          <w:rFonts w:ascii="Times" w:hAnsi="Times" w:cs="Times New Roman"/>
          <w:b/>
          <w:bCs/>
          <w:sz w:val="20"/>
          <w:szCs w:val="20"/>
        </w:rPr>
        <w:t>overarching learning experiences expected in specific contexts</w:t>
      </w:r>
      <w:r w:rsidRPr="0015083E">
        <w:rPr>
          <w:rFonts w:ascii="Times" w:hAnsi="Times" w:cs="Times New Roman"/>
          <w:sz w:val="20"/>
          <w:szCs w:val="20"/>
        </w:rPr>
        <w:t xml:space="preserve">. </w:t>
      </w:r>
      <w:proofErr w:type="spellStart"/>
      <w:r w:rsidRPr="0015083E">
        <w:rPr>
          <w:rFonts w:ascii="Times" w:hAnsi="Times" w:cs="Times New Roman"/>
          <w:sz w:val="20"/>
          <w:szCs w:val="20"/>
        </w:rPr>
        <w:t>Salvatori</w:t>
      </w:r>
      <w:proofErr w:type="spellEnd"/>
      <w:r w:rsidRPr="0015083E">
        <w:rPr>
          <w:rFonts w:ascii="Times" w:hAnsi="Times" w:cs="Times New Roman"/>
          <w:sz w:val="20"/>
          <w:szCs w:val="20"/>
        </w:rPr>
        <w:t xml:space="preserve"> and Donahue’s </w:t>
      </w:r>
      <w:hyperlink r:id="rId18" w:tgtFrame="_blank" w:history="1">
        <w:r w:rsidRPr="0015083E">
          <w:rPr>
            <w:rFonts w:ascii="Times" w:hAnsi="Times" w:cs="Times New Roman"/>
            <w:i/>
            <w:iCs/>
            <w:color w:val="0000FF"/>
            <w:sz w:val="20"/>
            <w:szCs w:val="20"/>
            <w:u w:val="single"/>
          </w:rPr>
          <w:t>The Elements (and Pleasures) of Difficulty</w:t>
        </w:r>
      </w:hyperlink>
      <w:r w:rsidRPr="0015083E">
        <w:rPr>
          <w:rFonts w:ascii="Times" w:hAnsi="Times" w:cs="Times New Roman"/>
          <w:sz w:val="20"/>
          <w:szCs w:val="20"/>
        </w:rPr>
        <w:t xml:space="preserve"> (2004) encourages students to embrace difficult texts (and tasks) as part of deep learning, rather than an obstacle.  Their “difficulty paper” assignment helps students reflect on and articulate the nature of the difficulty and work through their responses to it (p. 9).  Similarly, in courses with sensitive subject matter, a different kind of learning occurs, one that involves complex emotional responses.  In “</w:t>
      </w:r>
      <w:hyperlink r:id="rId19" w:tgtFrame="_blank" w:history="1">
        <w:r w:rsidRPr="0015083E">
          <w:rPr>
            <w:rFonts w:ascii="Times" w:hAnsi="Times" w:cs="Times New Roman"/>
            <w:color w:val="0000FF"/>
            <w:sz w:val="20"/>
            <w:szCs w:val="20"/>
            <w:u w:val="single"/>
          </w:rPr>
          <w:t>Learning from Their Own Learning: How Metacognitive and Meta-affective Reflections Enhance Learning in Race-Related Courses</w:t>
        </w:r>
      </w:hyperlink>
      <w:r w:rsidRPr="0015083E">
        <w:rPr>
          <w:rFonts w:ascii="Times" w:hAnsi="Times" w:cs="Times New Roman"/>
          <w:b/>
          <w:bCs/>
          <w:sz w:val="20"/>
          <w:szCs w:val="20"/>
        </w:rPr>
        <w:t>”</w:t>
      </w:r>
      <w:r w:rsidRPr="0015083E">
        <w:rPr>
          <w:rFonts w:ascii="Times" w:hAnsi="Times" w:cs="Times New Roman"/>
          <w:sz w:val="20"/>
          <w:szCs w:val="20"/>
        </w:rPr>
        <w:t xml:space="preserve"> (Chick, Karis, &amp; </w:t>
      </w:r>
      <w:proofErr w:type="spellStart"/>
      <w:r w:rsidRPr="0015083E">
        <w:rPr>
          <w:rFonts w:ascii="Times" w:hAnsi="Times" w:cs="Times New Roman"/>
          <w:sz w:val="20"/>
          <w:szCs w:val="20"/>
        </w:rPr>
        <w:t>Kernahan</w:t>
      </w:r>
      <w:proofErr w:type="spellEnd"/>
      <w:r w:rsidRPr="0015083E">
        <w:rPr>
          <w:rFonts w:ascii="Times" w:hAnsi="Times" w:cs="Times New Roman"/>
          <w:sz w:val="20"/>
          <w:szCs w:val="20"/>
        </w:rPr>
        <w:t xml:space="preserve">, 2009), students were informed about the common reactions to learning about racial inequality (Helms, 1995; Adams, Bell, &amp; Griffin, 1997; see student handout, Chick, Karis, &amp; </w:t>
      </w:r>
      <w:proofErr w:type="spellStart"/>
      <w:r w:rsidRPr="0015083E">
        <w:rPr>
          <w:rFonts w:ascii="Times" w:hAnsi="Times" w:cs="Times New Roman"/>
          <w:sz w:val="20"/>
          <w:szCs w:val="20"/>
        </w:rPr>
        <w:t>Kernahan</w:t>
      </w:r>
      <w:proofErr w:type="spellEnd"/>
      <w:r w:rsidRPr="0015083E">
        <w:rPr>
          <w:rFonts w:ascii="Times" w:hAnsi="Times" w:cs="Times New Roman"/>
          <w:sz w:val="20"/>
          <w:szCs w:val="20"/>
        </w:rPr>
        <w:t>, p. 23-24) and then regularly wrote about their cognitive and affective responses to specific racialized situations.  The students with the most developed metacognitive and meta-affective practices at the end of the semester were able to “clear the obstacles and move away from” oversimplified thinking about race and racism ”to places of greater questioning, acknowledging the complexities of identity, and redefining the world in racial terms” (p. 14).</w:t>
      </w:r>
    </w:p>
    <w:p w14:paraId="60C8F08C" w14:textId="77777777" w:rsidR="0015083E" w:rsidRPr="0015083E" w:rsidRDefault="0015083E" w:rsidP="0015083E">
      <w:pPr>
        <w:spacing w:before="100" w:beforeAutospacing="1" w:after="100" w:afterAutospacing="1"/>
        <w:rPr>
          <w:rFonts w:ascii="Times" w:hAnsi="Times" w:cs="Times New Roman"/>
          <w:sz w:val="20"/>
          <w:szCs w:val="20"/>
        </w:rPr>
      </w:pPr>
      <w:r w:rsidRPr="0015083E">
        <w:rPr>
          <w:rFonts w:ascii="Times" w:hAnsi="Times" w:cs="Times New Roman"/>
          <w:sz w:val="20"/>
          <w:szCs w:val="20"/>
        </w:rPr>
        <w:t>Ultimately, metacognition requires students to “externalize mental events” (Bransford, Brown, &amp; Cocking, p. 67), such as what it means to learn, awareness of one’s strengths and weaknesses with specific skills or in a given learning context, plan what’s required to accomplish a specific learning goal or activity, identifying and correcting errors, and preparing ahead for learning processes.</w:t>
      </w:r>
      <w:r w:rsidR="00A964A3">
        <w:rPr>
          <w:rFonts w:ascii="Times" w:hAnsi="Times" w:cs="Times New Roman"/>
          <w:sz w:val="20"/>
          <w:szCs w:val="20"/>
        </w:rPr>
        <w:br/>
      </w:r>
      <w:r w:rsidRPr="0015083E">
        <w:rPr>
          <w:rFonts w:ascii="Times" w:hAnsi="Times" w:cs="Times New Roman"/>
          <w:sz w:val="20"/>
          <w:szCs w:val="20"/>
        </w:rPr>
        <w:t>------------------------</w:t>
      </w:r>
    </w:p>
    <w:p w14:paraId="17C104B4" w14:textId="77777777" w:rsidR="0015083E" w:rsidRPr="00A964A3" w:rsidRDefault="0015083E" w:rsidP="0015083E">
      <w:pPr>
        <w:spacing w:before="100" w:beforeAutospacing="1" w:after="100" w:afterAutospacing="1"/>
        <w:rPr>
          <w:rFonts w:ascii="Times" w:hAnsi="Times" w:cs="Times New Roman"/>
          <w:sz w:val="16"/>
          <w:szCs w:val="20"/>
        </w:rPr>
      </w:pPr>
      <w:r w:rsidRPr="00A964A3">
        <w:rPr>
          <w:rFonts w:ascii="Times" w:hAnsi="Times" w:cs="Times New Roman"/>
          <w:sz w:val="16"/>
          <w:szCs w:val="20"/>
          <w:vertAlign w:val="superscript"/>
        </w:rPr>
        <w:t xml:space="preserve">1 </w:t>
      </w:r>
      <w:r w:rsidRPr="00A964A3">
        <w:rPr>
          <w:rFonts w:ascii="Times" w:hAnsi="Times" w:cs="Times New Roman"/>
          <w:sz w:val="16"/>
          <w:szCs w:val="20"/>
        </w:rPr>
        <w:t>Students who were tested with short answer in addition to multiple-choice questions on their exams reported more cognitively active behaviors than those tested with just multiple-choice questions, and these active behaviors led to improved performance on the final exam.</w:t>
      </w:r>
    </w:p>
    <w:p w14:paraId="62DE18B3" w14:textId="77777777" w:rsidR="00A964A3" w:rsidRPr="0015083E" w:rsidRDefault="00A964A3" w:rsidP="0015083E">
      <w:pPr>
        <w:spacing w:before="100" w:beforeAutospacing="1" w:after="100" w:afterAutospacing="1"/>
        <w:rPr>
          <w:rFonts w:ascii="Times" w:hAnsi="Times" w:cs="Times New Roman"/>
          <w:sz w:val="20"/>
          <w:szCs w:val="20"/>
        </w:rPr>
      </w:pPr>
    </w:p>
    <w:p w14:paraId="7D66646A" w14:textId="77777777" w:rsidR="0015083E" w:rsidRPr="00A964A3" w:rsidRDefault="0015083E" w:rsidP="00A964A3">
      <w:pPr>
        <w:spacing w:before="100" w:beforeAutospacing="1" w:after="100" w:afterAutospacing="1"/>
        <w:rPr>
          <w:rFonts w:ascii="Times" w:hAnsi="Times" w:cs="Times New Roman"/>
          <w:sz w:val="36"/>
          <w:szCs w:val="20"/>
        </w:rPr>
      </w:pPr>
      <w:r w:rsidRPr="00A964A3">
        <w:rPr>
          <w:rFonts w:ascii="Times" w:hAnsi="Times" w:cs="Times New Roman"/>
          <w:b/>
          <w:bCs/>
          <w:sz w:val="36"/>
          <w:szCs w:val="20"/>
        </w:rPr>
        <w:t>References</w:t>
      </w:r>
    </w:p>
    <w:p w14:paraId="5C272B18"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Adams, </w:t>
      </w:r>
      <w:proofErr w:type="spellStart"/>
      <w:r w:rsidRPr="0015083E">
        <w:rPr>
          <w:rFonts w:ascii="Times" w:eastAsia="Times New Roman" w:hAnsi="Times" w:cs="Times New Roman"/>
          <w:sz w:val="20"/>
          <w:szCs w:val="20"/>
        </w:rPr>
        <w:t>Maurianne</w:t>
      </w:r>
      <w:proofErr w:type="spellEnd"/>
      <w:r w:rsidRPr="0015083E">
        <w:rPr>
          <w:rFonts w:ascii="Times" w:eastAsia="Times New Roman" w:hAnsi="Times" w:cs="Times New Roman"/>
          <w:sz w:val="20"/>
          <w:szCs w:val="20"/>
        </w:rPr>
        <w:t xml:space="preserve">, Bell, Lee Ann, and Griffin, Pat. (1997). </w:t>
      </w:r>
      <w:hyperlink r:id="rId20" w:tgtFrame="_blank" w:history="1">
        <w:r w:rsidRPr="0015083E">
          <w:rPr>
            <w:rFonts w:ascii="Times" w:eastAsia="Times New Roman" w:hAnsi="Times" w:cs="Times New Roman"/>
            <w:i/>
            <w:iCs/>
            <w:color w:val="0000FF"/>
            <w:sz w:val="20"/>
            <w:szCs w:val="20"/>
            <w:u w:val="single"/>
          </w:rPr>
          <w:t>Teaching for diversity and social justice: A sourcebook</w:t>
        </w:r>
      </w:hyperlink>
      <w:r w:rsidRPr="0015083E">
        <w:rPr>
          <w:rFonts w:ascii="Times" w:eastAsia="Times New Roman" w:hAnsi="Times" w:cs="Times New Roman"/>
          <w:i/>
          <w:iCs/>
          <w:sz w:val="20"/>
          <w:szCs w:val="20"/>
        </w:rPr>
        <w:t xml:space="preserve">. </w:t>
      </w:r>
      <w:r w:rsidRPr="0015083E">
        <w:rPr>
          <w:rFonts w:ascii="Times" w:eastAsia="Times New Roman" w:hAnsi="Times" w:cs="Times New Roman"/>
          <w:sz w:val="20"/>
          <w:szCs w:val="20"/>
        </w:rPr>
        <w:t>New York: Routledge.</w:t>
      </w:r>
    </w:p>
    <w:p w14:paraId="65AD29D5"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Bransford, John D., Brown Ann L., and Cocking Rodney R. (2000). </w:t>
      </w:r>
      <w:hyperlink r:id="rId21" w:tgtFrame="_blank" w:history="1">
        <w:r w:rsidRPr="0015083E">
          <w:rPr>
            <w:rFonts w:ascii="Times" w:eastAsia="Times New Roman" w:hAnsi="Times" w:cs="Times New Roman"/>
            <w:i/>
            <w:iCs/>
            <w:color w:val="0000FF"/>
            <w:sz w:val="20"/>
            <w:szCs w:val="20"/>
            <w:u w:val="single"/>
          </w:rPr>
          <w:t>How people learn: Brain, mind, experience, and school</w:t>
        </w:r>
      </w:hyperlink>
      <w:r w:rsidRPr="0015083E">
        <w:rPr>
          <w:rFonts w:ascii="Times" w:eastAsia="Times New Roman" w:hAnsi="Times" w:cs="Times New Roman"/>
          <w:sz w:val="20"/>
          <w:szCs w:val="20"/>
        </w:rPr>
        <w:t>. Washington, D.C.: National Academy Press.</w:t>
      </w:r>
    </w:p>
    <w:p w14:paraId="3F2AC2B8"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Baker, Linda, and Brown, Ann L. (1984). Metacognitive skills and reading. In Paul David Pearson, Michael L. Kamil, Rebecca Barr, &amp; Peter Mosenthal (Eds.), </w:t>
      </w:r>
      <w:r w:rsidRPr="0015083E">
        <w:rPr>
          <w:rFonts w:ascii="Times" w:eastAsia="Times New Roman" w:hAnsi="Times" w:cs="Times New Roman"/>
          <w:i/>
          <w:iCs/>
          <w:sz w:val="20"/>
          <w:szCs w:val="20"/>
        </w:rPr>
        <w:t xml:space="preserve">Handbook of research in reading: Volume III </w:t>
      </w:r>
      <w:r w:rsidRPr="0015083E">
        <w:rPr>
          <w:rFonts w:ascii="Times" w:eastAsia="Times New Roman" w:hAnsi="Times" w:cs="Times New Roman"/>
          <w:sz w:val="20"/>
          <w:szCs w:val="20"/>
        </w:rPr>
        <w:t>(pp. 353–395).  New York: Longman.</w:t>
      </w:r>
    </w:p>
    <w:p w14:paraId="667CEDB9"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Brown, Ann L. (1980). Metacognitive development and reading. In Rand J. Spiro, Bertram C. Bruce, and William F. Brewer, (Eds.), </w:t>
      </w:r>
      <w:hyperlink r:id="rId22" w:tgtFrame="_blank" w:history="1">
        <w:r w:rsidRPr="0015083E">
          <w:rPr>
            <w:rFonts w:ascii="Times" w:eastAsia="Times New Roman" w:hAnsi="Times" w:cs="Times New Roman"/>
            <w:i/>
            <w:iCs/>
            <w:color w:val="0000FF"/>
            <w:sz w:val="20"/>
            <w:szCs w:val="20"/>
            <w:u w:val="single"/>
          </w:rPr>
          <w:t>Theoretical issues in reading comprehension: Perspectives from cognitive psychology, linguistics, artificial intelligence, and education</w:t>
        </w:r>
      </w:hyperlink>
      <w:r w:rsidRPr="0015083E">
        <w:rPr>
          <w:rFonts w:ascii="Times" w:eastAsia="Times New Roman" w:hAnsi="Times" w:cs="Times New Roman"/>
          <w:sz w:val="20"/>
          <w:szCs w:val="20"/>
        </w:rPr>
        <w:t xml:space="preserve"> (pp. 453-482). Hillsdale, NJ: Erlbaum.</w:t>
      </w:r>
    </w:p>
    <w:p w14:paraId="61B8CD16"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Chick, Nancy, Karis, Terri, and </w:t>
      </w:r>
      <w:proofErr w:type="spellStart"/>
      <w:r w:rsidRPr="0015083E">
        <w:rPr>
          <w:rFonts w:ascii="Times" w:eastAsia="Times New Roman" w:hAnsi="Times" w:cs="Times New Roman"/>
          <w:sz w:val="20"/>
          <w:szCs w:val="20"/>
        </w:rPr>
        <w:t>Kernahan</w:t>
      </w:r>
      <w:proofErr w:type="spellEnd"/>
      <w:r w:rsidRPr="0015083E">
        <w:rPr>
          <w:rFonts w:ascii="Times" w:eastAsia="Times New Roman" w:hAnsi="Times" w:cs="Times New Roman"/>
          <w:sz w:val="20"/>
          <w:szCs w:val="20"/>
        </w:rPr>
        <w:t xml:space="preserve">, Cyndi. (2009). </w:t>
      </w:r>
      <w:hyperlink r:id="rId23" w:tgtFrame="_blank" w:history="1">
        <w:r w:rsidRPr="0015083E">
          <w:rPr>
            <w:rFonts w:ascii="Times" w:eastAsia="Times New Roman" w:hAnsi="Times" w:cs="Times New Roman"/>
            <w:color w:val="0000FF"/>
            <w:sz w:val="20"/>
            <w:szCs w:val="20"/>
            <w:u w:val="single"/>
          </w:rPr>
          <w:t>Learning from their own learning: how metacognitive and meta-affective reflections enhance learning in race-related courses</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International Journal for the Scholarship of Teaching and Learning,</w:t>
      </w:r>
      <w:r w:rsidRPr="0015083E">
        <w:rPr>
          <w:rFonts w:ascii="Times" w:eastAsia="Times New Roman" w:hAnsi="Times" w:cs="Times New Roman"/>
          <w:sz w:val="20"/>
          <w:szCs w:val="20"/>
        </w:rPr>
        <w:t xml:space="preserve"> 3(1). 1-28.</w:t>
      </w:r>
    </w:p>
    <w:p w14:paraId="09A0C101"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Commander, Nannette Evans, and Valeri-Gold, Marie. (2001). </w:t>
      </w:r>
      <w:hyperlink r:id="rId24" w:tgtFrame="_blank" w:history="1">
        <w:r w:rsidRPr="0015083E">
          <w:rPr>
            <w:rFonts w:ascii="Times" w:eastAsia="Times New Roman" w:hAnsi="Times" w:cs="Times New Roman"/>
            <w:color w:val="0000FF"/>
            <w:sz w:val="20"/>
            <w:szCs w:val="20"/>
            <w:u w:val="single"/>
          </w:rPr>
          <w:t>The learning portfolio: A valuable tool for increasing metacognitive awareness</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The Learning Assistance Review, 6</w:t>
      </w:r>
      <w:r w:rsidRPr="0015083E">
        <w:rPr>
          <w:rFonts w:ascii="Times" w:eastAsia="Times New Roman" w:hAnsi="Times" w:cs="Times New Roman"/>
          <w:sz w:val="20"/>
          <w:szCs w:val="20"/>
        </w:rPr>
        <w:t>(2), 5-18.</w:t>
      </w:r>
    </w:p>
    <w:p w14:paraId="7718E813"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Concepción, David. (2004). </w:t>
      </w:r>
      <w:hyperlink r:id="rId25" w:tgtFrame="_blank" w:history="1">
        <w:r w:rsidRPr="0015083E">
          <w:rPr>
            <w:rFonts w:ascii="Times" w:eastAsia="Times New Roman" w:hAnsi="Times" w:cs="Times New Roman"/>
            <w:color w:val="0000FF"/>
            <w:sz w:val="20"/>
            <w:szCs w:val="20"/>
            <w:u w:val="single"/>
          </w:rPr>
          <w:t>Reading philosophy with background knowledge and metacognition</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Teaching Philosophy</w:t>
      </w:r>
      <w:r w:rsidRPr="0015083E">
        <w:rPr>
          <w:rFonts w:ascii="Times" w:eastAsia="Times New Roman" w:hAnsi="Times" w:cs="Times New Roman"/>
          <w:sz w:val="20"/>
          <w:szCs w:val="20"/>
        </w:rPr>
        <w:t>,</w:t>
      </w:r>
      <w:r w:rsidRPr="0015083E">
        <w:rPr>
          <w:rFonts w:ascii="Times" w:eastAsia="Times New Roman" w:hAnsi="Times" w:cs="Times New Roman"/>
          <w:i/>
          <w:iCs/>
          <w:sz w:val="20"/>
          <w:szCs w:val="20"/>
        </w:rPr>
        <w:t xml:space="preserve"> 27</w:t>
      </w:r>
      <w:r w:rsidRPr="0015083E">
        <w:rPr>
          <w:rFonts w:ascii="Times" w:eastAsia="Times New Roman" w:hAnsi="Times" w:cs="Times New Roman"/>
          <w:sz w:val="20"/>
          <w:szCs w:val="20"/>
        </w:rPr>
        <w:t>(4). 351-368.</w:t>
      </w:r>
    </w:p>
    <w:p w14:paraId="118C2142"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Dunning, David, Johnson, Kerri, </w:t>
      </w:r>
      <w:proofErr w:type="spellStart"/>
      <w:r w:rsidRPr="0015083E">
        <w:rPr>
          <w:rFonts w:ascii="Times" w:eastAsia="Times New Roman" w:hAnsi="Times" w:cs="Times New Roman"/>
          <w:sz w:val="20"/>
          <w:szCs w:val="20"/>
        </w:rPr>
        <w:t>Ehrlinger</w:t>
      </w:r>
      <w:proofErr w:type="spellEnd"/>
      <w:r w:rsidRPr="0015083E">
        <w:rPr>
          <w:rFonts w:ascii="Times" w:eastAsia="Times New Roman" w:hAnsi="Times" w:cs="Times New Roman"/>
          <w:sz w:val="20"/>
          <w:szCs w:val="20"/>
        </w:rPr>
        <w:t xml:space="preserve">, Joyce, and Kruger, Justin. (2003) </w:t>
      </w:r>
      <w:hyperlink r:id="rId26" w:tgtFrame="_blank" w:history="1">
        <w:r w:rsidRPr="0015083E">
          <w:rPr>
            <w:rFonts w:ascii="Times" w:eastAsia="Times New Roman" w:hAnsi="Times" w:cs="Times New Roman"/>
            <w:color w:val="0000FF"/>
            <w:sz w:val="20"/>
            <w:szCs w:val="20"/>
            <w:u w:val="single"/>
          </w:rPr>
          <w:t>Why people fail to recognize their own incompetence</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Current Directions in Psychological Science, 12</w:t>
      </w:r>
      <w:r w:rsidRPr="0015083E">
        <w:rPr>
          <w:rFonts w:ascii="Times" w:eastAsia="Times New Roman" w:hAnsi="Times" w:cs="Times New Roman"/>
          <w:sz w:val="20"/>
          <w:szCs w:val="20"/>
        </w:rPr>
        <w:t>(3). 83-87.</w:t>
      </w:r>
    </w:p>
    <w:p w14:paraId="47E49A4C"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gramStart"/>
      <w:r w:rsidRPr="0015083E">
        <w:rPr>
          <w:rFonts w:ascii="Times" w:eastAsia="Times New Roman" w:hAnsi="Times" w:cs="Times New Roman"/>
          <w:sz w:val="20"/>
          <w:szCs w:val="20"/>
        </w:rPr>
        <w:t>Flavell,  John</w:t>
      </w:r>
      <w:proofErr w:type="gramEnd"/>
      <w:r w:rsidRPr="0015083E">
        <w:rPr>
          <w:rFonts w:ascii="Times" w:eastAsia="Times New Roman" w:hAnsi="Times" w:cs="Times New Roman"/>
          <w:sz w:val="20"/>
          <w:szCs w:val="20"/>
        </w:rPr>
        <w:t xml:space="preserve"> H. (1985). </w:t>
      </w:r>
      <w:r w:rsidRPr="0015083E">
        <w:rPr>
          <w:rFonts w:ascii="Times" w:eastAsia="Times New Roman" w:hAnsi="Times" w:cs="Times New Roman"/>
          <w:i/>
          <w:iCs/>
          <w:sz w:val="20"/>
          <w:szCs w:val="20"/>
        </w:rPr>
        <w:t>Cognitive development.</w:t>
      </w:r>
      <w:r w:rsidRPr="0015083E">
        <w:rPr>
          <w:rFonts w:ascii="Times" w:eastAsia="Times New Roman" w:hAnsi="Times" w:cs="Times New Roman"/>
          <w:sz w:val="20"/>
          <w:szCs w:val="20"/>
        </w:rPr>
        <w:t xml:space="preserve"> Englewood Cliffs, NJ: Prentice Hall.</w:t>
      </w:r>
    </w:p>
    <w:p w14:paraId="28002DBA"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spellStart"/>
      <w:r w:rsidRPr="0015083E">
        <w:rPr>
          <w:rFonts w:ascii="Times" w:eastAsia="Times New Roman" w:hAnsi="Times" w:cs="Times New Roman"/>
          <w:sz w:val="20"/>
          <w:szCs w:val="20"/>
        </w:rPr>
        <w:t>Hatano</w:t>
      </w:r>
      <w:proofErr w:type="spellEnd"/>
      <w:r w:rsidRPr="0015083E">
        <w:rPr>
          <w:rFonts w:ascii="Times" w:eastAsia="Times New Roman" w:hAnsi="Times" w:cs="Times New Roman"/>
          <w:sz w:val="20"/>
          <w:szCs w:val="20"/>
        </w:rPr>
        <w:t xml:space="preserve">, </w:t>
      </w:r>
      <w:proofErr w:type="spellStart"/>
      <w:r w:rsidRPr="0015083E">
        <w:rPr>
          <w:rFonts w:ascii="Times" w:eastAsia="Times New Roman" w:hAnsi="Times" w:cs="Times New Roman"/>
          <w:sz w:val="20"/>
          <w:szCs w:val="20"/>
        </w:rPr>
        <w:t>Giyoo</w:t>
      </w:r>
      <w:proofErr w:type="spellEnd"/>
      <w:r w:rsidRPr="0015083E">
        <w:rPr>
          <w:rFonts w:ascii="Times" w:eastAsia="Times New Roman" w:hAnsi="Times" w:cs="Times New Roman"/>
          <w:sz w:val="20"/>
          <w:szCs w:val="20"/>
        </w:rPr>
        <w:t xml:space="preserve"> and Inagaki, Kayoko. (1986). Two courses of expertise. In Harold Stevenson, Azuma, </w:t>
      </w:r>
      <w:proofErr w:type="spellStart"/>
      <w:r w:rsidRPr="0015083E">
        <w:rPr>
          <w:rFonts w:ascii="Times" w:eastAsia="Times New Roman" w:hAnsi="Times" w:cs="Times New Roman"/>
          <w:sz w:val="20"/>
          <w:szCs w:val="20"/>
        </w:rPr>
        <w:t>Horishi</w:t>
      </w:r>
      <w:proofErr w:type="spellEnd"/>
      <w:r w:rsidRPr="0015083E">
        <w:rPr>
          <w:rFonts w:ascii="Times" w:eastAsia="Times New Roman" w:hAnsi="Times" w:cs="Times New Roman"/>
          <w:sz w:val="20"/>
          <w:szCs w:val="20"/>
        </w:rPr>
        <w:t xml:space="preserve">, and </w:t>
      </w:r>
      <w:proofErr w:type="spellStart"/>
      <w:r w:rsidRPr="0015083E">
        <w:rPr>
          <w:rFonts w:ascii="Times" w:eastAsia="Times New Roman" w:hAnsi="Times" w:cs="Times New Roman"/>
          <w:sz w:val="20"/>
          <w:szCs w:val="20"/>
        </w:rPr>
        <w:t>Hakuta</w:t>
      </w:r>
      <w:proofErr w:type="spellEnd"/>
      <w:r w:rsidRPr="0015083E">
        <w:rPr>
          <w:rFonts w:ascii="Times" w:eastAsia="Times New Roman" w:hAnsi="Times" w:cs="Times New Roman"/>
          <w:sz w:val="20"/>
          <w:szCs w:val="20"/>
        </w:rPr>
        <w:t xml:space="preserve">, Kinji (Eds.), </w:t>
      </w:r>
      <w:r w:rsidRPr="0015083E">
        <w:rPr>
          <w:rFonts w:ascii="Times" w:eastAsia="Times New Roman" w:hAnsi="Times" w:cs="Times New Roman"/>
          <w:i/>
          <w:iCs/>
          <w:sz w:val="20"/>
          <w:szCs w:val="20"/>
        </w:rPr>
        <w:t>Child development and education in Japan,</w:t>
      </w:r>
      <w:r w:rsidRPr="0015083E">
        <w:rPr>
          <w:rFonts w:ascii="Times" w:eastAsia="Times New Roman" w:hAnsi="Times" w:cs="Times New Roman"/>
          <w:sz w:val="20"/>
          <w:szCs w:val="20"/>
        </w:rPr>
        <w:t xml:space="preserve"> New York: W.H. Freeman.</w:t>
      </w:r>
    </w:p>
    <w:p w14:paraId="29E7036D"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Helms, Janet E. (1995). </w:t>
      </w:r>
      <w:hyperlink r:id="rId27" w:history="1">
        <w:r w:rsidRPr="0015083E">
          <w:rPr>
            <w:rFonts w:ascii="Times" w:eastAsia="Times New Roman" w:hAnsi="Times" w:cs="Times New Roman"/>
            <w:color w:val="0000FF"/>
            <w:sz w:val="20"/>
            <w:szCs w:val="20"/>
            <w:u w:val="single"/>
          </w:rPr>
          <w:t>An update of Helms’ white and people of color racial identity models</w:t>
        </w:r>
      </w:hyperlink>
      <w:r w:rsidRPr="0015083E">
        <w:rPr>
          <w:rFonts w:ascii="Times" w:eastAsia="Times New Roman" w:hAnsi="Times" w:cs="Times New Roman"/>
          <w:sz w:val="20"/>
          <w:szCs w:val="20"/>
        </w:rPr>
        <w:t xml:space="preserve">. In J.G. </w:t>
      </w:r>
      <w:proofErr w:type="spellStart"/>
      <w:r w:rsidRPr="0015083E">
        <w:rPr>
          <w:rFonts w:ascii="Times" w:eastAsia="Times New Roman" w:hAnsi="Times" w:cs="Times New Roman"/>
          <w:sz w:val="20"/>
          <w:szCs w:val="20"/>
        </w:rPr>
        <w:t>Ponterotto</w:t>
      </w:r>
      <w:proofErr w:type="spellEnd"/>
      <w:r w:rsidRPr="0015083E">
        <w:rPr>
          <w:rFonts w:ascii="Times" w:eastAsia="Times New Roman" w:hAnsi="Times" w:cs="Times New Roman"/>
          <w:sz w:val="20"/>
          <w:szCs w:val="20"/>
        </w:rPr>
        <w:t xml:space="preserve">, Joseph G., Casas, Manuel, Suzuki, Lisa A., and Alexander, Charlene M. (Eds.), </w:t>
      </w:r>
      <w:r w:rsidRPr="0015083E">
        <w:rPr>
          <w:rFonts w:ascii="Times" w:eastAsia="Times New Roman" w:hAnsi="Times" w:cs="Times New Roman"/>
          <w:i/>
          <w:iCs/>
          <w:sz w:val="20"/>
          <w:szCs w:val="20"/>
        </w:rPr>
        <w:t xml:space="preserve">Handbook of multicultural counseling </w:t>
      </w:r>
      <w:r w:rsidRPr="0015083E">
        <w:rPr>
          <w:rFonts w:ascii="Times" w:eastAsia="Times New Roman" w:hAnsi="Times" w:cs="Times New Roman"/>
          <w:sz w:val="20"/>
          <w:szCs w:val="20"/>
        </w:rPr>
        <w:t>(pp. 181-198)</w:t>
      </w:r>
      <w:r w:rsidRPr="0015083E">
        <w:rPr>
          <w:rFonts w:ascii="Times" w:eastAsia="Times New Roman" w:hAnsi="Times" w:cs="Times New Roman"/>
          <w:i/>
          <w:iCs/>
          <w:sz w:val="20"/>
          <w:szCs w:val="20"/>
        </w:rPr>
        <w:t xml:space="preserve">. </w:t>
      </w:r>
      <w:r w:rsidRPr="0015083E">
        <w:rPr>
          <w:rFonts w:ascii="Times" w:eastAsia="Times New Roman" w:hAnsi="Times" w:cs="Times New Roman"/>
          <w:sz w:val="20"/>
          <w:szCs w:val="20"/>
        </w:rPr>
        <w:t>Thousand Oaks, CA: Sage.</w:t>
      </w:r>
    </w:p>
    <w:p w14:paraId="1E7B31AF"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Lovett, Marsha C. (2013). Make exams worth more than the grade. In Matthew Kaplan, Naomi Silver, Danielle </w:t>
      </w:r>
      <w:proofErr w:type="spellStart"/>
      <w:r w:rsidRPr="0015083E">
        <w:rPr>
          <w:rFonts w:ascii="Times" w:eastAsia="Times New Roman" w:hAnsi="Times" w:cs="Times New Roman"/>
          <w:sz w:val="20"/>
          <w:szCs w:val="20"/>
        </w:rPr>
        <w:t>LaVague</w:t>
      </w:r>
      <w:proofErr w:type="spellEnd"/>
      <w:r w:rsidRPr="0015083E">
        <w:rPr>
          <w:rFonts w:ascii="Times" w:eastAsia="Times New Roman" w:hAnsi="Times" w:cs="Times New Roman"/>
          <w:sz w:val="20"/>
          <w:szCs w:val="20"/>
        </w:rPr>
        <w:t xml:space="preserve">-Manty, and Deborah </w:t>
      </w:r>
      <w:proofErr w:type="spellStart"/>
      <w:r w:rsidRPr="0015083E">
        <w:rPr>
          <w:rFonts w:ascii="Times" w:eastAsia="Times New Roman" w:hAnsi="Times" w:cs="Times New Roman"/>
          <w:sz w:val="20"/>
          <w:szCs w:val="20"/>
        </w:rPr>
        <w:t>Meizlish</w:t>
      </w:r>
      <w:proofErr w:type="spellEnd"/>
      <w:r w:rsidRPr="0015083E">
        <w:rPr>
          <w:rFonts w:ascii="Times" w:eastAsia="Times New Roman" w:hAnsi="Times" w:cs="Times New Roman"/>
          <w:sz w:val="20"/>
          <w:szCs w:val="20"/>
        </w:rPr>
        <w:t xml:space="preserve"> (Eds.), </w:t>
      </w:r>
      <w:hyperlink r:id="rId28" w:tgtFrame="_blank" w:history="1">
        <w:r w:rsidRPr="0015083E">
          <w:rPr>
            <w:rFonts w:ascii="Times" w:eastAsia="Times New Roman" w:hAnsi="Times" w:cs="Times New Roman"/>
            <w:i/>
            <w:iCs/>
            <w:color w:val="0000FF"/>
            <w:sz w:val="20"/>
            <w:szCs w:val="20"/>
            <w:u w:val="single"/>
          </w:rPr>
          <w:t>Using reflection and metacognition to improve student learning: Across the disciplines, across the academy</w:t>
        </w:r>
      </w:hyperlink>
      <w:r w:rsidRPr="0015083E">
        <w:rPr>
          <w:rFonts w:ascii="Times" w:eastAsia="Times New Roman" w:hAnsi="Times" w:cs="Times New Roman"/>
          <w:sz w:val="20"/>
          <w:szCs w:val="20"/>
        </w:rPr>
        <w:t>. Sterling, VA: Stylus.</w:t>
      </w:r>
    </w:p>
    <w:p w14:paraId="772DCC2E"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spellStart"/>
      <w:r w:rsidRPr="0015083E">
        <w:rPr>
          <w:rFonts w:ascii="Times" w:eastAsia="Times New Roman" w:hAnsi="Times" w:cs="Times New Roman"/>
          <w:sz w:val="20"/>
          <w:szCs w:val="20"/>
        </w:rPr>
        <w:t>Palincsar</w:t>
      </w:r>
      <w:proofErr w:type="spellEnd"/>
      <w:r w:rsidRPr="0015083E">
        <w:rPr>
          <w:rFonts w:ascii="Times" w:eastAsia="Times New Roman" w:hAnsi="Times" w:cs="Times New Roman"/>
          <w:sz w:val="20"/>
          <w:szCs w:val="20"/>
        </w:rPr>
        <w:t xml:space="preserve">, Annemarie Sullivan, and Brown, Ann L. (1984). </w:t>
      </w:r>
      <w:hyperlink r:id="rId29" w:tgtFrame="_blank" w:history="1">
        <w:r w:rsidRPr="0015083E">
          <w:rPr>
            <w:rFonts w:ascii="Times" w:eastAsia="Times New Roman" w:hAnsi="Times" w:cs="Times New Roman"/>
            <w:color w:val="0000FF"/>
            <w:sz w:val="20"/>
            <w:szCs w:val="20"/>
            <w:u w:val="single"/>
          </w:rPr>
          <w:t>Reciprocal teaching of comprehension-fostering and comprehension-monitoring activities</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Cognition and Instruction, 1</w:t>
      </w:r>
      <w:r w:rsidRPr="0015083E">
        <w:rPr>
          <w:rFonts w:ascii="Times" w:eastAsia="Times New Roman" w:hAnsi="Times" w:cs="Times New Roman"/>
          <w:sz w:val="20"/>
          <w:szCs w:val="20"/>
        </w:rPr>
        <w:t>(2). 117-175.</w:t>
      </w:r>
    </w:p>
    <w:p w14:paraId="32FEF719"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spellStart"/>
      <w:r w:rsidRPr="0015083E">
        <w:rPr>
          <w:rFonts w:ascii="Times" w:eastAsia="Times New Roman" w:hAnsi="Times" w:cs="Times New Roman"/>
          <w:sz w:val="20"/>
          <w:szCs w:val="20"/>
        </w:rPr>
        <w:t>Pintrich</w:t>
      </w:r>
      <w:proofErr w:type="spellEnd"/>
      <w:r w:rsidRPr="0015083E">
        <w:rPr>
          <w:rFonts w:ascii="Times" w:eastAsia="Times New Roman" w:hAnsi="Times" w:cs="Times New Roman"/>
          <w:sz w:val="20"/>
          <w:szCs w:val="20"/>
        </w:rPr>
        <w:t xml:space="preserve">, Paul R. (2002). </w:t>
      </w:r>
      <w:hyperlink r:id="rId30" w:tgtFrame="_blank" w:history="1">
        <w:r w:rsidRPr="0015083E">
          <w:rPr>
            <w:rFonts w:ascii="Times" w:eastAsia="Times New Roman" w:hAnsi="Times" w:cs="Times New Roman"/>
            <w:color w:val="0000FF"/>
            <w:sz w:val="20"/>
            <w:szCs w:val="20"/>
            <w:u w:val="single"/>
          </w:rPr>
          <w:t>The Role of metacognitive knowledge in learning, teaching, and assessing</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Theory into Practice, 41</w:t>
      </w:r>
      <w:r w:rsidRPr="0015083E">
        <w:rPr>
          <w:rFonts w:ascii="Times" w:eastAsia="Times New Roman" w:hAnsi="Times" w:cs="Times New Roman"/>
          <w:sz w:val="20"/>
          <w:szCs w:val="20"/>
        </w:rPr>
        <w:t>(4). 219-225.</w:t>
      </w:r>
    </w:p>
    <w:p w14:paraId="7A5A539E"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spellStart"/>
      <w:r w:rsidRPr="0015083E">
        <w:rPr>
          <w:rFonts w:ascii="Times" w:eastAsia="Times New Roman" w:hAnsi="Times" w:cs="Times New Roman"/>
          <w:sz w:val="20"/>
          <w:szCs w:val="20"/>
        </w:rPr>
        <w:t>Salvatori</w:t>
      </w:r>
      <w:proofErr w:type="spellEnd"/>
      <w:r w:rsidRPr="0015083E">
        <w:rPr>
          <w:rFonts w:ascii="Times" w:eastAsia="Times New Roman" w:hAnsi="Times" w:cs="Times New Roman"/>
          <w:sz w:val="20"/>
          <w:szCs w:val="20"/>
        </w:rPr>
        <w:t xml:space="preserve">, </w:t>
      </w:r>
      <w:proofErr w:type="spellStart"/>
      <w:r w:rsidRPr="0015083E">
        <w:rPr>
          <w:rFonts w:ascii="Times" w:eastAsia="Times New Roman" w:hAnsi="Times" w:cs="Times New Roman"/>
          <w:sz w:val="20"/>
          <w:szCs w:val="20"/>
        </w:rPr>
        <w:t>Mariolina</w:t>
      </w:r>
      <w:proofErr w:type="spellEnd"/>
      <w:r w:rsidRPr="0015083E">
        <w:rPr>
          <w:rFonts w:ascii="Times" w:eastAsia="Times New Roman" w:hAnsi="Times" w:cs="Times New Roman"/>
          <w:sz w:val="20"/>
          <w:szCs w:val="20"/>
        </w:rPr>
        <w:t xml:space="preserve"> </w:t>
      </w:r>
      <w:proofErr w:type="spellStart"/>
      <w:r w:rsidRPr="0015083E">
        <w:rPr>
          <w:rFonts w:ascii="Times" w:eastAsia="Times New Roman" w:hAnsi="Times" w:cs="Times New Roman"/>
          <w:sz w:val="20"/>
          <w:szCs w:val="20"/>
        </w:rPr>
        <w:t>Rizzi</w:t>
      </w:r>
      <w:proofErr w:type="spellEnd"/>
      <w:r w:rsidRPr="0015083E">
        <w:rPr>
          <w:rFonts w:ascii="Times" w:eastAsia="Times New Roman" w:hAnsi="Times" w:cs="Times New Roman"/>
          <w:sz w:val="20"/>
          <w:szCs w:val="20"/>
        </w:rPr>
        <w:t xml:space="preserve">, and Donahue, Patricia. (2004). </w:t>
      </w:r>
      <w:hyperlink r:id="rId31" w:tgtFrame="_blank" w:history="1">
        <w:r w:rsidRPr="0015083E">
          <w:rPr>
            <w:rFonts w:ascii="Times" w:eastAsia="Times New Roman" w:hAnsi="Times" w:cs="Times New Roman"/>
            <w:i/>
            <w:iCs/>
            <w:color w:val="0000FF"/>
            <w:sz w:val="20"/>
            <w:szCs w:val="20"/>
            <w:u w:val="single"/>
          </w:rPr>
          <w:t>The Elements (and pleasures) of difficulty</w:t>
        </w:r>
      </w:hyperlink>
      <w:r w:rsidRPr="0015083E">
        <w:rPr>
          <w:rFonts w:ascii="Times" w:eastAsia="Times New Roman" w:hAnsi="Times" w:cs="Times New Roman"/>
          <w:i/>
          <w:iCs/>
          <w:sz w:val="20"/>
          <w:szCs w:val="20"/>
        </w:rPr>
        <w:t>.</w:t>
      </w:r>
      <w:r w:rsidRPr="0015083E">
        <w:rPr>
          <w:rFonts w:ascii="Times" w:eastAsia="Times New Roman" w:hAnsi="Times" w:cs="Times New Roman"/>
          <w:sz w:val="20"/>
          <w:szCs w:val="20"/>
        </w:rPr>
        <w:t xml:space="preserve"> New York: Pearson-Longman.</w:t>
      </w:r>
    </w:p>
    <w:p w14:paraId="7646D6EC"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proofErr w:type="spellStart"/>
      <w:r w:rsidRPr="0015083E">
        <w:rPr>
          <w:rFonts w:ascii="Times" w:eastAsia="Times New Roman" w:hAnsi="Times" w:cs="Times New Roman"/>
          <w:sz w:val="20"/>
          <w:szCs w:val="20"/>
        </w:rPr>
        <w:t>Scardamalia</w:t>
      </w:r>
      <w:proofErr w:type="spellEnd"/>
      <w:r w:rsidRPr="0015083E">
        <w:rPr>
          <w:rFonts w:ascii="Times" w:eastAsia="Times New Roman" w:hAnsi="Times" w:cs="Times New Roman"/>
          <w:sz w:val="20"/>
          <w:szCs w:val="20"/>
        </w:rPr>
        <w:t xml:space="preserve">, Marlene, Bereiter, Carl, and Steinbach, Rosanne. (1984). </w:t>
      </w:r>
      <w:hyperlink r:id="rId32" w:tgtFrame="_blank" w:history="1">
        <w:r w:rsidRPr="0015083E">
          <w:rPr>
            <w:rFonts w:ascii="Times" w:eastAsia="Times New Roman" w:hAnsi="Times" w:cs="Times New Roman"/>
            <w:color w:val="0000FF"/>
            <w:sz w:val="20"/>
            <w:szCs w:val="20"/>
            <w:u w:val="single"/>
          </w:rPr>
          <w:t>Teachability of reflective processes in written composition</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Cognitive Science</w:t>
      </w:r>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8,</w:t>
      </w:r>
      <w:r w:rsidRPr="0015083E">
        <w:rPr>
          <w:rFonts w:ascii="Times" w:eastAsia="Times New Roman" w:hAnsi="Times" w:cs="Times New Roman"/>
          <w:sz w:val="20"/>
          <w:szCs w:val="20"/>
        </w:rPr>
        <w:t xml:space="preserve"> 173-190.</w:t>
      </w:r>
    </w:p>
    <w:p w14:paraId="16B005C3"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Schoenfeld, Alan H. (1991). On mathematics as sense making: An informal attack on the fortunate divorce of formal and informal mathematics. In James F. Voss, David N. Perkins, and Judith W. Segal (Eds.), </w:t>
      </w:r>
      <w:r w:rsidRPr="0015083E">
        <w:rPr>
          <w:rFonts w:ascii="Times" w:eastAsia="Times New Roman" w:hAnsi="Times" w:cs="Times New Roman"/>
          <w:i/>
          <w:iCs/>
          <w:sz w:val="20"/>
          <w:szCs w:val="20"/>
        </w:rPr>
        <w:t xml:space="preserve">Informal reasoning and education </w:t>
      </w:r>
      <w:r w:rsidRPr="0015083E">
        <w:rPr>
          <w:rFonts w:ascii="Times" w:eastAsia="Times New Roman" w:hAnsi="Times" w:cs="Times New Roman"/>
          <w:sz w:val="20"/>
          <w:szCs w:val="20"/>
        </w:rPr>
        <w:t>(pp. 311-344). Hillsdale, NJ: Erlbaum.</w:t>
      </w:r>
    </w:p>
    <w:p w14:paraId="79D9BE36"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Stanger-Hall, Kathrin F. (2012). </w:t>
      </w:r>
      <w:hyperlink r:id="rId33" w:tgtFrame="_blank" w:history="1">
        <w:r w:rsidRPr="0015083E">
          <w:rPr>
            <w:rFonts w:ascii="Times" w:eastAsia="Times New Roman" w:hAnsi="Times" w:cs="Times New Roman"/>
            <w:color w:val="0000FF"/>
            <w:sz w:val="20"/>
            <w:szCs w:val="20"/>
            <w:u w:val="single"/>
          </w:rPr>
          <w:t>Multiple-choice exams: An obstacle for higher-level thinking in introductory science classes</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Cell Biology Education—Life Sciences Education,</w:t>
      </w:r>
      <w:r w:rsidRPr="0015083E">
        <w:rPr>
          <w:rFonts w:ascii="Times" w:eastAsia="Times New Roman" w:hAnsi="Times" w:cs="Times New Roman"/>
          <w:sz w:val="20"/>
          <w:szCs w:val="20"/>
        </w:rPr>
        <w:t xml:space="preserve"> 11(3), 294-306.</w:t>
      </w:r>
    </w:p>
    <w:p w14:paraId="31631C8C"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Tanner, Kimberly D.  (2012). </w:t>
      </w:r>
      <w:hyperlink r:id="rId34" w:tgtFrame="_blank" w:history="1">
        <w:r w:rsidRPr="0015083E">
          <w:rPr>
            <w:rFonts w:ascii="Times" w:eastAsia="Times New Roman" w:hAnsi="Times" w:cs="Times New Roman"/>
            <w:color w:val="0000FF"/>
            <w:sz w:val="20"/>
            <w:szCs w:val="20"/>
            <w:u w:val="single"/>
          </w:rPr>
          <w:t>Promoting student metacognition</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 xml:space="preserve">CBE—Life Sciences Education, 11, </w:t>
      </w:r>
      <w:r w:rsidRPr="0015083E">
        <w:rPr>
          <w:rFonts w:ascii="Times" w:eastAsia="Times New Roman" w:hAnsi="Times" w:cs="Times New Roman"/>
          <w:sz w:val="20"/>
          <w:szCs w:val="20"/>
        </w:rPr>
        <w:t>113-120.</w:t>
      </w:r>
    </w:p>
    <w:p w14:paraId="424AF54F" w14:textId="77777777" w:rsidR="0015083E" w:rsidRPr="0015083E"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Weimer, Maryellen.  (2012, November 19). </w:t>
      </w:r>
      <w:hyperlink r:id="rId35" w:tgtFrame="_blank" w:history="1">
        <w:r w:rsidRPr="0015083E">
          <w:rPr>
            <w:rFonts w:ascii="Times" w:eastAsia="Times New Roman" w:hAnsi="Times" w:cs="Times New Roman"/>
            <w:color w:val="0000FF"/>
            <w:sz w:val="20"/>
            <w:szCs w:val="20"/>
            <w:u w:val="single"/>
          </w:rPr>
          <w:t>Deep learning vs. surface learning: Getting students to understand the difference</w:t>
        </w:r>
      </w:hyperlink>
      <w:r w:rsidRPr="0015083E">
        <w:rPr>
          <w:rFonts w:ascii="Times" w:eastAsia="Times New Roman" w:hAnsi="Times" w:cs="Times New Roman"/>
          <w:sz w:val="20"/>
          <w:szCs w:val="20"/>
        </w:rPr>
        <w:t xml:space="preserve">. Retrieved from the </w:t>
      </w:r>
      <w:r w:rsidRPr="0015083E">
        <w:rPr>
          <w:rFonts w:ascii="Times" w:eastAsia="Times New Roman" w:hAnsi="Times" w:cs="Times New Roman"/>
          <w:i/>
          <w:iCs/>
          <w:sz w:val="20"/>
          <w:szCs w:val="20"/>
        </w:rPr>
        <w:t>Teaching Professor Blog</w:t>
      </w:r>
      <w:r w:rsidRPr="0015083E">
        <w:rPr>
          <w:rFonts w:ascii="Times" w:eastAsia="Times New Roman" w:hAnsi="Times" w:cs="Times New Roman"/>
          <w:sz w:val="20"/>
          <w:szCs w:val="20"/>
        </w:rPr>
        <w:t xml:space="preserve"> from </w:t>
      </w:r>
      <w:hyperlink r:id="rId36" w:tgtFrame="_blank" w:history="1">
        <w:r w:rsidRPr="0015083E">
          <w:rPr>
            <w:rFonts w:ascii="Times" w:eastAsia="Times New Roman" w:hAnsi="Times" w:cs="Times New Roman"/>
            <w:color w:val="0000FF"/>
            <w:sz w:val="20"/>
            <w:szCs w:val="20"/>
            <w:u w:val="single"/>
          </w:rPr>
          <w:t>http://www.facultyfocus.com/articles/teaching-professor-blog/deep-learning-vs-surface-learning-getting-students-to-understand-the-difference/</w:t>
        </w:r>
      </w:hyperlink>
      <w:r w:rsidRPr="0015083E">
        <w:rPr>
          <w:rFonts w:ascii="Times" w:eastAsia="Times New Roman" w:hAnsi="Times" w:cs="Times New Roman"/>
          <w:sz w:val="20"/>
          <w:szCs w:val="20"/>
        </w:rPr>
        <w:t>.</w:t>
      </w:r>
    </w:p>
    <w:p w14:paraId="4CFA6109" w14:textId="2D21E087" w:rsidR="0015083E" w:rsidRPr="00E800FC" w:rsidRDefault="0015083E" w:rsidP="0015083E">
      <w:pPr>
        <w:numPr>
          <w:ilvl w:val="0"/>
          <w:numId w:val="5"/>
        </w:numPr>
        <w:spacing w:before="100" w:beforeAutospacing="1" w:after="100" w:afterAutospacing="1"/>
        <w:rPr>
          <w:rFonts w:ascii="Times" w:eastAsia="Times New Roman" w:hAnsi="Times" w:cs="Times New Roman"/>
          <w:sz w:val="20"/>
          <w:szCs w:val="20"/>
        </w:rPr>
      </w:pPr>
      <w:r w:rsidRPr="0015083E">
        <w:rPr>
          <w:rFonts w:ascii="Times" w:eastAsia="Times New Roman" w:hAnsi="Times" w:cs="Times New Roman"/>
          <w:sz w:val="20"/>
          <w:szCs w:val="20"/>
        </w:rPr>
        <w:t xml:space="preserve">Zohar, </w:t>
      </w:r>
      <w:proofErr w:type="spellStart"/>
      <w:r w:rsidRPr="0015083E">
        <w:rPr>
          <w:rFonts w:ascii="Times" w:eastAsia="Times New Roman" w:hAnsi="Times" w:cs="Times New Roman"/>
          <w:sz w:val="20"/>
          <w:szCs w:val="20"/>
        </w:rPr>
        <w:t>Anat</w:t>
      </w:r>
      <w:proofErr w:type="spellEnd"/>
      <w:r w:rsidRPr="0015083E">
        <w:rPr>
          <w:rFonts w:ascii="Times" w:eastAsia="Times New Roman" w:hAnsi="Times" w:cs="Times New Roman"/>
          <w:sz w:val="20"/>
          <w:szCs w:val="20"/>
        </w:rPr>
        <w:t xml:space="preserve">, and David, Adi Ben. (2009). </w:t>
      </w:r>
      <w:hyperlink r:id="rId37" w:tgtFrame="_blank" w:history="1">
        <w:r w:rsidRPr="0015083E">
          <w:rPr>
            <w:rFonts w:ascii="Times" w:eastAsia="Times New Roman" w:hAnsi="Times" w:cs="Times New Roman"/>
            <w:color w:val="0000FF"/>
            <w:sz w:val="20"/>
            <w:szCs w:val="20"/>
            <w:u w:val="single"/>
          </w:rPr>
          <w:t>Paving a clear path in a thick forest: a conceptual analysis of a metacognitive component</w:t>
        </w:r>
      </w:hyperlink>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Metacognition Learning</w:t>
      </w:r>
      <w:r w:rsidRPr="0015083E">
        <w:rPr>
          <w:rFonts w:ascii="Times" w:eastAsia="Times New Roman" w:hAnsi="Times" w:cs="Times New Roman"/>
          <w:sz w:val="20"/>
          <w:szCs w:val="20"/>
        </w:rPr>
        <w:t xml:space="preserve">, </w:t>
      </w:r>
      <w:r w:rsidRPr="0015083E">
        <w:rPr>
          <w:rFonts w:ascii="Times" w:eastAsia="Times New Roman" w:hAnsi="Times" w:cs="Times New Roman"/>
          <w:i/>
          <w:iCs/>
          <w:sz w:val="20"/>
          <w:szCs w:val="20"/>
        </w:rPr>
        <w:t>4</w:t>
      </w:r>
      <w:r w:rsidRPr="0015083E">
        <w:rPr>
          <w:rFonts w:ascii="Times" w:eastAsia="Times New Roman" w:hAnsi="Times" w:cs="Times New Roman"/>
          <w:sz w:val="20"/>
          <w:szCs w:val="20"/>
        </w:rPr>
        <w:t>, 177-195.</w:t>
      </w:r>
    </w:p>
    <w:p w14:paraId="3C697847" w14:textId="2891EB0D" w:rsidR="000C22FC" w:rsidRDefault="0015083E" w:rsidP="00A964A3">
      <w:pPr>
        <w:spacing w:before="100" w:beforeAutospacing="1" w:after="100" w:afterAutospacing="1"/>
        <w:jc w:val="center"/>
        <w:rPr>
          <w:rFonts w:ascii="Times" w:hAnsi="Times" w:cs="Times New Roman"/>
          <w:color w:val="0000FF"/>
          <w:sz w:val="14"/>
          <w:szCs w:val="20"/>
          <w:u w:val="single"/>
        </w:rPr>
      </w:pPr>
      <w:r w:rsidRPr="00A964A3">
        <w:rPr>
          <w:rFonts w:ascii="Times" w:hAnsi="Times" w:cs="Times New Roman"/>
          <w:sz w:val="14"/>
          <w:szCs w:val="20"/>
        </w:rPr>
        <w:t>Photo credit: </w:t>
      </w:r>
      <w:proofErr w:type="spellStart"/>
      <w:r w:rsidR="00624394">
        <w:fldChar w:fldCharType="begin"/>
      </w:r>
      <w:r w:rsidR="00624394">
        <w:instrText xml:space="preserve"> HYPERLINK "http://www.flickr.com/photos/45656407@N06/5254263845/" </w:instrText>
      </w:r>
      <w:r w:rsidR="00624394">
        <w:fldChar w:fldCharType="separate"/>
      </w:r>
      <w:r w:rsidRPr="00A964A3">
        <w:rPr>
          <w:rFonts w:ascii="Times" w:hAnsi="Times" w:cs="Times New Roman"/>
          <w:color w:val="0000FF"/>
          <w:sz w:val="14"/>
          <w:szCs w:val="20"/>
          <w:u w:val="single"/>
        </w:rPr>
        <w:t>wittygrittyinvisiblegirl</w:t>
      </w:r>
      <w:proofErr w:type="spellEnd"/>
      <w:r w:rsidR="00624394">
        <w:rPr>
          <w:rFonts w:ascii="Times" w:hAnsi="Times" w:cs="Times New Roman"/>
          <w:color w:val="0000FF"/>
          <w:sz w:val="14"/>
          <w:szCs w:val="20"/>
          <w:u w:val="single"/>
        </w:rPr>
        <w:fldChar w:fldCharType="end"/>
      </w:r>
      <w:r w:rsidRPr="00A964A3">
        <w:rPr>
          <w:rFonts w:ascii="Times" w:hAnsi="Times" w:cs="Times New Roman"/>
          <w:sz w:val="14"/>
          <w:szCs w:val="20"/>
        </w:rPr>
        <w:t xml:space="preserve"> via </w:t>
      </w:r>
      <w:proofErr w:type="spellStart"/>
      <w:r w:rsidR="00E800FC">
        <w:fldChar w:fldCharType="begin"/>
      </w:r>
      <w:r w:rsidR="00E800FC">
        <w:instrText xml:space="preserve"> HYPERLINK "http://compfight.com" </w:instrText>
      </w:r>
      <w:r w:rsidR="00E800FC">
        <w:fldChar w:fldCharType="separate"/>
      </w:r>
      <w:r w:rsidRPr="00A964A3">
        <w:rPr>
          <w:rFonts w:ascii="Times" w:hAnsi="Times" w:cs="Times New Roman"/>
          <w:color w:val="0000FF"/>
          <w:sz w:val="14"/>
          <w:szCs w:val="20"/>
          <w:u w:val="single"/>
        </w:rPr>
        <w:t>Compfight</w:t>
      </w:r>
      <w:proofErr w:type="spellEnd"/>
      <w:r w:rsidR="00E800FC">
        <w:rPr>
          <w:rFonts w:ascii="Times" w:hAnsi="Times" w:cs="Times New Roman"/>
          <w:color w:val="0000FF"/>
          <w:sz w:val="14"/>
          <w:szCs w:val="20"/>
          <w:u w:val="single"/>
        </w:rPr>
        <w:fldChar w:fldCharType="end"/>
      </w:r>
      <w:r w:rsidRPr="00A964A3">
        <w:rPr>
          <w:rFonts w:ascii="Times" w:hAnsi="Times" w:cs="Times New Roman"/>
          <w:sz w:val="14"/>
          <w:szCs w:val="20"/>
        </w:rPr>
        <w:t xml:space="preserve"> </w:t>
      </w:r>
      <w:hyperlink r:id="rId38" w:anchor="147" w:history="1">
        <w:r w:rsidRPr="00A964A3">
          <w:rPr>
            <w:rFonts w:ascii="Times" w:hAnsi="Times" w:cs="Times New Roman"/>
            <w:color w:val="0000FF"/>
            <w:sz w:val="14"/>
            <w:szCs w:val="20"/>
            <w:u w:val="single"/>
          </w:rPr>
          <w:t>cc</w:t>
        </w:r>
      </w:hyperlink>
      <w:r w:rsidR="00A964A3">
        <w:rPr>
          <w:rFonts w:ascii="Times" w:hAnsi="Times" w:cs="Times New Roman"/>
          <w:sz w:val="14"/>
          <w:szCs w:val="20"/>
        </w:rPr>
        <w:t xml:space="preserve"> | </w:t>
      </w:r>
      <w:r w:rsidRPr="00A964A3">
        <w:rPr>
          <w:rFonts w:ascii="Times" w:hAnsi="Times" w:cs="Times New Roman"/>
          <w:sz w:val="14"/>
          <w:szCs w:val="20"/>
        </w:rPr>
        <w:t xml:space="preserve">Photo Credit: </w:t>
      </w:r>
      <w:hyperlink r:id="rId39" w:history="1">
        <w:r w:rsidRPr="00A964A3">
          <w:rPr>
            <w:rFonts w:ascii="Times" w:hAnsi="Times" w:cs="Times New Roman"/>
            <w:color w:val="0000FF"/>
            <w:sz w:val="14"/>
            <w:szCs w:val="20"/>
            <w:u w:val="single"/>
          </w:rPr>
          <w:t>Helga Weber</w:t>
        </w:r>
      </w:hyperlink>
      <w:r w:rsidRPr="00A964A3">
        <w:rPr>
          <w:rFonts w:ascii="Times" w:hAnsi="Times" w:cs="Times New Roman"/>
          <w:sz w:val="14"/>
          <w:szCs w:val="20"/>
        </w:rPr>
        <w:t xml:space="preserve"> via </w:t>
      </w:r>
      <w:hyperlink r:id="rId40" w:history="1">
        <w:proofErr w:type="spellStart"/>
        <w:r w:rsidRPr="00A964A3">
          <w:rPr>
            <w:rFonts w:ascii="Times" w:hAnsi="Times" w:cs="Times New Roman"/>
            <w:color w:val="0000FF"/>
            <w:sz w:val="14"/>
            <w:szCs w:val="20"/>
            <w:u w:val="single"/>
          </w:rPr>
          <w:t>Compfight</w:t>
        </w:r>
        <w:proofErr w:type="spellEnd"/>
      </w:hyperlink>
      <w:r w:rsidRPr="00A964A3">
        <w:rPr>
          <w:rFonts w:ascii="Times" w:hAnsi="Times" w:cs="Times New Roman"/>
          <w:sz w:val="14"/>
          <w:szCs w:val="20"/>
        </w:rPr>
        <w:t xml:space="preserve"> </w:t>
      </w:r>
      <w:hyperlink r:id="rId41" w:history="1">
        <w:r w:rsidRPr="00A964A3">
          <w:rPr>
            <w:rFonts w:ascii="Times" w:hAnsi="Times" w:cs="Times New Roman"/>
            <w:color w:val="0000FF"/>
            <w:sz w:val="14"/>
            <w:szCs w:val="20"/>
            <w:u w:val="single"/>
          </w:rPr>
          <w:t>cc</w:t>
        </w:r>
      </w:hyperlink>
      <w:r w:rsidR="00A964A3">
        <w:rPr>
          <w:rFonts w:ascii="Times" w:hAnsi="Times" w:cs="Times New Roman"/>
          <w:sz w:val="14"/>
          <w:szCs w:val="20"/>
        </w:rPr>
        <w:t xml:space="preserve"> | </w:t>
      </w:r>
      <w:r w:rsidRPr="00A964A3">
        <w:rPr>
          <w:rFonts w:ascii="Times" w:hAnsi="Times" w:cs="Times New Roman"/>
          <w:sz w:val="14"/>
          <w:szCs w:val="20"/>
        </w:rPr>
        <w:t xml:space="preserve">Photo Credit: </w:t>
      </w:r>
      <w:hyperlink r:id="rId42" w:history="1">
        <w:r w:rsidRPr="00A964A3">
          <w:rPr>
            <w:rFonts w:ascii="Times" w:hAnsi="Times" w:cs="Times New Roman"/>
            <w:color w:val="0000FF"/>
            <w:sz w:val="14"/>
            <w:szCs w:val="20"/>
            <w:u w:val="single"/>
          </w:rPr>
          <w:t>fiddle oak</w:t>
        </w:r>
      </w:hyperlink>
      <w:r w:rsidRPr="00A964A3">
        <w:rPr>
          <w:rFonts w:ascii="Times" w:hAnsi="Times" w:cs="Times New Roman"/>
          <w:sz w:val="14"/>
          <w:szCs w:val="20"/>
        </w:rPr>
        <w:t xml:space="preserve"> via </w:t>
      </w:r>
      <w:hyperlink r:id="rId43" w:history="1">
        <w:proofErr w:type="spellStart"/>
        <w:r w:rsidRPr="00A964A3">
          <w:rPr>
            <w:rFonts w:ascii="Times" w:hAnsi="Times" w:cs="Times New Roman"/>
            <w:color w:val="0000FF"/>
            <w:sz w:val="14"/>
            <w:szCs w:val="20"/>
            <w:u w:val="single"/>
          </w:rPr>
          <w:t>Compfight</w:t>
        </w:r>
        <w:proofErr w:type="spellEnd"/>
      </w:hyperlink>
      <w:r w:rsidRPr="00A964A3">
        <w:rPr>
          <w:rFonts w:ascii="Times" w:hAnsi="Times" w:cs="Times New Roman"/>
          <w:sz w:val="14"/>
          <w:szCs w:val="20"/>
        </w:rPr>
        <w:t xml:space="preserve"> </w:t>
      </w:r>
      <w:hyperlink r:id="rId44" w:history="1">
        <w:r w:rsidRPr="00A964A3">
          <w:rPr>
            <w:rFonts w:ascii="Times" w:hAnsi="Times" w:cs="Times New Roman"/>
            <w:color w:val="0000FF"/>
            <w:sz w:val="14"/>
            <w:szCs w:val="20"/>
            <w:u w:val="single"/>
          </w:rPr>
          <w:t>cc</w:t>
        </w:r>
      </w:hyperlink>
    </w:p>
    <w:p w14:paraId="7542CCB6" w14:textId="77777777" w:rsidR="00E800FC" w:rsidRDefault="00E800FC" w:rsidP="00E800FC">
      <w:pPr>
        <w:spacing w:before="100" w:beforeAutospacing="1" w:after="100" w:afterAutospacing="1"/>
        <w:ind w:left="360"/>
        <w:jc w:val="center"/>
        <w:rPr>
          <w:rFonts w:ascii="Times New Roman" w:eastAsia="Times New Roman" w:hAnsi="Times New Roman" w:cs="Times New Roman"/>
          <w:color w:val="000000" w:themeColor="text1"/>
        </w:rPr>
      </w:pPr>
    </w:p>
    <w:p w14:paraId="417335EE" w14:textId="65AE92CE" w:rsidR="00E800FC" w:rsidRPr="00397F9C" w:rsidRDefault="00E800FC" w:rsidP="00E800FC">
      <w:pPr>
        <w:spacing w:before="100" w:beforeAutospacing="1" w:after="100" w:afterAutospacing="1"/>
        <w:ind w:left="360"/>
        <w:jc w:val="center"/>
        <w:rPr>
          <w:rFonts w:ascii="Times New Roman" w:eastAsia="Times New Roman" w:hAnsi="Times New Roman" w:cs="Times New Roman"/>
          <w:color w:val="000000" w:themeColor="text1"/>
        </w:rPr>
      </w:pPr>
      <w:r w:rsidRPr="001B4569">
        <w:rPr>
          <w:noProof/>
        </w:rPr>
        <w:lastRenderedPageBreak/>
        <w:drawing>
          <wp:inline distT="0" distB="0" distL="0" distR="0" wp14:anchorId="28E21F68" wp14:editId="05DBAFA1">
            <wp:extent cx="1017270" cy="184785"/>
            <wp:effectExtent l="0" t="0" r="0" b="5715"/>
            <wp:docPr id="9" name="Picture 9" descr="Creative Commons Licens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45"/>
                    </pic:cNvPr>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7BE8B12E" w14:textId="77777777" w:rsidR="00E800FC" w:rsidRPr="002D0512" w:rsidRDefault="00E800FC" w:rsidP="00E800FC">
      <w:pPr>
        <w:spacing w:before="100" w:beforeAutospacing="1" w:after="100" w:afterAutospacing="1"/>
        <w:ind w:left="360"/>
        <w:jc w:val="center"/>
        <w:rPr>
          <w:rFonts w:ascii="Times New Roman" w:eastAsia="Times New Roman" w:hAnsi="Times New Roman" w:cs="Times New Roman"/>
          <w:color w:val="000000" w:themeColor="text1"/>
        </w:rPr>
      </w:pPr>
      <w:r w:rsidRPr="002D0512">
        <w:rPr>
          <w:rFonts w:ascii="Times New Roman" w:eastAsia="Times New Roman" w:hAnsi="Times New Roman" w:cs="Times New Roman"/>
          <w:color w:val="000000" w:themeColor="text1"/>
          <w:sz w:val="20"/>
          <w:szCs w:val="20"/>
        </w:rPr>
        <w:t>This teaching guide is licensed under a </w:t>
      </w:r>
      <w:hyperlink r:id="rId47" w:history="1">
        <w:r w:rsidRPr="002D0512">
          <w:rPr>
            <w:rFonts w:ascii="Times New Roman" w:eastAsia="Times New Roman" w:hAnsi="Times New Roman" w:cs="Times New Roman"/>
            <w:color w:val="000000" w:themeColor="text1"/>
            <w:sz w:val="20"/>
            <w:szCs w:val="20"/>
            <w:u w:val="single"/>
          </w:rPr>
          <w:t>Creative Commons Attribution-</w:t>
        </w:r>
        <w:proofErr w:type="spellStart"/>
        <w:r w:rsidRPr="002D0512">
          <w:rPr>
            <w:rFonts w:ascii="Times New Roman" w:eastAsia="Times New Roman" w:hAnsi="Times New Roman" w:cs="Times New Roman"/>
            <w:color w:val="000000" w:themeColor="text1"/>
            <w:sz w:val="20"/>
            <w:szCs w:val="20"/>
            <w:u w:val="single"/>
          </w:rPr>
          <w:t>NonCommercial</w:t>
        </w:r>
        <w:proofErr w:type="spellEnd"/>
        <w:r w:rsidRPr="002D0512">
          <w:rPr>
            <w:rFonts w:ascii="Times New Roman" w:eastAsia="Times New Roman" w:hAnsi="Times New Roman" w:cs="Times New Roman"/>
            <w:color w:val="000000" w:themeColor="text1"/>
            <w:sz w:val="20"/>
            <w:szCs w:val="20"/>
            <w:u w:val="single"/>
          </w:rPr>
          <w:t xml:space="preserve"> 4.0 International License</w:t>
        </w:r>
      </w:hyperlink>
      <w:r w:rsidRPr="002D0512">
        <w:rPr>
          <w:rFonts w:ascii="Times New Roman" w:eastAsia="Times New Roman" w:hAnsi="Times New Roman" w:cs="Times New Roman"/>
          <w:color w:val="000000" w:themeColor="text1"/>
          <w:sz w:val="20"/>
          <w:szCs w:val="20"/>
        </w:rPr>
        <w:t>.</w:t>
      </w:r>
    </w:p>
    <w:p w14:paraId="00F31BAE" w14:textId="1A0B601F" w:rsidR="00E800FC" w:rsidRPr="00A964A3" w:rsidRDefault="00E800FC" w:rsidP="00A964A3">
      <w:pPr>
        <w:spacing w:before="100" w:beforeAutospacing="1" w:after="100" w:afterAutospacing="1"/>
        <w:jc w:val="center"/>
        <w:rPr>
          <w:rFonts w:ascii="Times" w:hAnsi="Times" w:cs="Times New Roman"/>
          <w:sz w:val="14"/>
          <w:szCs w:val="20"/>
        </w:rPr>
      </w:pPr>
    </w:p>
    <w:sectPr w:rsidR="00E800FC" w:rsidRPr="00A964A3" w:rsidSect="00A964A3">
      <w:pgSz w:w="12240" w:h="15840"/>
      <w:pgMar w:top="630" w:right="18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1F8"/>
    <w:multiLevelType w:val="multilevel"/>
    <w:tmpl w:val="207C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9338A"/>
    <w:multiLevelType w:val="multilevel"/>
    <w:tmpl w:val="D36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2628E"/>
    <w:multiLevelType w:val="multilevel"/>
    <w:tmpl w:val="69A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A3153"/>
    <w:multiLevelType w:val="multilevel"/>
    <w:tmpl w:val="043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C31F9"/>
    <w:multiLevelType w:val="multilevel"/>
    <w:tmpl w:val="B2A4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83E"/>
    <w:rsid w:val="000C22FC"/>
    <w:rsid w:val="0015083E"/>
    <w:rsid w:val="00624394"/>
    <w:rsid w:val="00A964A3"/>
    <w:rsid w:val="00C9720B"/>
    <w:rsid w:val="00E8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C0645"/>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083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15083E"/>
    <w:rPr>
      <w:rFonts w:ascii="Times" w:hAnsi="Times"/>
      <w:b/>
      <w:bCs/>
      <w:sz w:val="36"/>
      <w:szCs w:val="36"/>
    </w:rPr>
  </w:style>
  <w:style w:type="paragraph" w:styleId="NormalWeb">
    <w:name w:val="Normal (Web)"/>
    <w:basedOn w:val="Normal"/>
    <w:uiPriority w:val="99"/>
    <w:semiHidden/>
    <w:unhideWhenUsed/>
    <w:rsid w:val="0015083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5083E"/>
    <w:rPr>
      <w:i/>
      <w:iCs/>
    </w:rPr>
  </w:style>
  <w:style w:type="character" w:styleId="Hyperlink">
    <w:name w:val="Hyperlink"/>
    <w:basedOn w:val="DefaultParagraphFont"/>
    <w:uiPriority w:val="99"/>
    <w:semiHidden/>
    <w:unhideWhenUsed/>
    <w:rsid w:val="0015083E"/>
    <w:rPr>
      <w:color w:val="0000FF"/>
      <w:u w:val="single"/>
    </w:rPr>
  </w:style>
  <w:style w:type="character" w:styleId="Strong">
    <w:name w:val="Strong"/>
    <w:basedOn w:val="DefaultParagraphFont"/>
    <w:uiPriority w:val="22"/>
    <w:qFormat/>
    <w:rsid w:val="0015083E"/>
    <w:rPr>
      <w:b/>
      <w:bCs/>
    </w:rPr>
  </w:style>
  <w:style w:type="paragraph" w:styleId="BalloonText">
    <w:name w:val="Balloon Text"/>
    <w:basedOn w:val="Normal"/>
    <w:link w:val="BalloonTextChar"/>
    <w:uiPriority w:val="99"/>
    <w:semiHidden/>
    <w:unhideWhenUsed/>
    <w:rsid w:val="0015083E"/>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8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67039">
      <w:bodyDiv w:val="1"/>
      <w:marLeft w:val="0"/>
      <w:marRight w:val="0"/>
      <w:marTop w:val="0"/>
      <w:marBottom w:val="0"/>
      <w:divBdr>
        <w:top w:val="none" w:sz="0" w:space="0" w:color="auto"/>
        <w:left w:val="none" w:sz="0" w:space="0" w:color="auto"/>
        <w:bottom w:val="none" w:sz="0" w:space="0" w:color="auto"/>
        <w:right w:val="none" w:sz="0" w:space="0" w:color="auto"/>
      </w:divBdr>
      <w:divsChild>
        <w:div w:id="102807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tbio.uga.edu/directory/kathrin-f-stanger-hall" TargetMode="External"/><Relationship Id="rId18" Type="http://schemas.openxmlformats.org/officeDocument/2006/relationships/hyperlink" Target="http://www.pearsonhighered.com/educator/product/Elements-and-Pleasures-of-Difficulty-The/9780321106179.page" TargetMode="External"/><Relationship Id="rId26" Type="http://schemas.openxmlformats.org/officeDocument/2006/relationships/hyperlink" Target="https://www.google.com/url?sa=t&amp;rct=j&amp;q=&amp;esrc=s&amp;source=web&amp;cd=1&amp;ved=0CDQQFjAA&amp;url=http%3A%2F%2Fpsy.mq.edu.au%2Fvision%2F~peterw%2Fcorella%2F237%2Fincompetence.pdf&amp;ei=Vga6UaXKOIXK9gT81ICoDg&amp;usg=AFQjCNEK6D22AoNmOeQ2d8PTC1PHpIlvVw&amp;sig2=tFqMdI6iAcFQBTk6tpR6sw&amp;bvm=bv.47883778,d.eWU" TargetMode="External"/><Relationship Id="rId39" Type="http://schemas.openxmlformats.org/officeDocument/2006/relationships/hyperlink" Target="http://www.flickr.com/photos/91695677@N00/3952984450/" TargetMode="External"/><Relationship Id="rId21" Type="http://schemas.openxmlformats.org/officeDocument/2006/relationships/hyperlink" Target="http://www.nap.edu/catalog.php?record_id=9853" TargetMode="External"/><Relationship Id="rId34" Type="http://schemas.openxmlformats.org/officeDocument/2006/relationships/hyperlink" Target="http://www.lifescied.org/content/11/2/113.full" TargetMode="External"/><Relationship Id="rId42" Type="http://schemas.openxmlformats.org/officeDocument/2006/relationships/hyperlink" Target="http://www.flickr.com/photos/66603426@N05/6908080437/" TargetMode="External"/><Relationship Id="rId47" Type="http://schemas.openxmlformats.org/officeDocument/2006/relationships/hyperlink" Target="http://creativecommons.org/licenses/by-nc/4.0/"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people.ucsc.edu/~gwells/Files/Courses_Folder/ED%20261%20Papers/Palincsar%20Reciprocal%20Teaching.pdf" TargetMode="External"/><Relationship Id="rId11" Type="http://schemas.openxmlformats.org/officeDocument/2006/relationships/image" Target="media/image3.jpeg"/><Relationship Id="rId24" Type="http://schemas.openxmlformats.org/officeDocument/2006/relationships/hyperlink" Target="http://www.eric.ed.gov/ERICWebPortal/search/detailmini.jsp?_nfpb=true&amp;_&amp;ERICExtSearch_SearchValue_0=EJ639683&amp;ERICExtSearch_SearchType_0=no&amp;accno=EJ639683" TargetMode="External"/><Relationship Id="rId32" Type="http://schemas.openxmlformats.org/officeDocument/2006/relationships/hyperlink" Target="http://csjarchive.cogsci.rpi.edu/1984v08/i02/p0173p0190/MAIN.PDF" TargetMode="External"/><Relationship Id="rId37" Type="http://schemas.openxmlformats.org/officeDocument/2006/relationships/hyperlink" Target="http://proxy.library.vanderbilt.edu/login?url=http://search.ebscohost.com/login.aspx?direct=true&amp;db=eft&amp;AN=508116778&amp;site=ehost-live" TargetMode="External"/><Relationship Id="rId40" Type="http://schemas.openxmlformats.org/officeDocument/2006/relationships/hyperlink" Target="http://compfight.com" TargetMode="External"/><Relationship Id="rId45"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wp0.vanderbilt.edu/cft/wp-content/uploads/sites/59/read.jpg" TargetMode="External"/><Relationship Id="rId23" Type="http://schemas.openxmlformats.org/officeDocument/2006/relationships/hyperlink" Target="http://digitalcommons.georgiasouthern.edu/ij-sotl/vol3/iss1/16/" TargetMode="External"/><Relationship Id="rId28" Type="http://schemas.openxmlformats.org/officeDocument/2006/relationships/hyperlink" Target="http://stylus.styluspub.com/Books/BookDetail.aspx?productID=298776" TargetMode="External"/><Relationship Id="rId36" Type="http://schemas.openxmlformats.org/officeDocument/2006/relationships/hyperlink" Target="http://www.facultyfocus.com/articles/teaching-professor-blog/deep-learning-vs-surface-learning-getting-students-to-understand-the-difference/" TargetMode="External"/><Relationship Id="rId49" Type="http://schemas.openxmlformats.org/officeDocument/2006/relationships/theme" Target="theme/theme1.xml"/><Relationship Id="rId10" Type="http://schemas.openxmlformats.org/officeDocument/2006/relationships/hyperlink" Target="http://wp0.vanderbilt.edu/cft/wp-content/uploads/sites/59/question.jpg" TargetMode="External"/><Relationship Id="rId19" Type="http://schemas.openxmlformats.org/officeDocument/2006/relationships/hyperlink" Target="http://digitalcommons.georgiasouthern.edu/ij-sotl/vol3/iss1/16/" TargetMode="External"/><Relationship Id="rId31" Type="http://schemas.openxmlformats.org/officeDocument/2006/relationships/hyperlink" Target="http://www.pearsonhighered.com/educator/product/Elements-and-Pleasures-of-Difficulty-The/9780321106179.page" TargetMode="External"/><Relationship Id="rId44" Type="http://schemas.openxmlformats.org/officeDocument/2006/relationships/hyperlink" Target="http://creativecommons.org/licenses/by-nc-sa/2.0/" TargetMode="External"/><Relationship Id="rId4" Type="http://schemas.openxmlformats.org/officeDocument/2006/relationships/webSettings" Target="webSettings.xml"/><Relationship Id="rId9" Type="http://schemas.openxmlformats.org/officeDocument/2006/relationships/hyperlink" Target="http://www.lifescied.org/content/11/2/113.full" TargetMode="External"/><Relationship Id="rId14" Type="http://schemas.openxmlformats.org/officeDocument/2006/relationships/hyperlink" Target="https://depts.washington.edu/cpreeuw/wordpress/wp-content/uploads/2015/12/GT-FG-11.pdf" TargetMode="External"/><Relationship Id="rId22" Type="http://schemas.openxmlformats.org/officeDocument/2006/relationships/hyperlink" Target="http://www.questia.com/library/102615827/theoretical-issues-in-reading-comprehension-perspectives" TargetMode="External"/><Relationship Id="rId27" Type="http://schemas.openxmlformats.org/officeDocument/2006/relationships/hyperlink" Target="https://mss.boisestate.edu/tunnel-of-oppression/inside-the-tunnel/helms-white-racial-identity-development-model/" TargetMode="External"/><Relationship Id="rId30" Type="http://schemas.openxmlformats.org/officeDocument/2006/relationships/hyperlink" Target="http://cmapspublic2.ihmc.us/rid=1JTPTQ9XB-1142BSK-17N3/A01-004.pdf" TargetMode="External"/><Relationship Id="rId35" Type="http://schemas.openxmlformats.org/officeDocument/2006/relationships/hyperlink" Target="http://www.facultyfocus.com/articles/teaching-professor-blog/deep-learning-vs-surface-learning-getting-students-to-understand-the-difference/" TargetMode="External"/><Relationship Id="rId43" Type="http://schemas.openxmlformats.org/officeDocument/2006/relationships/hyperlink" Target="http://compfight.com" TargetMode="External"/><Relationship Id="rId48" Type="http://schemas.openxmlformats.org/officeDocument/2006/relationships/fontTable" Target="fontTable.xml"/><Relationship Id="rId8" Type="http://schemas.openxmlformats.org/officeDocument/2006/relationships/hyperlink" Target="http://www.nap.edu/catalog.php?record_id=9853" TargetMode="External"/><Relationship Id="rId3" Type="http://schemas.openxmlformats.org/officeDocument/2006/relationships/settings" Target="settings.xml"/><Relationship Id="rId12" Type="http://schemas.openxmlformats.org/officeDocument/2006/relationships/hyperlink" Target="http://www.facultyfocus.com/articles/teaching-professor-blog/deep-learning-vs-surface-learning-getting-students-to-understand-the-difference/" TargetMode="External"/><Relationship Id="rId17" Type="http://schemas.openxmlformats.org/officeDocument/2006/relationships/hyperlink" Target="https://www.pdcnet.org/8525737F00588478/file/C125737F0061DCC6C125756D0060B335/$FILE/teachphil_2004_0027_0004_0055_0072.pdf" TargetMode="External"/><Relationship Id="rId25" Type="http://schemas.openxmlformats.org/officeDocument/2006/relationships/hyperlink" Target="http://secure.pdcnet.org/8525737F00588478/file/C125737F0061DCC6C125756D0060B335/$FILE/teachphil_2004_0027_0004_0055_0072.pdf" TargetMode="External"/><Relationship Id="rId33" Type="http://schemas.openxmlformats.org/officeDocument/2006/relationships/hyperlink" Target="http://www.lifescied.org/content/11/3/294.full.pdf" TargetMode="External"/><Relationship Id="rId38" Type="http://schemas.openxmlformats.org/officeDocument/2006/relationships/hyperlink" Target="http://www.flickr.com/help/general/" TargetMode="External"/><Relationship Id="rId46" Type="http://schemas.openxmlformats.org/officeDocument/2006/relationships/image" Target="media/image5.png"/><Relationship Id="rId20" Type="http://schemas.openxmlformats.org/officeDocument/2006/relationships/hyperlink" Target="http://www.amazon.com/Teaching-Diversity-Social-Justice-Maurianne/dp/041595200X" TargetMode="External"/><Relationship Id="rId41" Type="http://schemas.openxmlformats.org/officeDocument/2006/relationships/hyperlink" Target="http://creativecommons.org/licenses/by-nd/2.0/" TargetMode="External"/><Relationship Id="rId1" Type="http://schemas.openxmlformats.org/officeDocument/2006/relationships/numbering" Target="numbering.xml"/><Relationship Id="rId6" Type="http://schemas.openxmlformats.org/officeDocument/2006/relationships/hyperlink" Target="http://wp0.vanderbilt.edu/cft/wp-content/uploads/sites/59/metaco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3095</Words>
  <Characters>17646</Characters>
  <Application>Microsoft Office Word</Application>
  <DocSecurity>0</DocSecurity>
  <Lines>147</Lines>
  <Paragraphs>41</Paragraphs>
  <ScaleCrop>false</ScaleCrop>
  <Company>vanderbilt</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2021-02-19T22:43:00Z</dcterms:created>
  <dcterms:modified xsi:type="dcterms:W3CDTF">2021-02-19T22:43:00Z</dcterms:modified>
</cp:coreProperties>
</file>