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5C4D" w14:textId="655331EF" w:rsidR="00985D64" w:rsidRPr="007B5E1B" w:rsidRDefault="007B5E1B" w:rsidP="00C32FE7">
      <w:pPr>
        <w:jc w:val="center"/>
        <w:rPr>
          <w:b/>
          <w:bCs/>
          <w:sz w:val="32"/>
          <w:szCs w:val="32"/>
        </w:rPr>
      </w:pPr>
      <w:r w:rsidRPr="007B5E1B">
        <w:rPr>
          <w:b/>
          <w:bCs/>
          <w:sz w:val="32"/>
          <w:szCs w:val="32"/>
        </w:rPr>
        <w:t>MEDITATION FOR MUSICIANS</w:t>
      </w:r>
    </w:p>
    <w:p w14:paraId="1002BFFC" w14:textId="23DBBE78" w:rsidR="007B5E1B" w:rsidRDefault="007B5E1B" w:rsidP="00C32FE7">
      <w:pPr>
        <w:jc w:val="center"/>
      </w:pPr>
      <w:r>
        <w:t>MWEL 1130</w:t>
      </w:r>
    </w:p>
    <w:p w14:paraId="59B00206" w14:textId="292968C4" w:rsidR="007B5E1B" w:rsidRPr="007B5E1B" w:rsidRDefault="007B5E1B" w:rsidP="007B5E1B">
      <w:pPr>
        <w:jc w:val="center"/>
        <w:rPr>
          <w:i/>
          <w:iCs/>
        </w:rPr>
      </w:pPr>
      <w:r w:rsidRPr="007B5E1B">
        <w:rPr>
          <w:i/>
          <w:iCs/>
        </w:rPr>
        <w:t>Wednesdays 7:30-9:00 pm (Spring &amp; Fall)</w:t>
      </w:r>
    </w:p>
    <w:p w14:paraId="55E7BDC6" w14:textId="4026BB4A" w:rsidR="007B5E1B" w:rsidRPr="00C32FE7" w:rsidRDefault="007B5E1B" w:rsidP="00C32FE7">
      <w:pPr>
        <w:jc w:val="center"/>
        <w:rPr>
          <w:i/>
          <w:iCs/>
        </w:rPr>
      </w:pPr>
      <w:r w:rsidRPr="007B5E1B">
        <w:rPr>
          <w:i/>
          <w:iCs/>
        </w:rPr>
        <w:t>1 credit hour, pass/fail</w:t>
      </w:r>
    </w:p>
    <w:p w14:paraId="55108B5D" w14:textId="28EBDA7B" w:rsidR="007B5E1B" w:rsidRDefault="007B5E1B" w:rsidP="007B5E1B">
      <w:r>
        <w:t>In this course, we simply explore how we use our own minds.  A musician must learn to handle the fingers, the hands, the arms, the breath, and so on in a relaxed and efficient manner.  We practice handling the mind in a relaxed and efficient manner.</w:t>
      </w:r>
      <w:r>
        <w:t xml:space="preserve"> </w:t>
      </w:r>
      <w:r>
        <w:t xml:space="preserve">This course is not theoretical, but practical.  It is not designed to give you knowledge </w:t>
      </w:r>
      <w:r>
        <w:rPr>
          <w:i/>
        </w:rPr>
        <w:t>about</w:t>
      </w:r>
      <w:r>
        <w:t xml:space="preserve"> meditation; is it designed to give you knowledge </w:t>
      </w:r>
      <w:r>
        <w:rPr>
          <w:i/>
        </w:rPr>
        <w:t>of</w:t>
      </w:r>
      <w:r>
        <w:t xml:space="preserve"> meditation through direct experience.  </w:t>
      </w:r>
    </w:p>
    <w:p w14:paraId="23605327" w14:textId="4F02C24B" w:rsidR="007B5E1B" w:rsidRDefault="007B5E1B" w:rsidP="007B5E1B">
      <w:pPr>
        <w:jc w:val="center"/>
        <w:rPr>
          <w:b/>
          <w:bCs/>
        </w:rPr>
      </w:pPr>
      <w:r w:rsidRPr="007B5E1B">
        <w:rPr>
          <w:b/>
          <w:bCs/>
        </w:rPr>
        <w:t>WHY MEDITATION?</w:t>
      </w:r>
    </w:p>
    <w:p w14:paraId="104B0A50" w14:textId="1F3E1A34" w:rsidR="007B5E1B" w:rsidRDefault="00FB41C9" w:rsidP="00FB41C9">
      <w:r>
        <w:t>On the one hand, countless s</w:t>
      </w:r>
      <w:r w:rsidR="007B5E1B">
        <w:t xml:space="preserve">tudies have shown that </w:t>
      </w:r>
      <w:r>
        <w:t xml:space="preserve">meditation is good for you. One even showed that regular </w:t>
      </w:r>
      <w:r w:rsidR="007B5E1B">
        <w:t xml:space="preserve">meditation </w:t>
      </w:r>
      <w:r>
        <w:t>can increase gray matter density in the brain in as little as 8 weeks (</w:t>
      </w:r>
      <w:r w:rsidRPr="00FB41C9">
        <w:rPr>
          <w:i/>
          <w:iCs/>
        </w:rPr>
        <w:t xml:space="preserve">Psychiatry Research, </w:t>
      </w:r>
      <w:r>
        <w:t>191.1, Jan 2011)</w:t>
      </w:r>
      <w:r w:rsidR="0052405A">
        <w:t>. M</w:t>
      </w:r>
      <w:r>
        <w:t>any others report its effectiveness against anxiety, depression, stress, and pain.</w:t>
      </w:r>
    </w:p>
    <w:p w14:paraId="780C322F" w14:textId="25E10180" w:rsidR="00FB41C9" w:rsidRDefault="00FB41C9" w:rsidP="00FB41C9">
      <w:r>
        <w:t xml:space="preserve">On the other hand… </w:t>
      </w:r>
      <w:r w:rsidR="00C32FE7">
        <w:t xml:space="preserve">you </w:t>
      </w:r>
      <w:r>
        <w:t xml:space="preserve">already know you ought to give </w:t>
      </w:r>
      <w:r w:rsidR="00C32FE7">
        <w:t>meditation</w:t>
      </w:r>
      <w:r>
        <w:t xml:space="preserve"> a try.</w:t>
      </w:r>
    </w:p>
    <w:p w14:paraId="76870FAE" w14:textId="2C8010D0" w:rsidR="00C32FE7" w:rsidRDefault="00C32FE7" w:rsidP="00FB41C9">
      <w:r>
        <w:t xml:space="preserve">The good news is that anyone can practice meditation, at any time, under almost any circumstances. Meditation is </w:t>
      </w:r>
      <w:r w:rsidRPr="00C32FE7">
        <w:rPr>
          <w:i/>
          <w:iCs/>
        </w:rPr>
        <w:t>resting from thought</w:t>
      </w:r>
      <w:r>
        <w:t>. It is learning to turn thinking from an involuntary activity into a voluntary activity. It is learning to direct your mind, rather than your mind directing you.</w:t>
      </w:r>
    </w:p>
    <w:p w14:paraId="7BF8D5C7" w14:textId="08B12927" w:rsidR="00C32FE7" w:rsidRDefault="00C32FE7" w:rsidP="00FB41C9">
      <w:r>
        <w:t>To practice on your own:</w:t>
      </w:r>
    </w:p>
    <w:p w14:paraId="56F39BB5" w14:textId="77777777" w:rsidR="00C32FE7" w:rsidRPr="00C32FE7" w:rsidRDefault="00C32FE7" w:rsidP="00C32FE7">
      <w:pPr>
        <w:numPr>
          <w:ilvl w:val="0"/>
          <w:numId w:val="3"/>
        </w:numPr>
        <w:tabs>
          <w:tab w:val="left" w:pos="20"/>
          <w:tab w:val="left" w:pos="392"/>
        </w:tabs>
        <w:autoSpaceDE w:val="0"/>
        <w:autoSpaceDN w:val="0"/>
        <w:adjustRightInd w:val="0"/>
        <w:spacing w:after="0" w:line="240" w:lineRule="auto"/>
        <w:ind w:left="392" w:hanging="393"/>
        <w:rPr>
          <w:rFonts w:cs="Helvetica"/>
          <w:color w:val="000000"/>
          <w:kern w:val="0"/>
        </w:rPr>
      </w:pPr>
      <w:r w:rsidRPr="00C32FE7">
        <w:rPr>
          <w:rFonts w:cs="Helvetica"/>
          <w:color w:val="000000"/>
          <w:kern w:val="0"/>
          <w:u w:val="single"/>
        </w:rPr>
        <w:t>Find a comfortable place to sit</w:t>
      </w:r>
      <w:r w:rsidRPr="00C32FE7">
        <w:rPr>
          <w:rFonts w:cs="Helvetica"/>
          <w:color w:val="000000"/>
          <w:kern w:val="0"/>
        </w:rPr>
        <w:t>. It doesn’t have to be cross-legged on the ground; a chair with a good, straight back is perfect.</w:t>
      </w:r>
    </w:p>
    <w:p w14:paraId="5AA94478" w14:textId="77777777" w:rsidR="00C32FE7" w:rsidRPr="00C32FE7" w:rsidRDefault="00C32FE7" w:rsidP="00C32FE7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2AB4A801" w14:textId="77777777" w:rsidR="00C32FE7" w:rsidRPr="00C32FE7" w:rsidRDefault="00C32FE7" w:rsidP="00C32FE7">
      <w:pPr>
        <w:numPr>
          <w:ilvl w:val="0"/>
          <w:numId w:val="4"/>
        </w:numPr>
        <w:tabs>
          <w:tab w:val="left" w:pos="20"/>
          <w:tab w:val="left" w:pos="392"/>
        </w:tabs>
        <w:autoSpaceDE w:val="0"/>
        <w:autoSpaceDN w:val="0"/>
        <w:adjustRightInd w:val="0"/>
        <w:spacing w:after="0" w:line="240" w:lineRule="auto"/>
        <w:ind w:left="392" w:hanging="393"/>
        <w:rPr>
          <w:rFonts w:cs="Helvetica"/>
          <w:color w:val="000000"/>
          <w:kern w:val="0"/>
        </w:rPr>
      </w:pPr>
      <w:r w:rsidRPr="00C32FE7">
        <w:rPr>
          <w:rFonts w:cs="Helvetica"/>
          <w:color w:val="000000"/>
          <w:kern w:val="0"/>
          <w:u w:val="single"/>
        </w:rPr>
        <w:t>Set a timer</w:t>
      </w:r>
      <w:r w:rsidRPr="00C32FE7">
        <w:rPr>
          <w:rFonts w:cs="Helvetica"/>
          <w:color w:val="000000"/>
          <w:kern w:val="0"/>
        </w:rPr>
        <w:t>. This could be anywhere from one to 20 minutes. It doesn’t matter how long you sit. The crucial thing is that you commit to sitting until your timer goes off.</w:t>
      </w:r>
    </w:p>
    <w:p w14:paraId="6F9E043B" w14:textId="77777777" w:rsidR="00C32FE7" w:rsidRPr="00C32FE7" w:rsidRDefault="00C32FE7" w:rsidP="00C32FE7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732F7592" w14:textId="5B3D2F82" w:rsidR="00C32FE7" w:rsidRDefault="00C32FE7" w:rsidP="00C32FE7">
      <w:pPr>
        <w:numPr>
          <w:ilvl w:val="0"/>
          <w:numId w:val="5"/>
        </w:numPr>
        <w:tabs>
          <w:tab w:val="left" w:pos="20"/>
          <w:tab w:val="left" w:pos="392"/>
        </w:tabs>
        <w:autoSpaceDE w:val="0"/>
        <w:autoSpaceDN w:val="0"/>
        <w:adjustRightInd w:val="0"/>
        <w:spacing w:after="0" w:line="240" w:lineRule="auto"/>
        <w:ind w:left="392" w:hanging="393"/>
        <w:rPr>
          <w:rFonts w:cs="Helvetica"/>
          <w:color w:val="000000"/>
          <w:kern w:val="0"/>
        </w:rPr>
      </w:pPr>
      <w:r w:rsidRPr="0052405A">
        <w:rPr>
          <w:rFonts w:cs="Helvetica"/>
          <w:color w:val="000000"/>
          <w:kern w:val="0"/>
          <w:u w:val="single"/>
        </w:rPr>
        <w:t>Start watching your thoughts. When you get lost in a thought, stop, and return to watching.</w:t>
      </w:r>
      <w:r w:rsidRPr="0052405A">
        <w:rPr>
          <w:rFonts w:cs="Helvetica"/>
          <w:color w:val="000000"/>
          <w:kern w:val="0"/>
        </w:rPr>
        <w:t xml:space="preserve"> While the timer is on, your commitment is simply: </w:t>
      </w:r>
      <w:r w:rsidRPr="0052405A">
        <w:rPr>
          <w:rFonts w:cs="Helvetica"/>
          <w:i/>
          <w:iCs/>
          <w:color w:val="000000"/>
          <w:kern w:val="0"/>
        </w:rPr>
        <w:t xml:space="preserve">I will not follow the thought. </w:t>
      </w:r>
      <w:r w:rsidRPr="0052405A">
        <w:rPr>
          <w:rFonts w:cs="Helvetica"/>
          <w:color w:val="000000"/>
          <w:kern w:val="0"/>
        </w:rPr>
        <w:t xml:space="preserve">Thoughts will come — but if you starve them of attention, they will go. No matter how important a thought seems, you do not enter its world. You </w:t>
      </w:r>
      <w:r w:rsidRPr="0052405A">
        <w:rPr>
          <w:rFonts w:cs="Helvetica"/>
          <w:i/>
          <w:iCs/>
          <w:color w:val="000000"/>
          <w:kern w:val="0"/>
        </w:rPr>
        <w:t>see</w:t>
      </w:r>
      <w:r w:rsidRPr="0052405A">
        <w:rPr>
          <w:rFonts w:cs="Helvetica"/>
          <w:color w:val="000000"/>
          <w:kern w:val="0"/>
        </w:rPr>
        <w:t xml:space="preserve"> the thought, but you do not </w:t>
      </w:r>
      <w:r w:rsidRPr="0052405A">
        <w:rPr>
          <w:rFonts w:cs="Helvetica"/>
          <w:i/>
          <w:iCs/>
          <w:color w:val="000000"/>
          <w:kern w:val="0"/>
        </w:rPr>
        <w:t>think</w:t>
      </w:r>
      <w:r w:rsidRPr="0052405A">
        <w:rPr>
          <w:rFonts w:cs="Helvetica"/>
          <w:color w:val="000000"/>
          <w:kern w:val="0"/>
        </w:rPr>
        <w:t xml:space="preserve"> it. </w:t>
      </w:r>
    </w:p>
    <w:p w14:paraId="2200E7A9" w14:textId="77777777" w:rsidR="0052405A" w:rsidRDefault="0052405A" w:rsidP="0052405A">
      <w:pPr>
        <w:tabs>
          <w:tab w:val="left" w:pos="20"/>
          <w:tab w:val="left" w:pos="392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55F72918" w14:textId="77777777" w:rsidR="0052405A" w:rsidRPr="0052405A" w:rsidRDefault="0052405A" w:rsidP="0052405A">
      <w:pPr>
        <w:tabs>
          <w:tab w:val="left" w:pos="20"/>
          <w:tab w:val="left" w:pos="392"/>
        </w:tabs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5F2B1474" w14:textId="50E6C868" w:rsidR="0052405A" w:rsidRPr="0052405A" w:rsidRDefault="0052405A" w:rsidP="0052405A">
      <w:pPr>
        <w:jc w:val="center"/>
        <w:rPr>
          <w:b/>
          <w:bCs/>
          <w:i/>
          <w:iCs/>
          <w:sz w:val="28"/>
          <w:szCs w:val="28"/>
        </w:rPr>
      </w:pPr>
      <w:r w:rsidRPr="0052405A">
        <w:rPr>
          <w:b/>
          <w:bCs/>
          <w:i/>
          <w:iCs/>
          <w:sz w:val="28"/>
          <w:szCs w:val="28"/>
        </w:rPr>
        <w:t xml:space="preserve">SAMPLE </w:t>
      </w:r>
      <w:r w:rsidRPr="0052405A">
        <w:rPr>
          <w:b/>
          <w:bCs/>
          <w:i/>
          <w:iCs/>
          <w:sz w:val="28"/>
          <w:szCs w:val="28"/>
        </w:rPr>
        <w:t>GUIDED MEDITATION</w:t>
      </w:r>
      <w:r w:rsidRPr="0052405A">
        <w:rPr>
          <w:b/>
          <w:bCs/>
          <w:i/>
          <w:iCs/>
          <w:sz w:val="28"/>
          <w:szCs w:val="28"/>
        </w:rPr>
        <w:t>: INGRAM HALL STAGE, 1:45</w:t>
      </w:r>
    </w:p>
    <w:p w14:paraId="378E0CFA" w14:textId="77777777" w:rsidR="0052405A" w:rsidRPr="00C32FE7" w:rsidRDefault="0052405A" w:rsidP="00C32FE7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  <w:kern w:val="0"/>
        </w:rPr>
      </w:pPr>
    </w:p>
    <w:p w14:paraId="577D4609" w14:textId="77777777" w:rsidR="0052405A" w:rsidRPr="0052405A" w:rsidRDefault="0052405A" w:rsidP="0052405A">
      <w:pPr>
        <w:spacing w:line="360" w:lineRule="auto"/>
        <w:jc w:val="center"/>
        <w:rPr>
          <w:rFonts w:ascii="Calibri" w:hAnsi="Calibri" w:cs="Calibri"/>
          <w:bCs/>
          <w:i/>
        </w:rPr>
      </w:pPr>
      <w:r w:rsidRPr="0052405A">
        <w:rPr>
          <w:rFonts w:ascii="Calibri" w:hAnsi="Calibri" w:cs="Calibri"/>
          <w:bCs/>
          <w:i/>
        </w:rPr>
        <w:t>SELECTED BIBLIOGRAPHY</w:t>
      </w:r>
    </w:p>
    <w:p w14:paraId="7BF4BB41" w14:textId="77777777" w:rsidR="0052405A" w:rsidRPr="0052405A" w:rsidRDefault="0052405A" w:rsidP="0052405A">
      <w:pPr>
        <w:spacing w:line="360" w:lineRule="auto"/>
        <w:jc w:val="center"/>
        <w:rPr>
          <w:rFonts w:ascii="Calibri" w:hAnsi="Calibri" w:cs="Calibri"/>
          <w:bCs/>
          <w:i/>
        </w:rPr>
      </w:pPr>
    </w:p>
    <w:p w14:paraId="76C0B3B5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  <w:bCs/>
        </w:rPr>
      </w:pPr>
      <w:r w:rsidRPr="0052405A">
        <w:rPr>
          <w:rFonts w:ascii="Calibri" w:hAnsi="Calibri" w:cs="Calibri"/>
          <w:bCs/>
        </w:rPr>
        <w:t xml:space="preserve">Aurelius, Marcus. </w:t>
      </w:r>
      <w:r w:rsidRPr="0052405A">
        <w:rPr>
          <w:rFonts w:ascii="Calibri" w:hAnsi="Calibri" w:cs="Calibri"/>
          <w:bCs/>
          <w:i/>
        </w:rPr>
        <w:t>Meditations,</w:t>
      </w:r>
      <w:r w:rsidRPr="0052405A">
        <w:rPr>
          <w:rFonts w:ascii="Calibri" w:hAnsi="Calibri" w:cs="Calibri"/>
          <w:bCs/>
        </w:rPr>
        <w:t xml:space="preserve"> trans. Gregory Hays (New York: Random House, 2003)</w:t>
      </w:r>
    </w:p>
    <w:p w14:paraId="59BB13C6" w14:textId="77777777" w:rsidR="0052405A" w:rsidRPr="0052405A" w:rsidRDefault="0052405A" w:rsidP="0052405A">
      <w:pPr>
        <w:spacing w:line="360" w:lineRule="auto"/>
        <w:contextualSpacing/>
        <w:rPr>
          <w:rFonts w:cstheme="minorHAnsi"/>
          <w:bCs/>
        </w:rPr>
      </w:pPr>
      <w:r w:rsidRPr="0052405A">
        <w:rPr>
          <w:rFonts w:cstheme="minorHAnsi"/>
        </w:rPr>
        <w:t xml:space="preserve">Burkeman, Oliver. </w:t>
      </w:r>
      <w:r w:rsidRPr="0052405A">
        <w:rPr>
          <w:rFonts w:cstheme="minorHAnsi"/>
          <w:i/>
          <w:iCs/>
        </w:rPr>
        <w:t xml:space="preserve">Four Thousand Weeks: Time Management for Mortals. </w:t>
      </w:r>
      <w:r w:rsidRPr="0052405A">
        <w:rPr>
          <w:rFonts w:cstheme="minorHAnsi"/>
        </w:rPr>
        <w:t>(London: Allen Lane, 2021)</w:t>
      </w:r>
    </w:p>
    <w:p w14:paraId="78F277DB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  <w:bCs/>
        </w:rPr>
      </w:pPr>
      <w:r w:rsidRPr="0052405A">
        <w:rPr>
          <w:rFonts w:ascii="Calibri" w:hAnsi="Calibri" w:cs="Calibri"/>
          <w:bCs/>
        </w:rPr>
        <w:t xml:space="preserve">Easter, Michael. </w:t>
      </w:r>
      <w:r w:rsidRPr="0052405A">
        <w:rPr>
          <w:rFonts w:ascii="Calibri" w:hAnsi="Calibri" w:cs="Calibri"/>
          <w:bCs/>
          <w:i/>
        </w:rPr>
        <w:t xml:space="preserve">The Comfort Crisis </w:t>
      </w:r>
      <w:r w:rsidRPr="0052405A">
        <w:rPr>
          <w:rFonts w:ascii="Calibri" w:hAnsi="Calibri" w:cs="Calibri"/>
          <w:bCs/>
        </w:rPr>
        <w:t>(New York: Rodale Books, 2021)</w:t>
      </w:r>
    </w:p>
    <w:p w14:paraId="08ED001A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Godman, David (ed.) </w:t>
      </w:r>
      <w:r w:rsidRPr="0052405A">
        <w:rPr>
          <w:rFonts w:ascii="Calibri" w:hAnsi="Calibri" w:cs="Calibri"/>
          <w:i/>
        </w:rPr>
        <w:t xml:space="preserve">Be As You Are: The Teachings of Sri Ramana Maharshi </w:t>
      </w:r>
      <w:r w:rsidRPr="0052405A">
        <w:rPr>
          <w:rFonts w:ascii="Calibri" w:hAnsi="Calibri" w:cs="Calibri"/>
        </w:rPr>
        <w:t>(London: Penguin UK, 1988)</w:t>
      </w:r>
    </w:p>
    <w:p w14:paraId="07299C5F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  <w:bCs/>
        </w:rPr>
      </w:pPr>
      <w:r w:rsidRPr="0052405A">
        <w:rPr>
          <w:rFonts w:ascii="Calibri" w:hAnsi="Calibri" w:cs="Calibri"/>
          <w:bCs/>
        </w:rPr>
        <w:t xml:space="preserve">Holiday, Ryan. </w:t>
      </w:r>
      <w:r w:rsidRPr="0052405A">
        <w:rPr>
          <w:rFonts w:ascii="Calibri" w:hAnsi="Calibri" w:cs="Calibri"/>
          <w:bCs/>
          <w:i/>
        </w:rPr>
        <w:t xml:space="preserve">The Obstacle is the Way </w:t>
      </w:r>
      <w:r w:rsidRPr="0052405A">
        <w:rPr>
          <w:rFonts w:ascii="Calibri" w:hAnsi="Calibri" w:cs="Calibri"/>
          <w:bCs/>
        </w:rPr>
        <w:t>(New York: Portfolio, 2014)</w:t>
      </w:r>
    </w:p>
    <w:p w14:paraId="6260A175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52405A">
        <w:rPr>
          <w:rFonts w:ascii="Calibri" w:hAnsi="Calibri" w:cs="Calibri"/>
          <w:bCs/>
        </w:rPr>
        <w:t xml:space="preserve">Johnson, Robert A. </w:t>
      </w:r>
      <w:r w:rsidRPr="0052405A">
        <w:rPr>
          <w:rFonts w:ascii="Calibri" w:hAnsi="Calibri" w:cs="Calibri"/>
          <w:bCs/>
          <w:i/>
        </w:rPr>
        <w:t xml:space="preserve">Inner Work </w:t>
      </w:r>
      <w:r w:rsidRPr="0052405A">
        <w:rPr>
          <w:rFonts w:ascii="Calibri" w:hAnsi="Calibri" w:cs="Calibri"/>
          <w:bCs/>
        </w:rPr>
        <w:t>(San Francisco: Harper, 1986)</w:t>
      </w:r>
      <w:r w:rsidRPr="0052405A">
        <w:rPr>
          <w:rFonts w:ascii="Calibri" w:hAnsi="Calibri" w:cs="Calibri"/>
          <w:b/>
          <w:bCs/>
        </w:rPr>
        <w:t xml:space="preserve"> </w:t>
      </w:r>
    </w:p>
    <w:p w14:paraId="301EE124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Krishnamurti, </w:t>
      </w:r>
      <w:proofErr w:type="spellStart"/>
      <w:r w:rsidRPr="0052405A">
        <w:rPr>
          <w:rFonts w:ascii="Calibri" w:hAnsi="Calibri" w:cs="Calibri"/>
        </w:rPr>
        <w:t>Jiddu</w:t>
      </w:r>
      <w:proofErr w:type="spellEnd"/>
      <w:r w:rsidRPr="0052405A">
        <w:rPr>
          <w:rFonts w:ascii="Calibri" w:hAnsi="Calibri" w:cs="Calibri"/>
        </w:rPr>
        <w:t xml:space="preserve">. </w:t>
      </w:r>
      <w:r w:rsidRPr="0052405A">
        <w:rPr>
          <w:rFonts w:ascii="Calibri" w:hAnsi="Calibri" w:cs="Calibri"/>
          <w:i/>
        </w:rPr>
        <w:t xml:space="preserve">Meditations </w:t>
      </w:r>
      <w:r w:rsidRPr="0052405A">
        <w:rPr>
          <w:rFonts w:ascii="Calibri" w:hAnsi="Calibri" w:cs="Calibri"/>
        </w:rPr>
        <w:t>(Boston: Shambhala Classics, 2002)</w:t>
      </w:r>
    </w:p>
    <w:p w14:paraId="2BB0018A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McLeod, Ken. </w:t>
      </w:r>
      <w:r w:rsidRPr="0052405A">
        <w:rPr>
          <w:rFonts w:ascii="Calibri" w:hAnsi="Calibri" w:cs="Calibri"/>
          <w:i/>
          <w:iCs/>
        </w:rPr>
        <w:t xml:space="preserve">Wake Up to Your Life </w:t>
      </w:r>
      <w:r w:rsidRPr="0052405A">
        <w:rPr>
          <w:rFonts w:ascii="Calibri" w:hAnsi="Calibri" w:cs="Calibri"/>
        </w:rPr>
        <w:t>(New York: Harper Collins, 2002)</w:t>
      </w:r>
    </w:p>
    <w:p w14:paraId="1A37CE59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Mitchell, Stephen (trans.) </w:t>
      </w:r>
      <w:r w:rsidRPr="0052405A">
        <w:rPr>
          <w:rFonts w:ascii="Calibri" w:hAnsi="Calibri" w:cs="Calibri"/>
          <w:i/>
          <w:iCs/>
        </w:rPr>
        <w:t xml:space="preserve">The </w:t>
      </w:r>
      <w:proofErr w:type="spellStart"/>
      <w:r w:rsidRPr="0052405A">
        <w:rPr>
          <w:rFonts w:ascii="Calibri" w:hAnsi="Calibri" w:cs="Calibri"/>
          <w:i/>
          <w:iCs/>
        </w:rPr>
        <w:t>Bhaghavad</w:t>
      </w:r>
      <w:proofErr w:type="spellEnd"/>
      <w:r w:rsidRPr="0052405A">
        <w:rPr>
          <w:rFonts w:ascii="Calibri" w:hAnsi="Calibri" w:cs="Calibri"/>
          <w:i/>
          <w:iCs/>
        </w:rPr>
        <w:t xml:space="preserve"> Gita: A New Translation </w:t>
      </w:r>
      <w:r w:rsidRPr="0052405A">
        <w:rPr>
          <w:rFonts w:ascii="Calibri" w:hAnsi="Calibri" w:cs="Calibri"/>
        </w:rPr>
        <w:t>(New York: Harmony, 2002)</w:t>
      </w:r>
    </w:p>
    <w:p w14:paraId="69F3DD2F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Mitchell, Stephen (trans.) </w:t>
      </w:r>
      <w:r w:rsidRPr="0052405A">
        <w:rPr>
          <w:rFonts w:ascii="Calibri" w:hAnsi="Calibri" w:cs="Calibri"/>
          <w:i/>
          <w:iCs/>
        </w:rPr>
        <w:t xml:space="preserve">Tao </w:t>
      </w:r>
      <w:proofErr w:type="spellStart"/>
      <w:r w:rsidRPr="0052405A">
        <w:rPr>
          <w:rFonts w:ascii="Calibri" w:hAnsi="Calibri" w:cs="Calibri"/>
          <w:i/>
          <w:iCs/>
        </w:rPr>
        <w:t>Te</w:t>
      </w:r>
      <w:proofErr w:type="spellEnd"/>
      <w:r w:rsidRPr="0052405A">
        <w:rPr>
          <w:rFonts w:ascii="Calibri" w:hAnsi="Calibri" w:cs="Calibri"/>
          <w:i/>
          <w:iCs/>
        </w:rPr>
        <w:t xml:space="preserve"> Ching</w:t>
      </w:r>
      <w:r w:rsidRPr="0052405A">
        <w:rPr>
          <w:rFonts w:ascii="Calibri" w:hAnsi="Calibri" w:cs="Calibri"/>
        </w:rPr>
        <w:t xml:space="preserve"> (New York: Harper Perennial, 1991)</w:t>
      </w:r>
    </w:p>
    <w:p w14:paraId="4B793E66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Nhat Hanh, Thich. </w:t>
      </w:r>
      <w:r w:rsidRPr="0052405A">
        <w:rPr>
          <w:rFonts w:ascii="Calibri" w:hAnsi="Calibri" w:cs="Calibri"/>
          <w:i/>
          <w:iCs/>
        </w:rPr>
        <w:t xml:space="preserve">Peace is Every Step </w:t>
      </w:r>
      <w:r w:rsidRPr="0052405A">
        <w:rPr>
          <w:rFonts w:ascii="Calibri" w:hAnsi="Calibri" w:cs="Calibri"/>
        </w:rPr>
        <w:t>(New York: Bantam, 1992)</w:t>
      </w:r>
    </w:p>
    <w:p w14:paraId="055B9F3B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Nestor, James. </w:t>
      </w:r>
      <w:r w:rsidRPr="0052405A">
        <w:rPr>
          <w:rFonts w:ascii="Calibri" w:hAnsi="Calibri" w:cs="Calibri"/>
          <w:i/>
        </w:rPr>
        <w:t>Breath: The New Science of a Lost Art</w:t>
      </w:r>
      <w:r w:rsidRPr="0052405A">
        <w:rPr>
          <w:rFonts w:ascii="Calibri" w:hAnsi="Calibri" w:cs="Calibri"/>
        </w:rPr>
        <w:t xml:space="preserve"> (New York: Riverhead, 2020)</w:t>
      </w:r>
    </w:p>
    <w:p w14:paraId="26F85B8C" w14:textId="77777777" w:rsidR="0052405A" w:rsidRPr="0052405A" w:rsidRDefault="0052405A" w:rsidP="0052405A">
      <w:pPr>
        <w:spacing w:after="360"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Nisargadatta Maharaj. </w:t>
      </w:r>
      <w:r w:rsidRPr="0052405A">
        <w:rPr>
          <w:rFonts w:ascii="Calibri" w:hAnsi="Calibri" w:cs="Calibri"/>
          <w:i/>
        </w:rPr>
        <w:t>I Am That</w:t>
      </w:r>
      <w:r w:rsidRPr="0052405A">
        <w:rPr>
          <w:rFonts w:ascii="Calibri" w:hAnsi="Calibri" w:cs="Calibri"/>
        </w:rPr>
        <w:t xml:space="preserve"> (Durham, NC: The Acorn Press, 2012)</w:t>
      </w:r>
    </w:p>
    <w:p w14:paraId="20DCDDC8" w14:textId="77777777" w:rsidR="0052405A" w:rsidRPr="0052405A" w:rsidRDefault="0052405A" w:rsidP="0052405A">
      <w:pPr>
        <w:spacing w:after="360"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Papaji. </w:t>
      </w:r>
      <w:r w:rsidRPr="0052405A">
        <w:rPr>
          <w:rFonts w:ascii="Calibri" w:hAnsi="Calibri" w:cs="Calibri"/>
          <w:i/>
        </w:rPr>
        <w:t>Wake Up and Roar</w:t>
      </w:r>
      <w:r w:rsidRPr="0052405A">
        <w:rPr>
          <w:rFonts w:ascii="Calibri" w:hAnsi="Calibri" w:cs="Calibri"/>
        </w:rPr>
        <w:t xml:space="preserve"> (Boulder: Sounds True, 2007)</w:t>
      </w:r>
    </w:p>
    <w:p w14:paraId="543505EA" w14:textId="77777777" w:rsidR="0052405A" w:rsidRPr="0052405A" w:rsidRDefault="0052405A" w:rsidP="0052405A">
      <w:pPr>
        <w:spacing w:after="360"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Paul, Annie Murphy. </w:t>
      </w:r>
      <w:r w:rsidRPr="0052405A">
        <w:rPr>
          <w:rFonts w:ascii="Calibri" w:hAnsi="Calibri" w:cs="Calibri"/>
          <w:i/>
        </w:rPr>
        <w:t xml:space="preserve">The Extended Mind </w:t>
      </w:r>
      <w:r w:rsidRPr="0052405A">
        <w:rPr>
          <w:rFonts w:ascii="Calibri" w:hAnsi="Calibri" w:cs="Calibri"/>
        </w:rPr>
        <w:t>(New York: Mariner Books, 2021)</w:t>
      </w:r>
    </w:p>
    <w:p w14:paraId="1130CE0F" w14:textId="77777777" w:rsidR="0052405A" w:rsidRPr="0052405A" w:rsidRDefault="0052405A" w:rsidP="0052405A">
      <w:pPr>
        <w:spacing w:after="360" w:line="360" w:lineRule="auto"/>
        <w:contextualSpacing/>
        <w:rPr>
          <w:rFonts w:ascii="Calibri" w:hAnsi="Calibri" w:cs="Calibri"/>
        </w:rPr>
      </w:pPr>
      <w:proofErr w:type="spellStart"/>
      <w:r w:rsidRPr="0052405A">
        <w:rPr>
          <w:rFonts w:ascii="Calibri" w:hAnsi="Calibri" w:cs="Calibri"/>
        </w:rPr>
        <w:t>Puddicombe</w:t>
      </w:r>
      <w:proofErr w:type="spellEnd"/>
      <w:r w:rsidRPr="0052405A">
        <w:rPr>
          <w:rFonts w:ascii="Calibri" w:hAnsi="Calibri" w:cs="Calibri"/>
        </w:rPr>
        <w:t>, Andy. “We Are Not What We Do” (</w:t>
      </w:r>
      <w:proofErr w:type="spellStart"/>
      <w:r w:rsidRPr="0052405A">
        <w:rPr>
          <w:rFonts w:ascii="Calibri" w:hAnsi="Calibri" w:cs="Calibri"/>
        </w:rPr>
        <w:t>Huffpost</w:t>
      </w:r>
      <w:proofErr w:type="spellEnd"/>
      <w:r w:rsidRPr="0052405A">
        <w:rPr>
          <w:rFonts w:ascii="Calibri" w:hAnsi="Calibri" w:cs="Calibri"/>
        </w:rPr>
        <w:t xml:space="preserve"> Healthy Living, 10 December 2012)</w:t>
      </w:r>
    </w:p>
    <w:p w14:paraId="185DC615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Suzuki, </w:t>
      </w:r>
      <w:proofErr w:type="spellStart"/>
      <w:r w:rsidRPr="0052405A">
        <w:rPr>
          <w:rFonts w:ascii="Calibri" w:hAnsi="Calibri" w:cs="Calibri"/>
        </w:rPr>
        <w:t>Shunryu</w:t>
      </w:r>
      <w:proofErr w:type="spellEnd"/>
      <w:r w:rsidRPr="0052405A">
        <w:rPr>
          <w:rFonts w:ascii="Calibri" w:hAnsi="Calibri" w:cs="Calibri"/>
        </w:rPr>
        <w:t xml:space="preserve">. </w:t>
      </w:r>
      <w:r w:rsidRPr="0052405A">
        <w:rPr>
          <w:rFonts w:ascii="Calibri" w:hAnsi="Calibri" w:cs="Calibri"/>
          <w:i/>
          <w:iCs/>
        </w:rPr>
        <w:t xml:space="preserve">Zen Mind, Beginner’s Mind </w:t>
      </w:r>
      <w:r w:rsidRPr="0052405A">
        <w:rPr>
          <w:rFonts w:ascii="Calibri" w:hAnsi="Calibri" w:cs="Calibri"/>
        </w:rPr>
        <w:t>(New York: Weatherhill, 1970)</w:t>
      </w:r>
    </w:p>
    <w:p w14:paraId="6084C2AF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Tolle, Eckhart. </w:t>
      </w:r>
      <w:r w:rsidRPr="0052405A">
        <w:rPr>
          <w:rFonts w:ascii="Calibri" w:hAnsi="Calibri" w:cs="Calibri"/>
          <w:i/>
          <w:iCs/>
        </w:rPr>
        <w:t xml:space="preserve">A New Earth </w:t>
      </w:r>
      <w:r w:rsidRPr="0052405A">
        <w:rPr>
          <w:rFonts w:ascii="Calibri" w:hAnsi="Calibri" w:cs="Calibri"/>
        </w:rPr>
        <w:t>(New York: Penguin Plume Editions, 2006)</w:t>
      </w:r>
    </w:p>
    <w:p w14:paraId="602D901C" w14:textId="77777777" w:rsidR="0052405A" w:rsidRPr="0052405A" w:rsidRDefault="0052405A" w:rsidP="0052405A">
      <w:pPr>
        <w:spacing w:line="360" w:lineRule="auto"/>
        <w:contextualSpacing/>
        <w:rPr>
          <w:rFonts w:ascii="Calibri" w:hAnsi="Calibri" w:cs="Calibri"/>
        </w:rPr>
      </w:pPr>
      <w:proofErr w:type="spellStart"/>
      <w:r w:rsidRPr="0052405A">
        <w:rPr>
          <w:rFonts w:ascii="Calibri" w:hAnsi="Calibri" w:cs="Calibri"/>
        </w:rPr>
        <w:t>Trungpa</w:t>
      </w:r>
      <w:proofErr w:type="spellEnd"/>
      <w:r w:rsidRPr="0052405A">
        <w:rPr>
          <w:rFonts w:ascii="Calibri" w:hAnsi="Calibri" w:cs="Calibri"/>
        </w:rPr>
        <w:t xml:space="preserve">, </w:t>
      </w:r>
      <w:proofErr w:type="spellStart"/>
      <w:r w:rsidRPr="0052405A">
        <w:rPr>
          <w:rFonts w:ascii="Calibri" w:hAnsi="Calibri" w:cs="Calibri"/>
        </w:rPr>
        <w:t>Chögyam</w:t>
      </w:r>
      <w:proofErr w:type="spellEnd"/>
      <w:r w:rsidRPr="0052405A">
        <w:rPr>
          <w:rFonts w:ascii="Calibri" w:hAnsi="Calibri" w:cs="Calibri"/>
        </w:rPr>
        <w:t xml:space="preserve">. </w:t>
      </w:r>
      <w:r w:rsidRPr="0052405A">
        <w:rPr>
          <w:rFonts w:ascii="Calibri" w:hAnsi="Calibri" w:cs="Calibri"/>
          <w:i/>
          <w:iCs/>
        </w:rPr>
        <w:t xml:space="preserve">Shambhala: The Sacred Path of the Warrior </w:t>
      </w:r>
      <w:r w:rsidRPr="0052405A">
        <w:rPr>
          <w:rFonts w:ascii="Calibri" w:hAnsi="Calibri" w:cs="Calibri"/>
        </w:rPr>
        <w:t>(Boston: Shambhala, 1984)</w:t>
      </w:r>
    </w:p>
    <w:p w14:paraId="4EFE6886" w14:textId="77777777" w:rsidR="0052405A" w:rsidRPr="0052405A" w:rsidRDefault="0052405A" w:rsidP="0052405A">
      <w:pPr>
        <w:spacing w:after="360"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 xml:space="preserve">Watts, Alan. </w:t>
      </w:r>
      <w:r w:rsidRPr="0052405A">
        <w:rPr>
          <w:rFonts w:ascii="Calibri" w:hAnsi="Calibri" w:cs="Calibri"/>
          <w:i/>
        </w:rPr>
        <w:t>Out Of Your Mind: Essential Listening from the Alan Watts Audio Archive</w:t>
      </w:r>
      <w:r w:rsidRPr="0052405A">
        <w:rPr>
          <w:rFonts w:ascii="Calibri" w:hAnsi="Calibri" w:cs="Calibri"/>
        </w:rPr>
        <w:t xml:space="preserve"> (Boulder: Sounds </w:t>
      </w:r>
    </w:p>
    <w:p w14:paraId="10FCBB2B" w14:textId="77777777" w:rsidR="0052405A" w:rsidRPr="0052405A" w:rsidRDefault="0052405A" w:rsidP="0052405A">
      <w:pPr>
        <w:spacing w:after="360"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</w:rPr>
        <w:tab/>
        <w:t>True, 2004)</w:t>
      </w:r>
    </w:p>
    <w:p w14:paraId="4A48DFDD" w14:textId="191668F3" w:rsidR="007B5E1B" w:rsidRPr="0052405A" w:rsidRDefault="0052405A" w:rsidP="0052405A">
      <w:pPr>
        <w:spacing w:after="360" w:line="360" w:lineRule="auto"/>
        <w:contextualSpacing/>
        <w:rPr>
          <w:rFonts w:ascii="Calibri" w:hAnsi="Calibri" w:cs="Calibri"/>
        </w:rPr>
      </w:pPr>
      <w:r w:rsidRPr="0052405A">
        <w:rPr>
          <w:rFonts w:ascii="Calibri" w:hAnsi="Calibri" w:cs="Calibri"/>
          <w:bCs/>
        </w:rPr>
        <w:t xml:space="preserve">Yamada, Koun (trans.) </w:t>
      </w:r>
      <w:r w:rsidRPr="0052405A">
        <w:rPr>
          <w:rFonts w:ascii="Calibri" w:hAnsi="Calibri" w:cs="Calibri"/>
          <w:i/>
        </w:rPr>
        <w:t xml:space="preserve">The Gateless Gate </w:t>
      </w:r>
      <w:r w:rsidRPr="0052405A">
        <w:rPr>
          <w:rFonts w:ascii="Calibri" w:hAnsi="Calibri" w:cs="Calibri"/>
        </w:rPr>
        <w:t>(Somerville, MA: Wisdom Publications, 2004)</w:t>
      </w:r>
    </w:p>
    <w:p w14:paraId="6A984903" w14:textId="77777777" w:rsidR="007B5E1B" w:rsidRDefault="007B5E1B"/>
    <w:sectPr w:rsidR="007B5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61381F"/>
    <w:multiLevelType w:val="multilevel"/>
    <w:tmpl w:val="677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0C708A"/>
    <w:multiLevelType w:val="hybridMultilevel"/>
    <w:tmpl w:val="51DE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04314">
    <w:abstractNumId w:val="3"/>
  </w:num>
  <w:num w:numId="2" w16cid:durableId="1197888846">
    <w:abstractNumId w:val="4"/>
  </w:num>
  <w:num w:numId="3" w16cid:durableId="956447281">
    <w:abstractNumId w:val="0"/>
  </w:num>
  <w:num w:numId="4" w16cid:durableId="393160701">
    <w:abstractNumId w:val="1"/>
  </w:num>
  <w:num w:numId="5" w16cid:durableId="135203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1B"/>
    <w:rsid w:val="0002740D"/>
    <w:rsid w:val="0052405A"/>
    <w:rsid w:val="00546F41"/>
    <w:rsid w:val="007B5E1B"/>
    <w:rsid w:val="00985D64"/>
    <w:rsid w:val="00C32FE7"/>
    <w:rsid w:val="00D574BC"/>
    <w:rsid w:val="00FB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7903C"/>
  <w15:chartTrackingRefBased/>
  <w15:docId w15:val="{29C189FF-0F88-F14F-BED4-66C7332F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Joshua</dc:creator>
  <cp:keywords/>
  <dc:description/>
  <cp:lastModifiedBy>McGuire, Joshua</cp:lastModifiedBy>
  <cp:revision>1</cp:revision>
  <dcterms:created xsi:type="dcterms:W3CDTF">2025-10-16T20:25:00Z</dcterms:created>
  <dcterms:modified xsi:type="dcterms:W3CDTF">2025-10-16T21:02:00Z</dcterms:modified>
</cp:coreProperties>
</file>