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BF2FF" w14:textId="77777777" w:rsidR="00D75F7F" w:rsidRDefault="00D75F7F">
      <w:pPr>
        <w:pStyle w:val="BodyText"/>
        <w:spacing w:before="3"/>
        <w:rPr>
          <w:b/>
          <w:sz w:val="24"/>
        </w:rPr>
      </w:pPr>
    </w:p>
    <w:p w14:paraId="52C94FBB" w14:textId="4BAF23DB" w:rsidR="00E6382B" w:rsidRPr="001D0C37" w:rsidRDefault="008B505C" w:rsidP="00E6382B">
      <w:pPr>
        <w:pStyle w:val="BodyText"/>
        <w:spacing w:line="252" w:lineRule="auto"/>
        <w:ind w:right="242"/>
        <w:rPr>
          <w:i/>
          <w:iCs/>
          <w:color w:val="000000" w:themeColor="text1"/>
        </w:rPr>
      </w:pPr>
      <w:r w:rsidRPr="001D0C37">
        <w:rPr>
          <w:i/>
          <w:iCs/>
          <w:w w:val="105"/>
        </w:rPr>
        <w:t xml:space="preserve">In 1979 a committee of faculty and students </w:t>
      </w:r>
      <w:proofErr w:type="gramStart"/>
      <w:r w:rsidRPr="001D0C37">
        <w:rPr>
          <w:i/>
          <w:iCs/>
          <w:w w:val="105"/>
        </w:rPr>
        <w:t>of</w:t>
      </w:r>
      <w:proofErr w:type="gramEnd"/>
      <w:r w:rsidRPr="001D0C37">
        <w:rPr>
          <w:i/>
          <w:iCs/>
          <w:w w:val="105"/>
        </w:rPr>
        <w:t xml:space="preserve"> Vanderbilt Divinity School and the Graduate Department of Religion, called by the </w:t>
      </w:r>
      <w:r w:rsidR="002D6DEE" w:rsidRPr="001D0C37">
        <w:rPr>
          <w:i/>
          <w:iCs/>
          <w:w w:val="105"/>
        </w:rPr>
        <w:t>D</w:t>
      </w:r>
      <w:r w:rsidRPr="001D0C37">
        <w:rPr>
          <w:i/>
          <w:iCs/>
          <w:w w:val="105"/>
        </w:rPr>
        <w:t xml:space="preserve">ean and supported by a resolution of the </w:t>
      </w:r>
      <w:r w:rsidR="00BE740B">
        <w:rPr>
          <w:i/>
          <w:iCs/>
          <w:w w:val="105"/>
        </w:rPr>
        <w:t xml:space="preserve">VDS </w:t>
      </w:r>
      <w:r w:rsidRPr="001D0C37">
        <w:rPr>
          <w:i/>
          <w:iCs/>
          <w:w w:val="105"/>
        </w:rPr>
        <w:t>faculty at large, drafted a document on inclusive language that was revised in 1987</w:t>
      </w:r>
      <w:r w:rsidR="004D7F0A" w:rsidRPr="001D0C37">
        <w:rPr>
          <w:i/>
          <w:iCs/>
          <w:w w:val="105"/>
        </w:rPr>
        <w:t xml:space="preserve"> and again in</w:t>
      </w:r>
      <w:r w:rsidR="00250541" w:rsidRPr="001D0C37">
        <w:rPr>
          <w:i/>
          <w:iCs/>
          <w:w w:val="105"/>
        </w:rPr>
        <w:t xml:space="preserve"> 1999</w:t>
      </w:r>
      <w:r w:rsidR="008567F8" w:rsidRPr="001D0C37">
        <w:rPr>
          <w:i/>
          <w:iCs/>
          <w:w w:val="105"/>
        </w:rPr>
        <w:t>.</w:t>
      </w:r>
      <w:r w:rsidRPr="001D0C37">
        <w:rPr>
          <w:i/>
          <w:iCs/>
          <w:w w:val="105"/>
        </w:rPr>
        <w:t xml:space="preserve"> </w:t>
      </w:r>
      <w:r w:rsidR="0049365D" w:rsidRPr="001D0C37">
        <w:rPr>
          <w:i/>
          <w:iCs/>
          <w:w w:val="105"/>
        </w:rPr>
        <w:t xml:space="preserve">Like its predecessors, </w:t>
      </w:r>
      <w:r w:rsidR="00E24F7C">
        <w:rPr>
          <w:i/>
          <w:iCs/>
          <w:w w:val="105"/>
        </w:rPr>
        <w:t>th</w:t>
      </w:r>
      <w:r w:rsidR="004F294E">
        <w:rPr>
          <w:i/>
          <w:iCs/>
          <w:w w:val="105"/>
        </w:rPr>
        <w:t>is</w:t>
      </w:r>
      <w:r w:rsidR="00E24F7C">
        <w:rPr>
          <w:i/>
          <w:iCs/>
          <w:w w:val="105"/>
        </w:rPr>
        <w:t xml:space="preserve"> </w:t>
      </w:r>
      <w:r w:rsidR="004F294E">
        <w:rPr>
          <w:i/>
          <w:iCs/>
          <w:w w:val="105"/>
        </w:rPr>
        <w:t>version</w:t>
      </w:r>
      <w:r w:rsidR="00E24F7C">
        <w:rPr>
          <w:i/>
          <w:iCs/>
          <w:w w:val="105"/>
        </w:rPr>
        <w:t xml:space="preserve"> (updated in 2024</w:t>
      </w:r>
      <w:r w:rsidR="008567F8" w:rsidRPr="001D0C37">
        <w:rPr>
          <w:i/>
          <w:iCs/>
          <w:w w:val="105"/>
        </w:rPr>
        <w:t>)</w:t>
      </w:r>
      <w:r w:rsidR="0049365D" w:rsidRPr="001D0C37">
        <w:rPr>
          <w:i/>
          <w:iCs/>
          <w:w w:val="105"/>
        </w:rPr>
        <w:t xml:space="preserve"> serves as an introduction</w:t>
      </w:r>
      <w:r w:rsidR="0049365D" w:rsidRPr="001D0C37">
        <w:rPr>
          <w:i/>
          <w:iCs/>
          <w:spacing w:val="-7"/>
          <w:w w:val="105"/>
        </w:rPr>
        <w:t xml:space="preserve"> </w:t>
      </w:r>
      <w:r w:rsidR="0049365D" w:rsidRPr="001D0C37">
        <w:rPr>
          <w:i/>
          <w:iCs/>
          <w:w w:val="105"/>
        </w:rPr>
        <w:t xml:space="preserve">to those new to the issue and as a preliminary resource for those seeking alternatives for exclusive terms. </w:t>
      </w:r>
      <w:r w:rsidR="00E6382B" w:rsidRPr="001D0C37">
        <w:rPr>
          <w:i/>
          <w:iCs/>
          <w:w w:val="105"/>
        </w:rPr>
        <w:t xml:space="preserve">Students are encouraged to seek out additional resources from VDS/GDR faculty and staff. </w:t>
      </w:r>
    </w:p>
    <w:p w14:paraId="147EED07" w14:textId="77777777" w:rsidR="007801A0" w:rsidRPr="001D0C37" w:rsidRDefault="007801A0" w:rsidP="007801A0">
      <w:pPr>
        <w:pStyle w:val="BodyText"/>
        <w:spacing w:before="75" w:line="254" w:lineRule="auto"/>
        <w:ind w:right="28"/>
        <w:rPr>
          <w:i/>
          <w:iCs/>
          <w:w w:val="105"/>
        </w:rPr>
      </w:pPr>
    </w:p>
    <w:p w14:paraId="37C46A3D" w14:textId="35DC20FD" w:rsidR="0032397F" w:rsidRPr="0032397F" w:rsidRDefault="0049365D" w:rsidP="00740DEA">
      <w:pPr>
        <w:pStyle w:val="BodyText"/>
        <w:spacing w:line="252" w:lineRule="auto"/>
        <w:ind w:right="242"/>
        <w:rPr>
          <w:i/>
          <w:iCs/>
          <w:w w:val="105"/>
        </w:rPr>
      </w:pPr>
      <w:r w:rsidRPr="001D0C37">
        <w:rPr>
          <w:i/>
          <w:iCs/>
          <w:w w:val="105"/>
        </w:rPr>
        <w:t>The original document focused</w:t>
      </w:r>
      <w:r w:rsidRPr="001D0C37">
        <w:rPr>
          <w:i/>
          <w:iCs/>
          <w:spacing w:val="-7"/>
          <w:w w:val="105"/>
        </w:rPr>
        <w:t xml:space="preserve"> </w:t>
      </w:r>
      <w:r w:rsidRPr="001D0C37">
        <w:rPr>
          <w:i/>
          <w:iCs/>
          <w:w w:val="105"/>
        </w:rPr>
        <w:t>on</w:t>
      </w:r>
      <w:r w:rsidRPr="001D0C37">
        <w:rPr>
          <w:i/>
          <w:iCs/>
          <w:spacing w:val="-19"/>
          <w:w w:val="105"/>
        </w:rPr>
        <w:t xml:space="preserve"> </w:t>
      </w:r>
      <w:r w:rsidRPr="001D0C37">
        <w:rPr>
          <w:i/>
          <w:iCs/>
          <w:w w:val="105"/>
        </w:rPr>
        <w:t>sexism</w:t>
      </w:r>
      <w:r w:rsidRPr="001D0C37">
        <w:rPr>
          <w:i/>
          <w:iCs/>
          <w:spacing w:val="-10"/>
          <w:w w:val="105"/>
        </w:rPr>
        <w:t xml:space="preserve"> in language, but </w:t>
      </w:r>
      <w:r w:rsidRPr="001D0C37">
        <w:rPr>
          <w:i/>
          <w:iCs/>
          <w:w w:val="105"/>
        </w:rPr>
        <w:t xml:space="preserve">sexism is not the only problem that must be addressed. Language reflecting exclusion and contempt towards persons and groups based on such factors as race, ethnicity, gender identity, gender expression, sexual orientation, sex characteristics, disability, age, and national origin require attention and reformation. </w:t>
      </w:r>
      <w:r w:rsidR="007801A0" w:rsidRPr="001D0C37">
        <w:rPr>
          <w:i/>
          <w:iCs/>
          <w:w w:val="105"/>
        </w:rPr>
        <w:t>This document has been</w:t>
      </w:r>
      <w:r w:rsidR="00182DBA" w:rsidRPr="001D0C37">
        <w:rPr>
          <w:i/>
          <w:iCs/>
          <w:w w:val="105"/>
        </w:rPr>
        <w:t xml:space="preserve"> </w:t>
      </w:r>
      <w:r w:rsidR="00F96BD5" w:rsidRPr="001D0C37">
        <w:rPr>
          <w:i/>
          <w:iCs/>
          <w:w w:val="105"/>
        </w:rPr>
        <w:t>update</w:t>
      </w:r>
      <w:r w:rsidR="007801A0" w:rsidRPr="001D0C37">
        <w:rPr>
          <w:i/>
          <w:iCs/>
          <w:w w:val="105"/>
        </w:rPr>
        <w:t>d</w:t>
      </w:r>
      <w:r w:rsidR="00F96BD5" w:rsidRPr="001D0C37">
        <w:rPr>
          <w:i/>
          <w:iCs/>
          <w:w w:val="105"/>
        </w:rPr>
        <w:t xml:space="preserve"> to reflect current understandings of gender</w:t>
      </w:r>
      <w:r w:rsidR="007801A0" w:rsidRPr="001D0C37">
        <w:rPr>
          <w:i/>
          <w:iCs/>
          <w:w w:val="105"/>
        </w:rPr>
        <w:t>, sexuality,</w:t>
      </w:r>
      <w:r w:rsidR="00F96BD5" w:rsidRPr="001D0C37">
        <w:rPr>
          <w:i/>
          <w:iCs/>
          <w:w w:val="105"/>
        </w:rPr>
        <w:t xml:space="preserve"> and</w:t>
      </w:r>
      <w:r w:rsidR="008435F7" w:rsidRPr="001D0C37">
        <w:rPr>
          <w:i/>
          <w:iCs/>
          <w:w w:val="105"/>
        </w:rPr>
        <w:t>, to some extent,</w:t>
      </w:r>
      <w:r w:rsidR="00F96BD5" w:rsidRPr="001D0C37">
        <w:rPr>
          <w:i/>
          <w:iCs/>
          <w:w w:val="105"/>
        </w:rPr>
        <w:t xml:space="preserve"> disabilit</w:t>
      </w:r>
      <w:r w:rsidR="006A5D33" w:rsidRPr="001D0C37">
        <w:rPr>
          <w:i/>
          <w:iCs/>
          <w:w w:val="105"/>
        </w:rPr>
        <w:t>y.</w:t>
      </w:r>
      <w:r w:rsidR="00F96BD5" w:rsidRPr="001D0C37">
        <w:rPr>
          <w:i/>
          <w:iCs/>
          <w:w w:val="105"/>
        </w:rPr>
        <w:t xml:space="preserve"> </w:t>
      </w:r>
      <w:r w:rsidR="001D0C37" w:rsidRPr="001D0C37">
        <w:rPr>
          <w:i/>
          <w:iCs/>
          <w:w w:val="105"/>
        </w:rPr>
        <w:t xml:space="preserve">More remains to be done, of course, as the faculty </w:t>
      </w:r>
      <w:r w:rsidR="00D23FE0">
        <w:rPr>
          <w:i/>
          <w:iCs/>
          <w:w w:val="105"/>
        </w:rPr>
        <w:t>has commissioned a task force on this topic in 24-2</w:t>
      </w:r>
      <w:r w:rsidR="0032397F">
        <w:rPr>
          <w:i/>
          <w:iCs/>
          <w:w w:val="105"/>
        </w:rPr>
        <w:t>5.</w:t>
      </w:r>
    </w:p>
    <w:p w14:paraId="576AE74D" w14:textId="5A3DAC75" w:rsidR="006A5D33" w:rsidRPr="00E24F7C" w:rsidRDefault="006A5D33" w:rsidP="006A5D33">
      <w:pPr>
        <w:pStyle w:val="BodyText"/>
        <w:spacing w:before="75" w:line="254" w:lineRule="auto"/>
        <w:ind w:right="28"/>
        <w:rPr>
          <w:i/>
          <w:iCs/>
          <w:w w:val="105"/>
        </w:rPr>
      </w:pPr>
    </w:p>
    <w:p w14:paraId="54144F15" w14:textId="77777777" w:rsidR="00D37B96" w:rsidRPr="001D0C37" w:rsidRDefault="00D37B96" w:rsidP="006A5D33">
      <w:pPr>
        <w:pStyle w:val="BodyText"/>
        <w:spacing w:before="75" w:line="254" w:lineRule="auto"/>
        <w:ind w:right="28"/>
        <w:rPr>
          <w:i/>
          <w:iCs/>
          <w:w w:val="105"/>
        </w:rPr>
      </w:pPr>
    </w:p>
    <w:p w14:paraId="6BF5143A" w14:textId="77777777" w:rsidR="0065547D" w:rsidRDefault="0065547D" w:rsidP="00E6382B">
      <w:pPr>
        <w:pStyle w:val="BodyText"/>
        <w:spacing w:line="249" w:lineRule="auto"/>
        <w:ind w:right="172"/>
        <w:rPr>
          <w:w w:val="105"/>
        </w:rPr>
      </w:pPr>
    </w:p>
    <w:p w14:paraId="4966B07D" w14:textId="64C355AF" w:rsidR="0065547D" w:rsidRDefault="0065547D" w:rsidP="0065547D">
      <w:pPr>
        <w:pStyle w:val="BodyText"/>
        <w:spacing w:line="249" w:lineRule="auto"/>
        <w:ind w:left="217" w:right="172" w:firstLine="23"/>
        <w:jc w:val="center"/>
        <w:rPr>
          <w:w w:val="105"/>
        </w:rPr>
      </w:pPr>
      <w:r>
        <w:rPr>
          <w:w w:val="105"/>
        </w:rPr>
        <w:t>***</w:t>
      </w:r>
    </w:p>
    <w:p w14:paraId="15A4BA02" w14:textId="77777777" w:rsidR="0065547D" w:rsidRDefault="0065547D" w:rsidP="0065547D">
      <w:pPr>
        <w:pStyle w:val="BodyText"/>
        <w:spacing w:line="249" w:lineRule="auto"/>
        <w:ind w:right="172"/>
      </w:pPr>
    </w:p>
    <w:p w14:paraId="05FE790D" w14:textId="77777777" w:rsidR="001D0C37" w:rsidRDefault="001D0C37" w:rsidP="001D0C37">
      <w:pPr>
        <w:pStyle w:val="Heading1"/>
        <w:spacing w:before="72" w:line="252" w:lineRule="auto"/>
        <w:ind w:left="2438"/>
        <w:rPr>
          <w:w w:val="105"/>
        </w:rPr>
      </w:pPr>
      <w:r>
        <w:rPr>
          <w:noProof/>
        </w:rPr>
        <mc:AlternateContent>
          <mc:Choice Requires="wps">
            <w:drawing>
              <wp:anchor distT="0" distB="0" distL="114300" distR="114300" simplePos="0" relativeHeight="251662336" behindDoc="0" locked="0" layoutInCell="1" allowOverlap="1" wp14:anchorId="51FFF2ED" wp14:editId="63174F94">
                <wp:simplePos x="0" y="0"/>
                <wp:positionH relativeFrom="page">
                  <wp:posOffset>7753985</wp:posOffset>
                </wp:positionH>
                <wp:positionV relativeFrom="page">
                  <wp:posOffset>1282700</wp:posOffset>
                </wp:positionV>
                <wp:extent cx="0" cy="8775700"/>
                <wp:effectExtent l="0" t="0" r="0" b="0"/>
                <wp:wrapNone/>
                <wp:docPr id="12011834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7570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491E"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101pt" to="610.55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oFogEAADIDAAAOAAAAZHJzL2Uyb0RvYy54bWysUslu2zAQvRfIPxC8x1LSpjYEyzlk6SVt&#13;&#10;DaT9gDFJWUQpDjFDW/Lfl6Qdp8stiA4DzvY0780sb6fBib0htuhbeTWrpTBeobZ+28qfPx4vF1Jw&#13;&#10;BK/BoTetPBiWt6uLD8sxNOYae3TakEggnpsxtLKPMTRVxao3A/AMg/Ep2SENEJNL20oTjAl9cNV1&#13;&#10;XX+uRiQdCJVhTtH7Y1KuCn7XGRW/dx2bKFwr02yxWCp2k221WkKzJQi9Vacx4A1TDGB9+ukZ6h4i&#13;&#10;iB3Z/6AGqwgZuzhTOFTYdVaZwiGxuar/YfPcQzCFSxKHw1kmfj9Y9W1/59eUR1eTfw5PqH5xEqUa&#13;&#10;AzfnZHY4rElsxq+o0xphF7HwnToacnNiIqYi6+Esq5miUMegStHFfH4zr4vkFTQvjYE4fjE4iPxo&#13;&#10;pbM+M4YG9k8c8yDQvJTksMdH61zZmvNibOWnm8XH0sDorM7JXMa03dw5EnvIey9fXnUC+6uMcOd1&#13;&#10;AesN6IfTO4J1x3eqd/4kRuafz4qbDerDmjJc9tJiCvDpiPLm//RL1eupr34DAAD//wMAUEsDBBQA&#13;&#10;BgAIAAAAIQDuWVxX3wAAABMBAAAPAAAAZHJzL2Rvd25yZXYueG1sTE9NT8MwDL0j8R8iI3FBLGlg&#13;&#10;aOuaToiPKxKDH5A1pq1InKrJuvLv8cSBXSw/+/n5vWo7By8mHFMfyUCxUCCQmuh6ag18frzerkCk&#13;&#10;bMlZHwkN/GCCbX15UdnSxSO947TLrWARSqU10OU8lFKmpsNg0yIOSLz7imOwmeHYSjfaI4sHL7VS&#13;&#10;DzLYnvhDZwd86rD53h2CAVzj9IIeb4ImnNX4Vizv1t6Y66v5ecPlcQMi45z/L+CUgf1Dzcb28UAu&#13;&#10;Cc9Y66JgrgGtNEc7Uf5Ge+6Wq3sFsq7keZb6FwAA//8DAFBLAQItABQABgAIAAAAIQC2gziS/gAA&#13;&#10;AOEBAAATAAAAAAAAAAAAAAAAAAAAAABbQ29udGVudF9UeXBlc10ueG1sUEsBAi0AFAAGAAgAAAAh&#13;&#10;ADj9If/WAAAAlAEAAAsAAAAAAAAAAAAAAAAALwEAAF9yZWxzLy5yZWxzUEsBAi0AFAAGAAgAAAAh&#13;&#10;AIkQegWiAQAAMgMAAA4AAAAAAAAAAAAAAAAALgIAAGRycy9lMm9Eb2MueG1sUEsBAi0AFAAGAAgA&#13;&#10;AAAhAO5ZXFffAAAAEwEAAA8AAAAAAAAAAAAAAAAA/AMAAGRycy9kb3ducmV2LnhtbFBLBQYAAAAA&#13;&#10;BAAEAPMAAAAIBQAAAAA=&#13;&#10;" strokeweight=".1273mm">
                <o:lock v:ext="edit" shapetype="f"/>
                <w10:wrap anchorx="page" anchory="page"/>
              </v:line>
            </w:pict>
          </mc:Fallback>
        </mc:AlternateContent>
      </w:r>
      <w:r>
        <w:rPr>
          <w:noProof/>
        </w:rPr>
        <w:t>Guidelines on Expansive &amp;</w:t>
      </w:r>
      <w:r>
        <w:rPr>
          <w:spacing w:val="-30"/>
          <w:w w:val="105"/>
        </w:rPr>
        <w:t xml:space="preserve"> </w:t>
      </w:r>
      <w:r>
        <w:rPr>
          <w:w w:val="105"/>
        </w:rPr>
        <w:t>Inclusive</w:t>
      </w:r>
      <w:r>
        <w:rPr>
          <w:spacing w:val="-23"/>
          <w:w w:val="105"/>
        </w:rPr>
        <w:t xml:space="preserve"> </w:t>
      </w:r>
      <w:r>
        <w:rPr>
          <w:w w:val="105"/>
        </w:rPr>
        <w:t xml:space="preserve">Language </w:t>
      </w:r>
    </w:p>
    <w:p w14:paraId="0E76AE62" w14:textId="77777777" w:rsidR="001D0C37" w:rsidRPr="001911FB" w:rsidRDefault="001D0C37" w:rsidP="001D0C37">
      <w:pPr>
        <w:pStyle w:val="Heading1"/>
        <w:spacing w:before="72" w:line="252" w:lineRule="auto"/>
        <w:ind w:left="2438"/>
        <w:rPr>
          <w:w w:val="105"/>
        </w:rPr>
      </w:pPr>
    </w:p>
    <w:p w14:paraId="7A0CA417" w14:textId="77777777" w:rsidR="001D0C37" w:rsidRDefault="001D0C37" w:rsidP="001D0C37">
      <w:pPr>
        <w:spacing w:line="252" w:lineRule="auto"/>
        <w:ind w:left="3028" w:right="2800"/>
        <w:jc w:val="center"/>
        <w:rPr>
          <w:b/>
          <w:sz w:val="27"/>
        </w:rPr>
      </w:pPr>
      <w:r>
        <w:rPr>
          <w:b/>
          <w:sz w:val="27"/>
        </w:rPr>
        <w:t xml:space="preserve">Vanderbilt Divinity School </w:t>
      </w:r>
    </w:p>
    <w:p w14:paraId="2F0FA375" w14:textId="77777777" w:rsidR="001D0C37" w:rsidRDefault="001D0C37" w:rsidP="0065547D">
      <w:pPr>
        <w:pStyle w:val="BodyText"/>
        <w:spacing w:line="249" w:lineRule="auto"/>
        <w:ind w:right="172"/>
      </w:pPr>
    </w:p>
    <w:p w14:paraId="3FF5D5C3" w14:textId="78DE27F5" w:rsidR="00D75F7F" w:rsidRPr="002C4EF1" w:rsidRDefault="002C4EF1" w:rsidP="002C4EF1">
      <w:pPr>
        <w:pStyle w:val="BodyText"/>
        <w:spacing w:line="249" w:lineRule="auto"/>
        <w:ind w:left="217" w:right="172" w:firstLine="23"/>
        <w:rPr>
          <w:w w:val="105"/>
        </w:rPr>
      </w:pPr>
      <w:r>
        <w:rPr>
          <w:w w:val="105"/>
        </w:rPr>
        <w:t>We at VD</w:t>
      </w:r>
      <w:r w:rsidR="002D6DEE">
        <w:rPr>
          <w:w w:val="105"/>
        </w:rPr>
        <w:t>S</w:t>
      </w:r>
      <w:r>
        <w:rPr>
          <w:w w:val="105"/>
        </w:rPr>
        <w:t xml:space="preserve"> believe it is important to approach language with respect and integrity. </w:t>
      </w:r>
      <w:r w:rsidR="00855B4E">
        <w:rPr>
          <w:w w:val="105"/>
        </w:rPr>
        <w:t xml:space="preserve">We </w:t>
      </w:r>
      <w:r w:rsidR="00751987">
        <w:rPr>
          <w:w w:val="105"/>
        </w:rPr>
        <w:t xml:space="preserve">believe </w:t>
      </w:r>
      <w:r w:rsidR="004D7F0A">
        <w:rPr>
          <w:w w:val="105"/>
        </w:rPr>
        <w:t xml:space="preserve">expansive and </w:t>
      </w:r>
      <w:r w:rsidR="008B505C">
        <w:rPr>
          <w:w w:val="105"/>
        </w:rPr>
        <w:t xml:space="preserve">inclusive language </w:t>
      </w:r>
      <w:r w:rsidR="00751987">
        <w:rPr>
          <w:w w:val="105"/>
        </w:rPr>
        <w:t>is both a gift and an imperative, based</w:t>
      </w:r>
      <w:r w:rsidR="008B505C">
        <w:rPr>
          <w:w w:val="105"/>
        </w:rPr>
        <w:t xml:space="preserve"> on several convictions:</w:t>
      </w:r>
    </w:p>
    <w:p w14:paraId="55166B5C" w14:textId="77777777" w:rsidR="00D75F7F" w:rsidRDefault="00D75F7F">
      <w:pPr>
        <w:pStyle w:val="BodyText"/>
        <w:spacing w:before="9"/>
      </w:pPr>
    </w:p>
    <w:p w14:paraId="58219A3D" w14:textId="0263FC7F" w:rsidR="00D75F7F" w:rsidRDefault="008B505C">
      <w:pPr>
        <w:pStyle w:val="ListParagraph"/>
        <w:numPr>
          <w:ilvl w:val="0"/>
          <w:numId w:val="2"/>
        </w:numPr>
        <w:tabs>
          <w:tab w:val="left" w:pos="993"/>
          <w:tab w:val="left" w:pos="994"/>
        </w:tabs>
        <w:spacing w:before="1"/>
        <w:ind w:hanging="380"/>
        <w:rPr>
          <w:sz w:val="23"/>
        </w:rPr>
      </w:pPr>
      <w:r>
        <w:rPr>
          <w:w w:val="105"/>
          <w:sz w:val="23"/>
        </w:rPr>
        <w:t>Language</w:t>
      </w:r>
      <w:r>
        <w:rPr>
          <w:spacing w:val="-7"/>
          <w:w w:val="105"/>
          <w:sz w:val="23"/>
        </w:rPr>
        <w:t xml:space="preserve"> </w:t>
      </w:r>
      <w:r>
        <w:rPr>
          <w:w w:val="105"/>
          <w:sz w:val="23"/>
        </w:rPr>
        <w:t>shapes</w:t>
      </w:r>
      <w:r>
        <w:rPr>
          <w:spacing w:val="-4"/>
          <w:w w:val="105"/>
          <w:sz w:val="23"/>
        </w:rPr>
        <w:t xml:space="preserve"> </w:t>
      </w:r>
      <w:r>
        <w:rPr>
          <w:w w:val="105"/>
          <w:sz w:val="23"/>
        </w:rPr>
        <w:t>and</w:t>
      </w:r>
      <w:r>
        <w:rPr>
          <w:spacing w:val="-4"/>
          <w:w w:val="105"/>
          <w:sz w:val="23"/>
        </w:rPr>
        <w:t xml:space="preserve"> </w:t>
      </w:r>
      <w:r>
        <w:rPr>
          <w:w w:val="105"/>
          <w:sz w:val="23"/>
        </w:rPr>
        <w:t>reflects</w:t>
      </w:r>
      <w:r>
        <w:rPr>
          <w:spacing w:val="-10"/>
          <w:w w:val="105"/>
          <w:sz w:val="23"/>
        </w:rPr>
        <w:t xml:space="preserve"> </w:t>
      </w:r>
      <w:r>
        <w:rPr>
          <w:w w:val="105"/>
          <w:sz w:val="23"/>
        </w:rPr>
        <w:t>the</w:t>
      </w:r>
      <w:r>
        <w:rPr>
          <w:spacing w:val="-14"/>
          <w:w w:val="105"/>
          <w:sz w:val="23"/>
        </w:rPr>
        <w:t xml:space="preserve"> </w:t>
      </w:r>
      <w:r>
        <w:rPr>
          <w:w w:val="105"/>
          <w:sz w:val="23"/>
        </w:rPr>
        <w:t>world</w:t>
      </w:r>
      <w:r>
        <w:rPr>
          <w:spacing w:val="5"/>
          <w:w w:val="105"/>
          <w:sz w:val="23"/>
        </w:rPr>
        <w:t xml:space="preserve"> </w:t>
      </w:r>
      <w:r>
        <w:rPr>
          <w:w w:val="105"/>
          <w:sz w:val="23"/>
        </w:rPr>
        <w:t>we</w:t>
      </w:r>
      <w:r>
        <w:rPr>
          <w:spacing w:val="-15"/>
          <w:w w:val="105"/>
          <w:sz w:val="23"/>
        </w:rPr>
        <w:t xml:space="preserve"> </w:t>
      </w:r>
      <w:proofErr w:type="gramStart"/>
      <w:r>
        <w:rPr>
          <w:w w:val="105"/>
          <w:sz w:val="23"/>
        </w:rPr>
        <w:t>experience</w:t>
      </w:r>
      <w:r w:rsidR="004D7F0A">
        <w:rPr>
          <w:w w:val="105"/>
          <w:sz w:val="23"/>
        </w:rPr>
        <w:t>;</w:t>
      </w:r>
      <w:proofErr w:type="gramEnd"/>
    </w:p>
    <w:p w14:paraId="1C26ECA1" w14:textId="0D632C08" w:rsidR="00D75F7F" w:rsidRDefault="008B505C">
      <w:pPr>
        <w:pStyle w:val="ListParagraph"/>
        <w:numPr>
          <w:ilvl w:val="0"/>
          <w:numId w:val="2"/>
        </w:numPr>
        <w:tabs>
          <w:tab w:val="left" w:pos="994"/>
        </w:tabs>
        <w:spacing w:before="9"/>
        <w:ind w:hanging="378"/>
        <w:rPr>
          <w:sz w:val="23"/>
        </w:rPr>
      </w:pPr>
      <w:r>
        <w:rPr>
          <w:w w:val="105"/>
          <w:sz w:val="23"/>
        </w:rPr>
        <w:t xml:space="preserve">Language </w:t>
      </w:r>
      <w:r w:rsidR="004D7F0A">
        <w:rPr>
          <w:w w:val="105"/>
          <w:sz w:val="23"/>
        </w:rPr>
        <w:t>reflects the reality of</w:t>
      </w:r>
      <w:r>
        <w:rPr>
          <w:w w:val="105"/>
          <w:sz w:val="23"/>
        </w:rPr>
        <w:t xml:space="preserve"> diversity among groups of</w:t>
      </w:r>
      <w:r>
        <w:rPr>
          <w:spacing w:val="-22"/>
          <w:w w:val="105"/>
          <w:sz w:val="23"/>
        </w:rPr>
        <w:t xml:space="preserve"> </w:t>
      </w:r>
      <w:proofErr w:type="gramStart"/>
      <w:r>
        <w:rPr>
          <w:w w:val="105"/>
          <w:sz w:val="23"/>
        </w:rPr>
        <w:t>people</w:t>
      </w:r>
      <w:r w:rsidR="004D7F0A">
        <w:rPr>
          <w:w w:val="105"/>
          <w:sz w:val="23"/>
        </w:rPr>
        <w:t>;</w:t>
      </w:r>
      <w:proofErr w:type="gramEnd"/>
    </w:p>
    <w:p w14:paraId="014BDFCC" w14:textId="28FFFE89" w:rsidR="004D7F0A" w:rsidRPr="00751987" w:rsidRDefault="008B505C">
      <w:pPr>
        <w:pStyle w:val="ListParagraph"/>
        <w:numPr>
          <w:ilvl w:val="0"/>
          <w:numId w:val="2"/>
        </w:numPr>
        <w:tabs>
          <w:tab w:val="left" w:pos="986"/>
          <w:tab w:val="left" w:pos="987"/>
        </w:tabs>
        <w:spacing w:before="24" w:line="249" w:lineRule="auto"/>
        <w:ind w:left="607" w:right="101" w:hanging="1"/>
        <w:rPr>
          <w:sz w:val="23"/>
        </w:rPr>
      </w:pPr>
      <w:r>
        <w:rPr>
          <w:w w:val="105"/>
          <w:sz w:val="23"/>
        </w:rPr>
        <w:t>Language</w:t>
      </w:r>
      <w:r>
        <w:rPr>
          <w:spacing w:val="-9"/>
          <w:w w:val="105"/>
          <w:sz w:val="23"/>
        </w:rPr>
        <w:t xml:space="preserve"> </w:t>
      </w:r>
      <w:r>
        <w:rPr>
          <w:w w:val="105"/>
          <w:sz w:val="23"/>
        </w:rPr>
        <w:t>should</w:t>
      </w:r>
      <w:r>
        <w:rPr>
          <w:spacing w:val="-9"/>
          <w:w w:val="105"/>
          <w:sz w:val="23"/>
        </w:rPr>
        <w:t xml:space="preserve"> </w:t>
      </w:r>
      <w:r>
        <w:rPr>
          <w:w w:val="105"/>
          <w:sz w:val="23"/>
        </w:rPr>
        <w:t>respect</w:t>
      </w:r>
      <w:r w:rsidR="004D7F0A">
        <w:rPr>
          <w:w w:val="105"/>
          <w:sz w:val="23"/>
        </w:rPr>
        <w:t xml:space="preserve"> and affirm</w:t>
      </w:r>
      <w:r>
        <w:rPr>
          <w:spacing w:val="-10"/>
          <w:w w:val="105"/>
          <w:sz w:val="23"/>
        </w:rPr>
        <w:t xml:space="preserve"> </w:t>
      </w:r>
      <w:r>
        <w:rPr>
          <w:w w:val="105"/>
          <w:sz w:val="23"/>
        </w:rPr>
        <w:t>the</w:t>
      </w:r>
      <w:r>
        <w:rPr>
          <w:spacing w:val="-22"/>
          <w:w w:val="105"/>
          <w:sz w:val="23"/>
        </w:rPr>
        <w:t xml:space="preserve"> </w:t>
      </w:r>
      <w:r>
        <w:rPr>
          <w:w w:val="105"/>
          <w:sz w:val="23"/>
        </w:rPr>
        <w:t>full</w:t>
      </w:r>
      <w:r>
        <w:rPr>
          <w:spacing w:val="-11"/>
          <w:w w:val="105"/>
          <w:sz w:val="23"/>
        </w:rPr>
        <w:t xml:space="preserve"> </w:t>
      </w:r>
      <w:r>
        <w:rPr>
          <w:w w:val="105"/>
          <w:sz w:val="23"/>
        </w:rPr>
        <w:t>personhood</w:t>
      </w:r>
      <w:r>
        <w:rPr>
          <w:spacing w:val="7"/>
          <w:w w:val="105"/>
          <w:sz w:val="23"/>
        </w:rPr>
        <w:t xml:space="preserve"> </w:t>
      </w:r>
      <w:r>
        <w:rPr>
          <w:w w:val="105"/>
          <w:sz w:val="23"/>
        </w:rPr>
        <w:t>of</w:t>
      </w:r>
      <w:r>
        <w:rPr>
          <w:spacing w:val="-14"/>
          <w:w w:val="105"/>
          <w:sz w:val="23"/>
        </w:rPr>
        <w:t xml:space="preserve"> </w:t>
      </w:r>
      <w:r>
        <w:rPr>
          <w:w w:val="105"/>
          <w:sz w:val="23"/>
        </w:rPr>
        <w:t>each</w:t>
      </w:r>
      <w:r>
        <w:rPr>
          <w:spacing w:val="-13"/>
          <w:w w:val="105"/>
          <w:sz w:val="23"/>
        </w:rPr>
        <w:t xml:space="preserve"> </w:t>
      </w:r>
      <w:proofErr w:type="gramStart"/>
      <w:r>
        <w:rPr>
          <w:w w:val="105"/>
          <w:sz w:val="23"/>
        </w:rPr>
        <w:t>individual</w:t>
      </w:r>
      <w:r w:rsidR="004D7F0A">
        <w:rPr>
          <w:w w:val="105"/>
          <w:sz w:val="23"/>
        </w:rPr>
        <w:t>;</w:t>
      </w:r>
      <w:proofErr w:type="gramEnd"/>
      <w:r>
        <w:rPr>
          <w:w w:val="105"/>
          <w:sz w:val="23"/>
        </w:rPr>
        <w:t xml:space="preserve"> </w:t>
      </w:r>
    </w:p>
    <w:p w14:paraId="4296E3DB" w14:textId="73E42541" w:rsidR="00751987" w:rsidRPr="00751987" w:rsidRDefault="00751987">
      <w:pPr>
        <w:pStyle w:val="ListParagraph"/>
        <w:numPr>
          <w:ilvl w:val="0"/>
          <w:numId w:val="2"/>
        </w:numPr>
        <w:tabs>
          <w:tab w:val="left" w:pos="986"/>
          <w:tab w:val="left" w:pos="987"/>
        </w:tabs>
        <w:spacing w:before="24" w:line="249" w:lineRule="auto"/>
        <w:ind w:left="607" w:right="101" w:hanging="1"/>
        <w:rPr>
          <w:sz w:val="23"/>
        </w:rPr>
      </w:pPr>
      <w:r>
        <w:rPr>
          <w:w w:val="105"/>
          <w:sz w:val="23"/>
        </w:rPr>
        <w:t>Language is one way in which leaders and scholars may spark</w:t>
      </w:r>
      <w:r w:rsidR="00522BE1">
        <w:rPr>
          <w:w w:val="105"/>
          <w:sz w:val="23"/>
        </w:rPr>
        <w:t xml:space="preserve"> sacred</w:t>
      </w:r>
      <w:r>
        <w:rPr>
          <w:w w:val="105"/>
          <w:sz w:val="23"/>
        </w:rPr>
        <w:t xml:space="preserve"> imagination, open metaphorical possibilities, and communicate values;</w:t>
      </w:r>
    </w:p>
    <w:p w14:paraId="1C50A77E" w14:textId="195A7DF0" w:rsidR="00D75F7F" w:rsidRDefault="008B505C">
      <w:pPr>
        <w:pStyle w:val="ListParagraph"/>
        <w:numPr>
          <w:ilvl w:val="0"/>
          <w:numId w:val="2"/>
        </w:numPr>
        <w:tabs>
          <w:tab w:val="left" w:pos="986"/>
          <w:tab w:val="left" w:pos="987"/>
        </w:tabs>
        <w:spacing w:before="24" w:line="249" w:lineRule="auto"/>
        <w:ind w:left="607" w:right="101" w:hanging="1"/>
        <w:rPr>
          <w:sz w:val="23"/>
        </w:rPr>
      </w:pPr>
      <w:r>
        <w:rPr>
          <w:w w:val="105"/>
          <w:sz w:val="23"/>
        </w:rPr>
        <w:t>Responsibility for the values conveyed through language and for the usage of</w:t>
      </w:r>
    </w:p>
    <w:p w14:paraId="5D365FCB" w14:textId="1956AA2F" w:rsidR="00D75F7F" w:rsidRDefault="008B505C">
      <w:pPr>
        <w:pStyle w:val="BodyText"/>
        <w:spacing w:before="6" w:line="254" w:lineRule="auto"/>
        <w:ind w:left="981" w:right="98" w:firstLine="1"/>
      </w:pPr>
      <w:r>
        <w:rPr>
          <w:w w:val="105"/>
        </w:rPr>
        <w:t xml:space="preserve">appropriate language is not just an individual matter, but of concern for the entire VDS/GDR community as this institution seeks to </w:t>
      </w:r>
      <w:r w:rsidR="004D7F0A">
        <w:rPr>
          <w:w w:val="105"/>
        </w:rPr>
        <w:t xml:space="preserve">live into the </w:t>
      </w:r>
      <w:hyperlink r:id="rId7" w:history="1">
        <w:r w:rsidR="004D7F0A" w:rsidRPr="004D7F0A">
          <w:rPr>
            <w:rStyle w:val="Hyperlink"/>
            <w:w w:val="105"/>
          </w:rPr>
          <w:t>Purposes and Commitments</w:t>
        </w:r>
      </w:hyperlink>
      <w:r w:rsidR="004D7F0A">
        <w:rPr>
          <w:w w:val="105"/>
        </w:rPr>
        <w:t xml:space="preserve"> more fully.</w:t>
      </w:r>
    </w:p>
    <w:p w14:paraId="0A05D27B" w14:textId="77777777" w:rsidR="00D75F7F" w:rsidRDefault="00D75F7F">
      <w:pPr>
        <w:pStyle w:val="BodyText"/>
        <w:spacing w:before="11"/>
      </w:pPr>
    </w:p>
    <w:p w14:paraId="1BFAB14C" w14:textId="1E8013E5" w:rsidR="001F3589" w:rsidRPr="0043610C" w:rsidRDefault="001F3589" w:rsidP="0043610C">
      <w:pPr>
        <w:pStyle w:val="BodyText"/>
        <w:spacing w:line="249" w:lineRule="auto"/>
        <w:ind w:left="217" w:right="172" w:firstLine="23"/>
        <w:rPr>
          <w:w w:val="105"/>
        </w:rPr>
      </w:pPr>
      <w:r>
        <w:rPr>
          <w:w w:val="105"/>
        </w:rPr>
        <w:t xml:space="preserve">This document is intended to encourage our community to cultivate the habit of speaking and writing inclusively. </w:t>
      </w:r>
      <w:r w:rsidR="0043610C">
        <w:rPr>
          <w:w w:val="105"/>
        </w:rPr>
        <w:t>It</w:t>
      </w:r>
      <w:r>
        <w:rPr>
          <w:w w:val="105"/>
        </w:rPr>
        <w:t xml:space="preserve"> offers a brief overview of inclusive language from a </w:t>
      </w:r>
      <w:r w:rsidR="00D37B96" w:rsidRPr="00C25A93">
        <w:rPr>
          <w:color w:val="000000" w:themeColor="text1"/>
          <w:w w:val="105"/>
        </w:rPr>
        <w:t xml:space="preserve">(primarily Christian) </w:t>
      </w:r>
      <w:r>
        <w:rPr>
          <w:w w:val="105"/>
        </w:rPr>
        <w:t xml:space="preserve">theological perspective. The </w:t>
      </w:r>
      <w:r>
        <w:rPr>
          <w:spacing w:val="-15"/>
          <w:w w:val="105"/>
        </w:rPr>
        <w:t xml:space="preserve">more expansive and inclusive approach to language </w:t>
      </w:r>
      <w:proofErr w:type="gramStart"/>
      <w:r>
        <w:rPr>
          <w:w w:val="105"/>
        </w:rPr>
        <w:t>summarized</w:t>
      </w:r>
      <w:r>
        <w:rPr>
          <w:spacing w:val="-5"/>
          <w:w w:val="105"/>
        </w:rPr>
        <w:t xml:space="preserve"> </w:t>
      </w:r>
      <w:r>
        <w:rPr>
          <w:w w:val="105"/>
        </w:rPr>
        <w:t>briefly</w:t>
      </w:r>
      <w:proofErr w:type="gramEnd"/>
      <w:r>
        <w:rPr>
          <w:spacing w:val="-4"/>
          <w:w w:val="105"/>
        </w:rPr>
        <w:t xml:space="preserve"> </w:t>
      </w:r>
      <w:r>
        <w:rPr>
          <w:w w:val="105"/>
        </w:rPr>
        <w:t>below</w:t>
      </w:r>
      <w:r>
        <w:rPr>
          <w:spacing w:val="-18"/>
          <w:w w:val="105"/>
        </w:rPr>
        <w:t xml:space="preserve"> </w:t>
      </w:r>
      <w:r>
        <w:rPr>
          <w:w w:val="105"/>
        </w:rPr>
        <w:t>is designed to offer</w:t>
      </w:r>
      <w:r>
        <w:rPr>
          <w:spacing w:val="-4"/>
          <w:w w:val="105"/>
        </w:rPr>
        <w:t xml:space="preserve"> an important </w:t>
      </w:r>
      <w:r>
        <w:rPr>
          <w:w w:val="105"/>
        </w:rPr>
        <w:t>corrective to</w:t>
      </w:r>
      <w:r>
        <w:rPr>
          <w:spacing w:val="-12"/>
          <w:w w:val="105"/>
        </w:rPr>
        <w:t xml:space="preserve"> </w:t>
      </w:r>
      <w:r>
        <w:rPr>
          <w:w w:val="105"/>
        </w:rPr>
        <w:t>language that may intentionally or unintentionally demean and exclude, as well as provide a positive and inclusive approach that acknowledges our evolving understanding of the sacred worth of all people. Achieving this goal requires attention to the following primary areas of concern:</w:t>
      </w:r>
    </w:p>
    <w:p w14:paraId="7B7077DD" w14:textId="77777777" w:rsidR="001F3589" w:rsidRDefault="001F3589">
      <w:pPr>
        <w:pStyle w:val="BodyText"/>
        <w:spacing w:before="6"/>
      </w:pPr>
    </w:p>
    <w:p w14:paraId="697A23BE" w14:textId="77777777" w:rsidR="00E6382B" w:rsidRPr="001D0C37" w:rsidRDefault="001F3589" w:rsidP="00E6382B">
      <w:pPr>
        <w:pStyle w:val="ListParagraph"/>
        <w:numPr>
          <w:ilvl w:val="0"/>
          <w:numId w:val="1"/>
        </w:numPr>
        <w:tabs>
          <w:tab w:val="left" w:pos="439"/>
        </w:tabs>
        <w:rPr>
          <w:b/>
          <w:bCs/>
          <w:sz w:val="23"/>
        </w:rPr>
      </w:pPr>
      <w:r w:rsidRPr="001D0C37">
        <w:rPr>
          <w:b/>
          <w:bCs/>
          <w:w w:val="105"/>
          <w:sz w:val="23"/>
        </w:rPr>
        <w:t>References to People</w:t>
      </w:r>
    </w:p>
    <w:p w14:paraId="4DC64392" w14:textId="77777777" w:rsidR="00E6382B" w:rsidRDefault="00E6382B" w:rsidP="00E6382B">
      <w:pPr>
        <w:pStyle w:val="ListParagraph"/>
        <w:tabs>
          <w:tab w:val="left" w:pos="439"/>
        </w:tabs>
        <w:ind w:left="420" w:firstLine="0"/>
        <w:rPr>
          <w:i/>
          <w:iCs/>
          <w:w w:val="105"/>
          <w:sz w:val="23"/>
        </w:rPr>
      </w:pPr>
    </w:p>
    <w:p w14:paraId="7A6AD54C" w14:textId="17B67FA7" w:rsidR="001F3589" w:rsidRPr="00E6382B" w:rsidRDefault="001F3589" w:rsidP="00E6382B">
      <w:pPr>
        <w:pStyle w:val="ListParagraph"/>
        <w:tabs>
          <w:tab w:val="left" w:pos="439"/>
        </w:tabs>
        <w:ind w:left="420" w:firstLine="0"/>
        <w:rPr>
          <w:i/>
          <w:iCs/>
          <w:sz w:val="23"/>
        </w:rPr>
      </w:pPr>
      <w:r w:rsidRPr="00E6382B">
        <w:rPr>
          <w:w w:val="105"/>
        </w:rPr>
        <w:lastRenderedPageBreak/>
        <w:t xml:space="preserve">Community members should pay attention to the bias behind pronouns, nouns, idioms, and axioms used unwittingly from religious and/or cultural traditions to refer to the name, titles, and roles people occupy in life. Gendered nouns, (e.g., </w:t>
      </w:r>
      <w:r w:rsidR="00B84C8F">
        <w:rPr>
          <w:w w:val="105"/>
        </w:rPr>
        <w:t>“</w:t>
      </w:r>
      <w:r w:rsidRPr="00E6382B">
        <w:rPr>
          <w:w w:val="105"/>
        </w:rPr>
        <w:t>mankind,</w:t>
      </w:r>
      <w:r w:rsidR="00B84C8F">
        <w:rPr>
          <w:w w:val="105"/>
        </w:rPr>
        <w:t>”</w:t>
      </w:r>
      <w:r w:rsidRPr="00E6382B">
        <w:rPr>
          <w:w w:val="105"/>
        </w:rPr>
        <w:t xml:space="preserve"> </w:t>
      </w:r>
      <w:r w:rsidR="00B84C8F">
        <w:rPr>
          <w:w w:val="105"/>
        </w:rPr>
        <w:t>“</w:t>
      </w:r>
      <w:r w:rsidRPr="00E6382B">
        <w:rPr>
          <w:w w:val="105"/>
        </w:rPr>
        <w:t>brotherhood</w:t>
      </w:r>
      <w:r w:rsidR="00B84C8F">
        <w:rPr>
          <w:w w:val="105"/>
        </w:rPr>
        <w:t>”</w:t>
      </w:r>
      <w:r w:rsidRPr="00E6382B">
        <w:rPr>
          <w:w w:val="105"/>
        </w:rPr>
        <w:t xml:space="preserve">) can be replaced easily by inclusive terminology, (e.g., </w:t>
      </w:r>
      <w:r w:rsidR="00B84C8F">
        <w:rPr>
          <w:w w:val="105"/>
        </w:rPr>
        <w:t>“</w:t>
      </w:r>
      <w:r w:rsidRPr="00E6382B">
        <w:rPr>
          <w:w w:val="105"/>
        </w:rPr>
        <w:t>humankind,</w:t>
      </w:r>
      <w:r w:rsidR="00B84C8F">
        <w:rPr>
          <w:w w:val="105"/>
        </w:rPr>
        <w:t>”</w:t>
      </w:r>
      <w:r w:rsidRPr="00E6382B">
        <w:rPr>
          <w:w w:val="105"/>
        </w:rPr>
        <w:t xml:space="preserve"> </w:t>
      </w:r>
      <w:r w:rsidR="00B84C8F">
        <w:rPr>
          <w:w w:val="105"/>
        </w:rPr>
        <w:t>“</w:t>
      </w:r>
      <w:r w:rsidRPr="00E6382B">
        <w:rPr>
          <w:w w:val="105"/>
        </w:rPr>
        <w:t>community,</w:t>
      </w:r>
      <w:r w:rsidR="00B84C8F">
        <w:rPr>
          <w:w w:val="105"/>
        </w:rPr>
        <w:t>”</w:t>
      </w:r>
      <w:r w:rsidRPr="00E6382B">
        <w:rPr>
          <w:w w:val="105"/>
        </w:rPr>
        <w:t xml:space="preserve"> </w:t>
      </w:r>
      <w:r w:rsidR="00B84C8F">
        <w:rPr>
          <w:w w:val="105"/>
        </w:rPr>
        <w:t>“</w:t>
      </w:r>
      <w:r w:rsidRPr="00E6382B">
        <w:rPr>
          <w:w w:val="105"/>
        </w:rPr>
        <w:t>household</w:t>
      </w:r>
      <w:r w:rsidR="00B84C8F">
        <w:rPr>
          <w:w w:val="105"/>
        </w:rPr>
        <w:t>”</w:t>
      </w:r>
      <w:r w:rsidRPr="00E6382B">
        <w:rPr>
          <w:w w:val="105"/>
        </w:rPr>
        <w:t xml:space="preserve">). This includes using “siblings” along with “brothers and sisters” or “spouses” alongside “husband and wife” to signal inclusion of non-binary people. This is not to say we cannot be specific; rather this is an invitation to use language that does not erase people, particularly those who face marginalization. Using “neurodiverse people” rather than “people with intellectual disabilities” acknowledges the enhanced capacities that, for example, people with autism bring to the world that “neurotypical” people do not possess. Members of the community are encouraged to remain appropriately curious, asking rather than assuming pronouns or titles or roles, and making time to learn pronouns and inclusive terminology for people. References to people continue to shift and change; rather than memorizing a list of current terminology, we encourage the community to be open to shifting religious, cultural, liturgical, and academic norms. </w:t>
      </w:r>
    </w:p>
    <w:p w14:paraId="6F85CBDA" w14:textId="77777777" w:rsidR="001F3589" w:rsidRDefault="001F3589">
      <w:pPr>
        <w:pStyle w:val="BodyText"/>
        <w:spacing w:before="6"/>
      </w:pPr>
    </w:p>
    <w:p w14:paraId="7AEA6526" w14:textId="45B408E2" w:rsidR="001F3589" w:rsidRPr="001D0C37" w:rsidRDefault="001F3589">
      <w:pPr>
        <w:pStyle w:val="ListParagraph"/>
        <w:numPr>
          <w:ilvl w:val="0"/>
          <w:numId w:val="1"/>
        </w:numPr>
        <w:tabs>
          <w:tab w:val="left" w:pos="478"/>
        </w:tabs>
        <w:ind w:left="477" w:hanging="308"/>
        <w:rPr>
          <w:b/>
          <w:bCs/>
          <w:sz w:val="23"/>
        </w:rPr>
      </w:pPr>
      <w:r w:rsidRPr="001D0C37">
        <w:rPr>
          <w:b/>
          <w:bCs/>
          <w:w w:val="105"/>
          <w:sz w:val="23"/>
        </w:rPr>
        <w:t>References to the Divine</w:t>
      </w:r>
    </w:p>
    <w:p w14:paraId="0D3765DC" w14:textId="77777777" w:rsidR="001F3589" w:rsidRDefault="001F3589">
      <w:pPr>
        <w:pStyle w:val="BodyText"/>
        <w:spacing w:before="10"/>
        <w:rPr>
          <w:sz w:val="25"/>
        </w:rPr>
      </w:pPr>
    </w:p>
    <w:p w14:paraId="285C3CCC" w14:textId="77777777" w:rsidR="0043610C" w:rsidRDefault="001F3589" w:rsidP="00E6382B">
      <w:pPr>
        <w:pStyle w:val="BodyText"/>
        <w:spacing w:before="75" w:line="254" w:lineRule="auto"/>
        <w:ind w:left="420" w:right="28"/>
        <w:rPr>
          <w:w w:val="105"/>
        </w:rPr>
      </w:pPr>
      <w:r>
        <w:rPr>
          <w:w w:val="105"/>
        </w:rPr>
        <w:t xml:space="preserve">As the late Sallie </w:t>
      </w:r>
      <w:proofErr w:type="spellStart"/>
      <w:r>
        <w:rPr>
          <w:w w:val="105"/>
        </w:rPr>
        <w:t>McFague</w:t>
      </w:r>
      <w:proofErr w:type="spellEnd"/>
      <w:r>
        <w:rPr>
          <w:w w:val="105"/>
        </w:rPr>
        <w:t>, Carpenter Professor Emerita and former Dean of VDS, famously argued, religious language is metaphorical.</w:t>
      </w:r>
      <w:r>
        <w:rPr>
          <w:rStyle w:val="EndnoteReference"/>
          <w:w w:val="105"/>
        </w:rPr>
        <w:endnoteReference w:id="1"/>
      </w:r>
      <w:r>
        <w:rPr>
          <w:w w:val="105"/>
        </w:rPr>
        <w:t xml:space="preserve"> While many find comfort and significance in them, masculine titles, pronouns, and imagery for G-d</w:t>
      </w:r>
      <w:r>
        <w:rPr>
          <w:rStyle w:val="EndnoteReference"/>
          <w:w w:val="105"/>
        </w:rPr>
        <w:endnoteReference w:id="2"/>
      </w:r>
      <w:r>
        <w:rPr>
          <w:w w:val="105"/>
        </w:rPr>
        <w:t xml:space="preserve"> have served in the Christian tradition as a cornerstone for what New Testament scholar Elisabeth </w:t>
      </w:r>
      <w:proofErr w:type="spellStart"/>
      <w:r>
        <w:rPr>
          <w:w w:val="105"/>
        </w:rPr>
        <w:t>Schüssler-Fiorenza</w:t>
      </w:r>
      <w:proofErr w:type="spellEnd"/>
      <w:r>
        <w:rPr>
          <w:w w:val="105"/>
        </w:rPr>
        <w:t xml:space="preserve"> has dubbed “kyriarchy,” the intersecting systems of domination – including but not limited to patriarchy – of some over others.</w:t>
      </w:r>
      <w:r>
        <w:rPr>
          <w:rStyle w:val="EndnoteReference"/>
          <w:w w:val="105"/>
        </w:rPr>
        <w:endnoteReference w:id="3"/>
      </w:r>
      <w:r>
        <w:rPr>
          <w:w w:val="105"/>
        </w:rPr>
        <w:t xml:space="preserve"> </w:t>
      </w:r>
      <w:r w:rsidR="001B15F4">
        <w:rPr>
          <w:w w:val="105"/>
        </w:rPr>
        <w:t>Like many other religious traditions, Christian s</w:t>
      </w:r>
      <w:r w:rsidR="00925583">
        <w:rPr>
          <w:w w:val="105"/>
        </w:rPr>
        <w:t>criptural</w:t>
      </w:r>
      <w:r w:rsidR="00072D75">
        <w:rPr>
          <w:w w:val="105"/>
        </w:rPr>
        <w:t xml:space="preserve"> and histor</w:t>
      </w:r>
      <w:r w:rsidR="00925583">
        <w:rPr>
          <w:w w:val="105"/>
        </w:rPr>
        <w:t>ical traditions offer</w:t>
      </w:r>
      <w:r w:rsidR="00072D75">
        <w:rPr>
          <w:w w:val="105"/>
        </w:rPr>
        <w:t xml:space="preserve"> </w:t>
      </w:r>
      <w:r w:rsidR="00302F80">
        <w:rPr>
          <w:w w:val="105"/>
        </w:rPr>
        <w:t xml:space="preserve">expansive </w:t>
      </w:r>
      <w:r w:rsidR="00C50F6C">
        <w:rPr>
          <w:w w:val="105"/>
        </w:rPr>
        <w:t xml:space="preserve">metaphors </w:t>
      </w:r>
      <w:r w:rsidR="00302F80">
        <w:rPr>
          <w:w w:val="105"/>
        </w:rPr>
        <w:t xml:space="preserve">that refer to the divine in diverse and creative ways. </w:t>
      </w:r>
      <w:r w:rsidR="00925583">
        <w:rPr>
          <w:w w:val="105"/>
        </w:rPr>
        <w:t>Some Christian metaphors for G</w:t>
      </w:r>
      <w:r w:rsidR="00102626">
        <w:rPr>
          <w:w w:val="105"/>
        </w:rPr>
        <w:t>-</w:t>
      </w:r>
      <w:r w:rsidR="00925583">
        <w:rPr>
          <w:w w:val="105"/>
        </w:rPr>
        <w:t xml:space="preserve">d imply no gender at all (e.g., friend, creator, redeemer, sustainer). </w:t>
      </w:r>
      <w:r w:rsidR="00302F80">
        <w:rPr>
          <w:w w:val="105"/>
        </w:rPr>
        <w:t xml:space="preserve">Using a variety of metaphors </w:t>
      </w:r>
      <w:proofErr w:type="gramStart"/>
      <w:r w:rsidR="00925583">
        <w:rPr>
          <w:w w:val="105"/>
        </w:rPr>
        <w:t>opens up</w:t>
      </w:r>
      <w:proofErr w:type="gramEnd"/>
      <w:r w:rsidR="00925583">
        <w:rPr>
          <w:w w:val="105"/>
        </w:rPr>
        <w:t xml:space="preserve"> </w:t>
      </w:r>
      <w:r w:rsidR="0044285A">
        <w:rPr>
          <w:w w:val="105"/>
        </w:rPr>
        <w:t>new ways to experience the divine</w:t>
      </w:r>
      <w:r w:rsidR="00925583">
        <w:rPr>
          <w:w w:val="105"/>
        </w:rPr>
        <w:t xml:space="preserve"> and deepen the devotional experience</w:t>
      </w:r>
      <w:r w:rsidR="0044285A">
        <w:rPr>
          <w:w w:val="105"/>
        </w:rPr>
        <w:t xml:space="preserve">. </w:t>
      </w:r>
      <w:r w:rsidR="00072D75">
        <w:rPr>
          <w:w w:val="105"/>
        </w:rPr>
        <w:t>Exploration of fresh language for G</w:t>
      </w:r>
      <w:r w:rsidR="00102626">
        <w:rPr>
          <w:w w:val="105"/>
        </w:rPr>
        <w:t>-</w:t>
      </w:r>
      <w:r w:rsidR="00072D75">
        <w:rPr>
          <w:w w:val="105"/>
        </w:rPr>
        <w:t>d require</w:t>
      </w:r>
      <w:r w:rsidR="00302F80">
        <w:rPr>
          <w:w w:val="105"/>
        </w:rPr>
        <w:t>s</w:t>
      </w:r>
      <w:r w:rsidR="00AF24CA">
        <w:rPr>
          <w:noProof/>
        </w:rPr>
        <mc:AlternateContent>
          <mc:Choice Requires="wps">
            <w:drawing>
              <wp:anchor distT="0" distB="0" distL="114300" distR="114300" simplePos="0" relativeHeight="251660288" behindDoc="0" locked="0" layoutInCell="1" allowOverlap="1" wp14:anchorId="56EBEF00" wp14:editId="343CB2C2">
                <wp:simplePos x="0" y="0"/>
                <wp:positionH relativeFrom="page">
                  <wp:posOffset>7758430</wp:posOffset>
                </wp:positionH>
                <wp:positionV relativeFrom="page">
                  <wp:posOffset>9985375</wp:posOffset>
                </wp:positionV>
                <wp:extent cx="0" cy="0"/>
                <wp:effectExtent l="0" t="0" r="0" b="0"/>
                <wp:wrapNone/>
                <wp:docPr id="11733567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2200"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786.25pt" to="610.9pt,78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WpcmgEAACwDAAAOAAAAZHJzL2Uyb0RvYy54bWysUslu2zAQvRfoPxC8x3LSBYFgOYek6SVt&#13;&#10;DST5gDEXiyjFIWZoS/77kvTSpL0F0WHA2Z7mvZnFzTR4sTPEDkMnL2dzKUxQqF3YdPL56f7iWgpO&#13;&#10;EDR4DKaTe8PyZvnxw2KMrbnCHr02JDJI4HaMnexTim3TsOrNADzDaEJOWqQBUnZp02iCMaMPvrma&#13;&#10;z782I5KOhMow5+jdISmXFd9ao9Iva9kk4TuZZ0vVUrXrYpvlAtoNQeydOo4Bb5hiABfyT89Qd5BA&#13;&#10;bMn9BzU4Rcho00zh0KC1TpnKIbO5nP/D5rGHaCqXLA7Hs0z8frDq5+42rKiMrqbwGB9Q/eYsSjNG&#13;&#10;bs/J4nBckViPP1DnNcI2YeU7WRpKc2Yipirr/iyrmZJQh6A6RRtoTy2ROH03OIjy6KR3oXCFFnYP&#13;&#10;nMoI0J5KSjjgvfO+7ssHMXby85frT7WB0TtdkqWMabO+9SR2UDZev7LkDPaqjHAbdAXrDehvx3cC&#13;&#10;5w/vXO/DUYbCvBwUt2vU+xUVuOLllVTg4/mUnb/0a9XfI1/+AQAA//8DAFBLAwQUAAYACAAAACEA&#13;&#10;HaJJqd0AAAAUAQAADwAAAGRycy9kb3ducmV2LnhtbExPXU/DMAx8R+I/REbiBW1pgwpb13RCfLwi&#13;&#10;bfADssa0FYlTNVlX/j2eEIIXy3e2z3fVdvZOTDjGPpCGfJmBQGqC7anV8P72sliBiMmQNS4QavjC&#13;&#10;CNv68qIypQ0n2uG0T61gEYql0dClNJRSxqZDb+IyDEg8+wijN4nh2Eo7mhOLeydVlt1Jb3riD50Z&#13;&#10;8LHD5nN/9BpwjdMzOrzxinDOxte8uF07ra+v5qcNl4cNiIRz+ruAcwb2DzUbO4Qj2SgcY6VyDpC4&#13;&#10;K+5VAeK888MdfjlZV/J/mPobAAD//wMAUEsBAi0AFAAGAAgAAAAhALaDOJL+AAAA4QEAABMAAAAA&#13;&#10;AAAAAAAAAAAAAAAAAFtDb250ZW50X1R5cGVzXS54bWxQSwECLQAUAAYACAAAACEAOP0h/9YAAACU&#13;&#10;AQAACwAAAAAAAAAAAAAAAAAvAQAAX3JlbHMvLnJlbHNQSwECLQAUAAYACAAAACEAyXVqXJoBAAAs&#13;&#10;AwAADgAAAAAAAAAAAAAAAAAuAgAAZHJzL2Uyb0RvYy54bWxQSwECLQAUAAYACAAAACEAHaJJqd0A&#13;&#10;AAAUAQAADwAAAAAAAAAAAAAAAAD0AwAAZHJzL2Rvd25yZXYueG1sUEsFBgAAAAAEAAQA8wAAAP4E&#13;&#10;AAAAAA==&#13;&#10;" strokeweight=".1273mm">
                <o:lock v:ext="edit" shapetype="f"/>
                <w10:wrap anchorx="page" anchory="page"/>
              </v:line>
            </w:pict>
          </mc:Fallback>
        </mc:AlternateContent>
      </w:r>
      <w:r w:rsidR="00AF24CA">
        <w:rPr>
          <w:w w:val="105"/>
        </w:rPr>
        <w:t xml:space="preserve"> a serious</w:t>
      </w:r>
      <w:r w:rsidR="00AF24CA">
        <w:rPr>
          <w:spacing w:val="-13"/>
          <w:w w:val="105"/>
        </w:rPr>
        <w:t xml:space="preserve"> </w:t>
      </w:r>
      <w:r w:rsidR="00AF24CA">
        <w:rPr>
          <w:w w:val="105"/>
        </w:rPr>
        <w:t>effort</w:t>
      </w:r>
      <w:r w:rsidR="00AF24CA">
        <w:rPr>
          <w:spacing w:val="-13"/>
          <w:w w:val="105"/>
        </w:rPr>
        <w:t xml:space="preserve"> </w:t>
      </w:r>
      <w:r w:rsidR="00AF24CA">
        <w:rPr>
          <w:w w:val="105"/>
        </w:rPr>
        <w:t>to</w:t>
      </w:r>
      <w:r w:rsidR="00AF24CA">
        <w:rPr>
          <w:spacing w:val="-19"/>
          <w:w w:val="105"/>
        </w:rPr>
        <w:t xml:space="preserve"> </w:t>
      </w:r>
      <w:r w:rsidR="00AF24CA">
        <w:rPr>
          <w:w w:val="105"/>
        </w:rPr>
        <w:t>comprehend</w:t>
      </w:r>
      <w:r w:rsidR="00AF24CA">
        <w:rPr>
          <w:spacing w:val="5"/>
          <w:w w:val="105"/>
        </w:rPr>
        <w:t xml:space="preserve"> </w:t>
      </w:r>
      <w:r w:rsidR="00AF24CA">
        <w:rPr>
          <w:w w:val="105"/>
        </w:rPr>
        <w:t>our</w:t>
      </w:r>
      <w:r w:rsidR="00AF24CA">
        <w:rPr>
          <w:spacing w:val="-14"/>
          <w:w w:val="105"/>
        </w:rPr>
        <w:t xml:space="preserve"> </w:t>
      </w:r>
      <w:r w:rsidR="00AF24CA">
        <w:rPr>
          <w:w w:val="105"/>
        </w:rPr>
        <w:t>personal</w:t>
      </w:r>
      <w:r w:rsidR="00AF24CA">
        <w:rPr>
          <w:spacing w:val="-7"/>
          <w:w w:val="105"/>
        </w:rPr>
        <w:t xml:space="preserve"> </w:t>
      </w:r>
      <w:r w:rsidR="00AF24CA">
        <w:rPr>
          <w:w w:val="105"/>
        </w:rPr>
        <w:t>experiences</w:t>
      </w:r>
      <w:r w:rsidR="00AF24CA">
        <w:rPr>
          <w:spacing w:val="-8"/>
          <w:w w:val="105"/>
        </w:rPr>
        <w:t xml:space="preserve"> </w:t>
      </w:r>
      <w:r w:rsidR="00AF24CA">
        <w:rPr>
          <w:w w:val="105"/>
        </w:rPr>
        <w:t>and</w:t>
      </w:r>
      <w:r w:rsidR="00AF24CA">
        <w:rPr>
          <w:spacing w:val="-13"/>
          <w:w w:val="105"/>
        </w:rPr>
        <w:t xml:space="preserve"> </w:t>
      </w:r>
      <w:r w:rsidR="00AF24CA">
        <w:rPr>
          <w:w w:val="105"/>
        </w:rPr>
        <w:t>understandings</w:t>
      </w:r>
      <w:r w:rsidR="00AF24CA">
        <w:rPr>
          <w:spacing w:val="-21"/>
          <w:w w:val="105"/>
        </w:rPr>
        <w:t xml:space="preserve"> </w:t>
      </w:r>
      <w:r w:rsidR="00AF24CA">
        <w:rPr>
          <w:w w:val="105"/>
        </w:rPr>
        <w:t>of</w:t>
      </w:r>
      <w:r w:rsidR="00AF24CA">
        <w:rPr>
          <w:spacing w:val="-15"/>
          <w:w w:val="105"/>
        </w:rPr>
        <w:t xml:space="preserve"> </w:t>
      </w:r>
      <w:r w:rsidR="00AF24CA">
        <w:rPr>
          <w:w w:val="105"/>
        </w:rPr>
        <w:t>G</w:t>
      </w:r>
      <w:r w:rsidR="00102626">
        <w:rPr>
          <w:w w:val="105"/>
        </w:rPr>
        <w:t>-</w:t>
      </w:r>
      <w:r w:rsidR="00AF24CA">
        <w:rPr>
          <w:w w:val="105"/>
        </w:rPr>
        <w:t>d</w:t>
      </w:r>
      <w:r w:rsidR="00AF24CA">
        <w:rPr>
          <w:spacing w:val="-8"/>
          <w:w w:val="105"/>
        </w:rPr>
        <w:t xml:space="preserve"> </w:t>
      </w:r>
      <w:r w:rsidR="00AF24CA">
        <w:rPr>
          <w:w w:val="105"/>
        </w:rPr>
        <w:t>and</w:t>
      </w:r>
      <w:r w:rsidR="00AF24CA">
        <w:rPr>
          <w:spacing w:val="-9"/>
          <w:w w:val="105"/>
        </w:rPr>
        <w:t xml:space="preserve"> </w:t>
      </w:r>
      <w:r w:rsidR="00AF24CA">
        <w:rPr>
          <w:w w:val="105"/>
        </w:rPr>
        <w:t>a respect</w:t>
      </w:r>
      <w:r w:rsidR="00AF24CA">
        <w:rPr>
          <w:spacing w:val="-2"/>
          <w:w w:val="105"/>
        </w:rPr>
        <w:t xml:space="preserve"> </w:t>
      </w:r>
      <w:r w:rsidR="00AF24CA">
        <w:rPr>
          <w:w w:val="105"/>
        </w:rPr>
        <w:t>for</w:t>
      </w:r>
      <w:r w:rsidR="00AF24CA">
        <w:rPr>
          <w:spacing w:val="-4"/>
          <w:w w:val="105"/>
        </w:rPr>
        <w:t xml:space="preserve"> </w:t>
      </w:r>
      <w:r w:rsidR="00AF24CA">
        <w:rPr>
          <w:w w:val="105"/>
        </w:rPr>
        <w:t>the</w:t>
      </w:r>
      <w:r w:rsidR="00AF24CA">
        <w:rPr>
          <w:spacing w:val="-16"/>
          <w:w w:val="105"/>
        </w:rPr>
        <w:t xml:space="preserve"> </w:t>
      </w:r>
      <w:r w:rsidR="00AF24CA">
        <w:rPr>
          <w:w w:val="105"/>
        </w:rPr>
        <w:t>diversity</w:t>
      </w:r>
      <w:r w:rsidR="00AF24CA">
        <w:rPr>
          <w:spacing w:val="-3"/>
          <w:w w:val="105"/>
        </w:rPr>
        <w:t xml:space="preserve"> </w:t>
      </w:r>
      <w:r w:rsidR="00AF24CA">
        <w:rPr>
          <w:w w:val="105"/>
        </w:rPr>
        <w:t>of</w:t>
      </w:r>
      <w:r w:rsidR="00AF24CA">
        <w:rPr>
          <w:spacing w:val="-9"/>
          <w:w w:val="105"/>
        </w:rPr>
        <w:t xml:space="preserve"> </w:t>
      </w:r>
      <w:r w:rsidR="00AF24CA">
        <w:rPr>
          <w:w w:val="105"/>
        </w:rPr>
        <w:t>the</w:t>
      </w:r>
      <w:r w:rsidR="00AF24CA">
        <w:rPr>
          <w:spacing w:val="-14"/>
          <w:w w:val="105"/>
        </w:rPr>
        <w:t xml:space="preserve"> </w:t>
      </w:r>
      <w:r w:rsidR="00AF24CA">
        <w:rPr>
          <w:w w:val="105"/>
        </w:rPr>
        <w:t>practices</w:t>
      </w:r>
      <w:r w:rsidR="00AF24CA">
        <w:rPr>
          <w:spacing w:val="-1"/>
          <w:w w:val="105"/>
        </w:rPr>
        <w:t xml:space="preserve"> </w:t>
      </w:r>
      <w:r w:rsidR="00AF24CA">
        <w:rPr>
          <w:w w:val="105"/>
        </w:rPr>
        <w:t>of</w:t>
      </w:r>
      <w:r w:rsidR="00AF24CA">
        <w:rPr>
          <w:spacing w:val="-14"/>
          <w:w w:val="105"/>
        </w:rPr>
        <w:t xml:space="preserve"> </w:t>
      </w:r>
      <w:r w:rsidR="00AF24CA">
        <w:rPr>
          <w:w w:val="105"/>
        </w:rPr>
        <w:t>different</w:t>
      </w:r>
      <w:r w:rsidR="00AF24CA">
        <w:rPr>
          <w:spacing w:val="4"/>
          <w:w w:val="105"/>
        </w:rPr>
        <w:t xml:space="preserve"> </w:t>
      </w:r>
      <w:r w:rsidR="00AF24CA">
        <w:rPr>
          <w:w w:val="105"/>
        </w:rPr>
        <w:t>worshiping</w:t>
      </w:r>
      <w:r w:rsidR="00AF24CA">
        <w:rPr>
          <w:spacing w:val="4"/>
          <w:w w:val="105"/>
        </w:rPr>
        <w:t xml:space="preserve"> </w:t>
      </w:r>
      <w:r w:rsidR="00AF24CA">
        <w:rPr>
          <w:w w:val="105"/>
        </w:rPr>
        <w:t xml:space="preserve">communities. </w:t>
      </w:r>
      <w:r w:rsidR="00F75B3B">
        <w:rPr>
          <w:w w:val="105"/>
        </w:rPr>
        <w:t xml:space="preserve">It </w:t>
      </w:r>
      <w:r w:rsidR="00AF24CA">
        <w:rPr>
          <w:w w:val="105"/>
        </w:rPr>
        <w:t xml:space="preserve">is vital to maintain sensitivity to the preferences and expertise of practitioners. </w:t>
      </w:r>
      <w:r w:rsidR="00F75B3B">
        <w:rPr>
          <w:w w:val="105"/>
        </w:rPr>
        <w:t>We seek to</w:t>
      </w:r>
      <w:r w:rsidR="00AF24CA">
        <w:rPr>
          <w:w w:val="105"/>
        </w:rPr>
        <w:t xml:space="preserve"> introduc</w:t>
      </w:r>
      <w:r w:rsidR="00F75B3B">
        <w:rPr>
          <w:w w:val="105"/>
        </w:rPr>
        <w:t>e</w:t>
      </w:r>
      <w:r w:rsidR="00AF24CA">
        <w:rPr>
          <w:w w:val="105"/>
        </w:rPr>
        <w:t xml:space="preserve"> additional language – particularly language that reflects the diversity of imagery in biblical and theological traditions – rather than </w:t>
      </w:r>
      <w:r w:rsidR="00F75B3B">
        <w:rPr>
          <w:w w:val="105"/>
        </w:rPr>
        <w:t xml:space="preserve">to </w:t>
      </w:r>
      <w:r w:rsidR="00AF24CA">
        <w:rPr>
          <w:w w:val="105"/>
        </w:rPr>
        <w:t>eras</w:t>
      </w:r>
      <w:r w:rsidR="00F75B3B">
        <w:rPr>
          <w:w w:val="105"/>
        </w:rPr>
        <w:t>e</w:t>
      </w:r>
      <w:r w:rsidR="00AF24CA">
        <w:rPr>
          <w:w w:val="105"/>
        </w:rPr>
        <w:t xml:space="preserve"> language currently in use. </w:t>
      </w:r>
    </w:p>
    <w:p w14:paraId="756E3B07" w14:textId="77777777" w:rsidR="0043610C" w:rsidRDefault="0043610C" w:rsidP="0043610C">
      <w:pPr>
        <w:pStyle w:val="BodyText"/>
        <w:spacing w:before="75" w:line="254" w:lineRule="auto"/>
        <w:ind w:right="28"/>
        <w:rPr>
          <w:w w:val="105"/>
        </w:rPr>
      </w:pPr>
    </w:p>
    <w:p w14:paraId="64340EB4" w14:textId="11E1042B" w:rsidR="00182DBA" w:rsidRPr="001D0C37" w:rsidRDefault="00182DBA" w:rsidP="0043610C">
      <w:pPr>
        <w:pStyle w:val="BodyText"/>
        <w:numPr>
          <w:ilvl w:val="0"/>
          <w:numId w:val="1"/>
        </w:numPr>
        <w:spacing w:before="75" w:line="254" w:lineRule="auto"/>
        <w:ind w:right="28"/>
        <w:rPr>
          <w:b/>
          <w:bCs/>
          <w:w w:val="105"/>
        </w:rPr>
      </w:pPr>
      <w:r w:rsidRPr="001D0C37">
        <w:rPr>
          <w:b/>
          <w:bCs/>
          <w:color w:val="000000" w:themeColor="text1"/>
          <w:w w:val="105"/>
        </w:rPr>
        <w:t>Interpretation of Scripture</w:t>
      </w:r>
    </w:p>
    <w:p w14:paraId="3C250B06" w14:textId="77777777" w:rsidR="00182DBA" w:rsidRPr="0043610C" w:rsidRDefault="00182DBA" w:rsidP="00182DBA">
      <w:pPr>
        <w:pStyle w:val="BodyText"/>
        <w:spacing w:before="8"/>
        <w:rPr>
          <w:color w:val="000000" w:themeColor="text1"/>
          <w:sz w:val="24"/>
        </w:rPr>
      </w:pPr>
    </w:p>
    <w:p w14:paraId="7424B3C7" w14:textId="77777777" w:rsidR="00182DBA" w:rsidRPr="0043610C" w:rsidRDefault="00182DBA" w:rsidP="00E6382B">
      <w:pPr>
        <w:pStyle w:val="BodyText"/>
        <w:spacing w:line="252" w:lineRule="auto"/>
        <w:ind w:left="420" w:right="172"/>
        <w:rPr>
          <w:color w:val="000000" w:themeColor="text1"/>
          <w:w w:val="105"/>
        </w:rPr>
      </w:pPr>
      <w:r w:rsidRPr="0043610C">
        <w:rPr>
          <w:color w:val="000000" w:themeColor="text1"/>
          <w:w w:val="105"/>
        </w:rPr>
        <w:t>Bible translations such as the Inclusive Language Bible, the Common English Bible, or the New Revised Standard Version Updated Edition have attempted to address the problems of exclusive language and incorrect translation in a variety of ways with varying degrees of success. Beyond the work of revision committees,</w:t>
      </w:r>
      <w:r w:rsidRPr="0043610C">
        <w:rPr>
          <w:color w:val="000000" w:themeColor="text1"/>
          <w:spacing w:val="-35"/>
          <w:w w:val="105"/>
        </w:rPr>
        <w:t xml:space="preserve"> </w:t>
      </w:r>
      <w:r w:rsidRPr="0043610C">
        <w:rPr>
          <w:color w:val="000000" w:themeColor="text1"/>
          <w:w w:val="105"/>
        </w:rPr>
        <w:t>all</w:t>
      </w:r>
      <w:r w:rsidRPr="0043610C">
        <w:rPr>
          <w:color w:val="000000" w:themeColor="text1"/>
          <w:spacing w:val="-26"/>
          <w:w w:val="105"/>
        </w:rPr>
        <w:t xml:space="preserve"> </w:t>
      </w:r>
      <w:r w:rsidRPr="0043610C">
        <w:rPr>
          <w:color w:val="000000" w:themeColor="text1"/>
          <w:w w:val="105"/>
        </w:rPr>
        <w:t>persons</w:t>
      </w:r>
      <w:r w:rsidRPr="0043610C">
        <w:rPr>
          <w:color w:val="000000" w:themeColor="text1"/>
          <w:spacing w:val="-21"/>
          <w:w w:val="105"/>
        </w:rPr>
        <w:t xml:space="preserve"> </w:t>
      </w:r>
      <w:r w:rsidRPr="0043610C">
        <w:rPr>
          <w:color w:val="000000" w:themeColor="text1"/>
          <w:w w:val="105"/>
        </w:rPr>
        <w:t>who</w:t>
      </w:r>
      <w:r w:rsidRPr="0043610C">
        <w:rPr>
          <w:color w:val="000000" w:themeColor="text1"/>
          <w:spacing w:val="-26"/>
          <w:w w:val="105"/>
        </w:rPr>
        <w:t xml:space="preserve"> </w:t>
      </w:r>
      <w:r w:rsidRPr="0043610C">
        <w:rPr>
          <w:color w:val="000000" w:themeColor="text1"/>
          <w:w w:val="105"/>
        </w:rPr>
        <w:t>read</w:t>
      </w:r>
      <w:r w:rsidRPr="0043610C">
        <w:rPr>
          <w:color w:val="000000" w:themeColor="text1"/>
          <w:spacing w:val="-24"/>
          <w:w w:val="105"/>
        </w:rPr>
        <w:t xml:space="preserve"> </w:t>
      </w:r>
      <w:r w:rsidRPr="0043610C">
        <w:rPr>
          <w:color w:val="000000" w:themeColor="text1"/>
          <w:w w:val="105"/>
        </w:rPr>
        <w:t>scripture</w:t>
      </w:r>
      <w:r w:rsidRPr="0043610C">
        <w:rPr>
          <w:color w:val="000000" w:themeColor="text1"/>
          <w:spacing w:val="-22"/>
          <w:w w:val="105"/>
        </w:rPr>
        <w:t xml:space="preserve"> </w:t>
      </w:r>
      <w:r w:rsidRPr="0043610C">
        <w:rPr>
          <w:color w:val="000000" w:themeColor="text1"/>
          <w:w w:val="105"/>
        </w:rPr>
        <w:t>share</w:t>
      </w:r>
      <w:r w:rsidRPr="0043610C">
        <w:rPr>
          <w:color w:val="000000" w:themeColor="text1"/>
          <w:spacing w:val="-20"/>
          <w:w w:val="105"/>
        </w:rPr>
        <w:t xml:space="preserve"> </w:t>
      </w:r>
      <w:r w:rsidRPr="0043610C">
        <w:rPr>
          <w:color w:val="000000" w:themeColor="text1"/>
          <w:w w:val="105"/>
        </w:rPr>
        <w:t>the</w:t>
      </w:r>
      <w:r w:rsidRPr="0043610C">
        <w:rPr>
          <w:color w:val="000000" w:themeColor="text1"/>
          <w:spacing w:val="-29"/>
          <w:w w:val="105"/>
        </w:rPr>
        <w:t xml:space="preserve"> </w:t>
      </w:r>
      <w:r w:rsidRPr="0043610C">
        <w:rPr>
          <w:color w:val="000000" w:themeColor="text1"/>
          <w:w w:val="105"/>
        </w:rPr>
        <w:t>responsibility</w:t>
      </w:r>
      <w:r w:rsidRPr="0043610C">
        <w:rPr>
          <w:color w:val="000000" w:themeColor="text1"/>
          <w:spacing w:val="-33"/>
          <w:w w:val="105"/>
        </w:rPr>
        <w:t xml:space="preserve"> </w:t>
      </w:r>
      <w:r w:rsidRPr="0043610C">
        <w:rPr>
          <w:color w:val="000000" w:themeColor="text1"/>
          <w:w w:val="105"/>
        </w:rPr>
        <w:t>of</w:t>
      </w:r>
      <w:r w:rsidRPr="0043610C">
        <w:rPr>
          <w:color w:val="000000" w:themeColor="text1"/>
          <w:spacing w:val="-28"/>
          <w:w w:val="105"/>
        </w:rPr>
        <w:t xml:space="preserve"> </w:t>
      </w:r>
      <w:r w:rsidRPr="0043610C">
        <w:rPr>
          <w:color w:val="000000" w:themeColor="text1"/>
          <w:w w:val="105"/>
        </w:rPr>
        <w:t>interpretation.</w:t>
      </w:r>
      <w:r w:rsidRPr="0043610C">
        <w:rPr>
          <w:color w:val="000000" w:themeColor="text1"/>
          <w:spacing w:val="18"/>
          <w:w w:val="105"/>
        </w:rPr>
        <w:t xml:space="preserve"> </w:t>
      </w:r>
      <w:r w:rsidRPr="0043610C">
        <w:rPr>
          <w:color w:val="000000" w:themeColor="text1"/>
          <w:w w:val="105"/>
        </w:rPr>
        <w:t>Some expressions</w:t>
      </w:r>
      <w:r w:rsidRPr="0043610C">
        <w:rPr>
          <w:color w:val="000000" w:themeColor="text1"/>
          <w:spacing w:val="10"/>
          <w:w w:val="105"/>
        </w:rPr>
        <w:t xml:space="preserve"> </w:t>
      </w:r>
      <w:r w:rsidRPr="0043610C">
        <w:rPr>
          <w:color w:val="000000" w:themeColor="text1"/>
          <w:w w:val="105"/>
        </w:rPr>
        <w:t>do</w:t>
      </w:r>
      <w:r w:rsidRPr="0043610C">
        <w:rPr>
          <w:color w:val="000000" w:themeColor="text1"/>
          <w:spacing w:val="-8"/>
          <w:w w:val="105"/>
        </w:rPr>
        <w:t xml:space="preserve"> </w:t>
      </w:r>
      <w:r w:rsidRPr="0043610C">
        <w:rPr>
          <w:color w:val="000000" w:themeColor="text1"/>
          <w:w w:val="105"/>
        </w:rPr>
        <w:t>not</w:t>
      </w:r>
      <w:r w:rsidRPr="0043610C">
        <w:rPr>
          <w:color w:val="000000" w:themeColor="text1"/>
          <w:spacing w:val="-18"/>
          <w:w w:val="105"/>
        </w:rPr>
        <w:t xml:space="preserve"> </w:t>
      </w:r>
      <w:r w:rsidRPr="0043610C">
        <w:rPr>
          <w:color w:val="000000" w:themeColor="text1"/>
          <w:w w:val="105"/>
        </w:rPr>
        <w:t>appear</w:t>
      </w:r>
      <w:r w:rsidRPr="0043610C">
        <w:rPr>
          <w:color w:val="000000" w:themeColor="text1"/>
          <w:spacing w:val="-12"/>
          <w:w w:val="105"/>
        </w:rPr>
        <w:t xml:space="preserve"> </w:t>
      </w:r>
      <w:r w:rsidRPr="0043610C">
        <w:rPr>
          <w:color w:val="000000" w:themeColor="text1"/>
          <w:w w:val="105"/>
        </w:rPr>
        <w:t>in</w:t>
      </w:r>
      <w:r w:rsidRPr="0043610C">
        <w:rPr>
          <w:color w:val="000000" w:themeColor="text1"/>
          <w:spacing w:val="-17"/>
          <w:w w:val="105"/>
        </w:rPr>
        <w:t xml:space="preserve"> </w:t>
      </w:r>
      <w:r w:rsidRPr="0043610C">
        <w:rPr>
          <w:color w:val="000000" w:themeColor="text1"/>
          <w:w w:val="105"/>
        </w:rPr>
        <w:t>the</w:t>
      </w:r>
      <w:r w:rsidRPr="0043610C">
        <w:rPr>
          <w:color w:val="000000" w:themeColor="text1"/>
          <w:spacing w:val="-18"/>
          <w:w w:val="105"/>
        </w:rPr>
        <w:t xml:space="preserve"> </w:t>
      </w:r>
      <w:r w:rsidRPr="0043610C">
        <w:rPr>
          <w:color w:val="000000" w:themeColor="text1"/>
          <w:w w:val="105"/>
        </w:rPr>
        <w:t>original</w:t>
      </w:r>
      <w:r w:rsidRPr="0043610C">
        <w:rPr>
          <w:color w:val="000000" w:themeColor="text1"/>
          <w:spacing w:val="-7"/>
          <w:w w:val="105"/>
        </w:rPr>
        <w:t xml:space="preserve"> </w:t>
      </w:r>
      <w:r w:rsidRPr="0043610C">
        <w:rPr>
          <w:color w:val="000000" w:themeColor="text1"/>
          <w:w w:val="105"/>
        </w:rPr>
        <w:t>Hebrew</w:t>
      </w:r>
      <w:r w:rsidRPr="0043610C">
        <w:rPr>
          <w:color w:val="000000" w:themeColor="text1"/>
          <w:spacing w:val="-8"/>
          <w:w w:val="105"/>
        </w:rPr>
        <w:t xml:space="preserve"> </w:t>
      </w:r>
      <w:r w:rsidRPr="0043610C">
        <w:rPr>
          <w:color w:val="000000" w:themeColor="text1"/>
          <w:w w:val="105"/>
        </w:rPr>
        <w:t>or</w:t>
      </w:r>
      <w:r w:rsidRPr="0043610C">
        <w:rPr>
          <w:color w:val="000000" w:themeColor="text1"/>
          <w:spacing w:val="-6"/>
          <w:w w:val="105"/>
        </w:rPr>
        <w:t xml:space="preserve"> </w:t>
      </w:r>
      <w:r w:rsidRPr="0043610C">
        <w:rPr>
          <w:color w:val="000000" w:themeColor="text1"/>
          <w:w w:val="105"/>
        </w:rPr>
        <w:t>Greek</w:t>
      </w:r>
      <w:r w:rsidRPr="0043610C">
        <w:rPr>
          <w:color w:val="000000" w:themeColor="text1"/>
          <w:spacing w:val="-7"/>
          <w:w w:val="105"/>
        </w:rPr>
        <w:t xml:space="preserve"> </w:t>
      </w:r>
      <w:r w:rsidRPr="0043610C">
        <w:rPr>
          <w:color w:val="000000" w:themeColor="text1"/>
          <w:w w:val="105"/>
        </w:rPr>
        <w:t>texts</w:t>
      </w:r>
      <w:r w:rsidRPr="0043610C">
        <w:rPr>
          <w:color w:val="000000" w:themeColor="text1"/>
          <w:spacing w:val="-16"/>
          <w:w w:val="105"/>
        </w:rPr>
        <w:t xml:space="preserve"> </w:t>
      </w:r>
      <w:r w:rsidRPr="0043610C">
        <w:rPr>
          <w:color w:val="000000" w:themeColor="text1"/>
          <w:w w:val="105"/>
        </w:rPr>
        <w:t>and, when added, necessarily distort the original text. Other references reflect historical situations of an</w:t>
      </w:r>
      <w:r w:rsidRPr="0043610C">
        <w:rPr>
          <w:color w:val="000000" w:themeColor="text1"/>
          <w:spacing w:val="-23"/>
          <w:w w:val="105"/>
        </w:rPr>
        <w:t xml:space="preserve"> </w:t>
      </w:r>
      <w:r w:rsidRPr="0043610C">
        <w:rPr>
          <w:color w:val="000000" w:themeColor="text1"/>
          <w:w w:val="105"/>
        </w:rPr>
        <w:t>ancient</w:t>
      </w:r>
      <w:r w:rsidRPr="0043610C">
        <w:rPr>
          <w:color w:val="000000" w:themeColor="text1"/>
          <w:spacing w:val="-13"/>
          <w:w w:val="105"/>
        </w:rPr>
        <w:t xml:space="preserve"> </w:t>
      </w:r>
      <w:r w:rsidRPr="0043610C">
        <w:rPr>
          <w:color w:val="000000" w:themeColor="text1"/>
          <w:w w:val="105"/>
        </w:rPr>
        <w:t>worldview</w:t>
      </w:r>
      <w:r w:rsidRPr="0043610C">
        <w:rPr>
          <w:color w:val="000000" w:themeColor="text1"/>
          <w:spacing w:val="-9"/>
          <w:w w:val="105"/>
        </w:rPr>
        <w:t xml:space="preserve"> </w:t>
      </w:r>
      <w:r w:rsidRPr="0043610C">
        <w:rPr>
          <w:color w:val="000000" w:themeColor="text1"/>
          <w:w w:val="105"/>
        </w:rPr>
        <w:t>and</w:t>
      </w:r>
      <w:r w:rsidRPr="0043610C">
        <w:rPr>
          <w:color w:val="000000" w:themeColor="text1"/>
          <w:spacing w:val="-3"/>
          <w:w w:val="105"/>
        </w:rPr>
        <w:t xml:space="preserve"> </w:t>
      </w:r>
      <w:r w:rsidRPr="0043610C">
        <w:rPr>
          <w:color w:val="000000" w:themeColor="text1"/>
          <w:w w:val="105"/>
        </w:rPr>
        <w:t>present</w:t>
      </w:r>
      <w:r w:rsidRPr="0043610C">
        <w:rPr>
          <w:color w:val="000000" w:themeColor="text1"/>
          <w:spacing w:val="-6"/>
          <w:w w:val="105"/>
        </w:rPr>
        <w:t xml:space="preserve"> </w:t>
      </w:r>
      <w:r w:rsidRPr="0043610C">
        <w:rPr>
          <w:color w:val="000000" w:themeColor="text1"/>
          <w:w w:val="105"/>
        </w:rPr>
        <w:t>greater</w:t>
      </w:r>
      <w:r w:rsidRPr="0043610C">
        <w:rPr>
          <w:color w:val="000000" w:themeColor="text1"/>
          <w:spacing w:val="-8"/>
          <w:w w:val="105"/>
        </w:rPr>
        <w:t xml:space="preserve"> </w:t>
      </w:r>
      <w:r w:rsidRPr="0043610C">
        <w:rPr>
          <w:color w:val="000000" w:themeColor="text1"/>
          <w:w w:val="105"/>
        </w:rPr>
        <w:t>difficulty</w:t>
      </w:r>
      <w:r w:rsidRPr="0043610C">
        <w:rPr>
          <w:color w:val="000000" w:themeColor="text1"/>
          <w:spacing w:val="-7"/>
          <w:w w:val="105"/>
        </w:rPr>
        <w:t xml:space="preserve"> </w:t>
      </w:r>
      <w:r w:rsidRPr="0043610C">
        <w:rPr>
          <w:color w:val="000000" w:themeColor="text1"/>
          <w:w w:val="105"/>
        </w:rPr>
        <w:t>in</w:t>
      </w:r>
      <w:r w:rsidRPr="0043610C">
        <w:rPr>
          <w:color w:val="000000" w:themeColor="text1"/>
          <w:spacing w:val="-17"/>
          <w:w w:val="105"/>
        </w:rPr>
        <w:t xml:space="preserve"> </w:t>
      </w:r>
      <w:r w:rsidRPr="0043610C">
        <w:rPr>
          <w:color w:val="000000" w:themeColor="text1"/>
          <w:w w:val="105"/>
        </w:rPr>
        <w:t>appropriate</w:t>
      </w:r>
      <w:r w:rsidRPr="0043610C">
        <w:rPr>
          <w:color w:val="000000" w:themeColor="text1"/>
          <w:spacing w:val="-3"/>
          <w:w w:val="105"/>
        </w:rPr>
        <w:t xml:space="preserve"> </w:t>
      </w:r>
      <w:r w:rsidRPr="0043610C">
        <w:rPr>
          <w:color w:val="000000" w:themeColor="text1"/>
          <w:w w:val="105"/>
        </w:rPr>
        <w:t>translation.</w:t>
      </w:r>
    </w:p>
    <w:p w14:paraId="3F11C7E3" w14:textId="77777777" w:rsidR="00182DBA" w:rsidRPr="0043610C" w:rsidRDefault="00182DBA" w:rsidP="00182DBA">
      <w:pPr>
        <w:pStyle w:val="BodyText"/>
        <w:spacing w:line="252" w:lineRule="auto"/>
        <w:ind w:left="167" w:right="172" w:firstLine="3"/>
        <w:rPr>
          <w:color w:val="000000" w:themeColor="text1"/>
        </w:rPr>
      </w:pPr>
    </w:p>
    <w:p w14:paraId="0E88E049" w14:textId="7C16D7BA" w:rsidR="00182DBA" w:rsidRPr="0043610C" w:rsidRDefault="00182DBA" w:rsidP="00E6382B">
      <w:pPr>
        <w:pStyle w:val="BodyText"/>
        <w:spacing w:before="4"/>
        <w:ind w:left="420"/>
        <w:rPr>
          <w:color w:val="000000" w:themeColor="text1"/>
        </w:rPr>
      </w:pPr>
      <w:r w:rsidRPr="0043610C">
        <w:rPr>
          <w:color w:val="000000" w:themeColor="text1"/>
          <w:w w:val="105"/>
        </w:rPr>
        <w:t>Translations</w:t>
      </w:r>
      <w:r w:rsidRPr="0043610C">
        <w:rPr>
          <w:color w:val="000000" w:themeColor="text1"/>
          <w:spacing w:val="-3"/>
          <w:w w:val="105"/>
        </w:rPr>
        <w:t xml:space="preserve"> </w:t>
      </w:r>
      <w:r w:rsidRPr="0043610C">
        <w:rPr>
          <w:color w:val="000000" w:themeColor="text1"/>
          <w:w w:val="105"/>
        </w:rPr>
        <w:t>that</w:t>
      </w:r>
      <w:r w:rsidRPr="0043610C">
        <w:rPr>
          <w:color w:val="000000" w:themeColor="text1"/>
          <w:spacing w:val="-21"/>
          <w:w w:val="105"/>
        </w:rPr>
        <w:t xml:space="preserve"> </w:t>
      </w:r>
      <w:r w:rsidRPr="0043610C">
        <w:rPr>
          <w:color w:val="000000" w:themeColor="text1"/>
          <w:w w:val="105"/>
        </w:rPr>
        <w:t>respect</w:t>
      </w:r>
      <w:r w:rsidRPr="0043610C">
        <w:rPr>
          <w:color w:val="000000" w:themeColor="text1"/>
          <w:spacing w:val="-21"/>
          <w:w w:val="105"/>
        </w:rPr>
        <w:t xml:space="preserve"> </w:t>
      </w:r>
      <w:r w:rsidRPr="0043610C">
        <w:rPr>
          <w:color w:val="000000" w:themeColor="text1"/>
          <w:w w:val="105"/>
        </w:rPr>
        <w:t>human</w:t>
      </w:r>
      <w:r w:rsidRPr="0043610C">
        <w:rPr>
          <w:color w:val="000000" w:themeColor="text1"/>
          <w:spacing w:val="-12"/>
          <w:w w:val="105"/>
        </w:rPr>
        <w:t xml:space="preserve"> </w:t>
      </w:r>
      <w:r w:rsidRPr="0043610C">
        <w:rPr>
          <w:color w:val="000000" w:themeColor="text1"/>
          <w:w w:val="105"/>
        </w:rPr>
        <w:t>diversity</w:t>
      </w:r>
      <w:r w:rsidRPr="0043610C">
        <w:rPr>
          <w:color w:val="000000" w:themeColor="text1"/>
          <w:spacing w:val="-4"/>
          <w:w w:val="105"/>
        </w:rPr>
        <w:t xml:space="preserve"> </w:t>
      </w:r>
      <w:r w:rsidRPr="0043610C">
        <w:rPr>
          <w:color w:val="000000" w:themeColor="text1"/>
          <w:w w:val="105"/>
        </w:rPr>
        <w:t>and</w:t>
      </w:r>
      <w:r w:rsidRPr="0043610C">
        <w:rPr>
          <w:color w:val="000000" w:themeColor="text1"/>
          <w:spacing w:val="-14"/>
          <w:w w:val="105"/>
        </w:rPr>
        <w:t xml:space="preserve"> </w:t>
      </w:r>
      <w:r w:rsidRPr="0043610C">
        <w:rPr>
          <w:color w:val="000000" w:themeColor="text1"/>
          <w:w w:val="105"/>
        </w:rPr>
        <w:t>divine</w:t>
      </w:r>
      <w:r w:rsidRPr="0043610C">
        <w:rPr>
          <w:color w:val="000000" w:themeColor="text1"/>
          <w:spacing w:val="-16"/>
          <w:w w:val="105"/>
        </w:rPr>
        <w:t xml:space="preserve"> </w:t>
      </w:r>
      <w:r w:rsidRPr="0043610C">
        <w:rPr>
          <w:color w:val="000000" w:themeColor="text1"/>
          <w:w w:val="105"/>
        </w:rPr>
        <w:t>mystery</w:t>
      </w:r>
      <w:r w:rsidRPr="0043610C">
        <w:rPr>
          <w:color w:val="000000" w:themeColor="text1"/>
          <w:spacing w:val="-8"/>
          <w:w w:val="105"/>
        </w:rPr>
        <w:t xml:space="preserve"> </w:t>
      </w:r>
      <w:r w:rsidRPr="0043610C">
        <w:rPr>
          <w:color w:val="000000" w:themeColor="text1"/>
          <w:w w:val="105"/>
        </w:rPr>
        <w:t>rest</w:t>
      </w:r>
      <w:r w:rsidRPr="0043610C">
        <w:rPr>
          <w:color w:val="000000" w:themeColor="text1"/>
          <w:spacing w:val="-18"/>
          <w:w w:val="105"/>
        </w:rPr>
        <w:t xml:space="preserve"> </w:t>
      </w:r>
      <w:r w:rsidRPr="0043610C">
        <w:rPr>
          <w:color w:val="000000" w:themeColor="text1"/>
          <w:w w:val="105"/>
        </w:rPr>
        <w:t>on</w:t>
      </w:r>
      <w:r w:rsidRPr="0043610C">
        <w:rPr>
          <w:color w:val="000000" w:themeColor="text1"/>
          <w:spacing w:val="-23"/>
          <w:w w:val="105"/>
        </w:rPr>
        <w:t xml:space="preserve"> </w:t>
      </w:r>
      <w:r w:rsidRPr="0043610C">
        <w:rPr>
          <w:color w:val="000000" w:themeColor="text1"/>
          <w:w w:val="105"/>
        </w:rPr>
        <w:t>several</w:t>
      </w:r>
      <w:r w:rsidRPr="0043610C">
        <w:rPr>
          <w:color w:val="000000" w:themeColor="text1"/>
          <w:spacing w:val="-8"/>
          <w:w w:val="105"/>
        </w:rPr>
        <w:t xml:space="preserve"> </w:t>
      </w:r>
      <w:r w:rsidRPr="0043610C">
        <w:rPr>
          <w:color w:val="000000" w:themeColor="text1"/>
          <w:w w:val="105"/>
        </w:rPr>
        <w:t>assumptions:</w:t>
      </w:r>
      <w:r w:rsidRPr="0043610C">
        <w:rPr>
          <w:color w:val="000000" w:themeColor="text1"/>
        </w:rPr>
        <w:t xml:space="preserve"> </w:t>
      </w:r>
      <w:r w:rsidRPr="0043610C">
        <w:rPr>
          <w:color w:val="000000" w:themeColor="text1"/>
          <w:w w:val="105"/>
        </w:rPr>
        <w:t>religious faith rests on a diversity of images of God, some of which are gendered and some of which are not; (b) translation is an ongoing</w:t>
      </w:r>
      <w:r w:rsidRPr="0043610C">
        <w:rPr>
          <w:color w:val="000000" w:themeColor="text1"/>
          <w:spacing w:val="-10"/>
          <w:w w:val="105"/>
        </w:rPr>
        <w:t xml:space="preserve"> </w:t>
      </w:r>
      <w:r w:rsidRPr="0043610C">
        <w:rPr>
          <w:color w:val="000000" w:themeColor="text1"/>
          <w:w w:val="105"/>
        </w:rPr>
        <w:t>process,</w:t>
      </w:r>
      <w:r w:rsidRPr="0043610C">
        <w:rPr>
          <w:color w:val="000000" w:themeColor="text1"/>
          <w:spacing w:val="-7"/>
          <w:w w:val="105"/>
        </w:rPr>
        <w:t xml:space="preserve"> </w:t>
      </w:r>
      <w:r w:rsidRPr="0043610C">
        <w:rPr>
          <w:color w:val="000000" w:themeColor="text1"/>
          <w:w w:val="105"/>
        </w:rPr>
        <w:t>and</w:t>
      </w:r>
      <w:r w:rsidRPr="0043610C">
        <w:rPr>
          <w:color w:val="000000" w:themeColor="text1"/>
          <w:spacing w:val="1"/>
          <w:w w:val="105"/>
        </w:rPr>
        <w:t xml:space="preserve"> </w:t>
      </w:r>
      <w:r w:rsidRPr="0043610C">
        <w:rPr>
          <w:color w:val="000000" w:themeColor="text1"/>
          <w:w w:val="105"/>
        </w:rPr>
        <w:t>the</w:t>
      </w:r>
      <w:r w:rsidRPr="0043610C">
        <w:rPr>
          <w:color w:val="000000" w:themeColor="text1"/>
          <w:spacing w:val="-6"/>
          <w:w w:val="105"/>
        </w:rPr>
        <w:t xml:space="preserve"> </w:t>
      </w:r>
      <w:r w:rsidRPr="0043610C">
        <w:rPr>
          <w:color w:val="000000" w:themeColor="text1"/>
          <w:w w:val="105"/>
        </w:rPr>
        <w:t>authority</w:t>
      </w:r>
      <w:r w:rsidRPr="0043610C">
        <w:rPr>
          <w:color w:val="000000" w:themeColor="text1"/>
          <w:spacing w:val="-1"/>
          <w:w w:val="105"/>
        </w:rPr>
        <w:t xml:space="preserve"> </w:t>
      </w:r>
      <w:r w:rsidRPr="0043610C">
        <w:rPr>
          <w:color w:val="000000" w:themeColor="text1"/>
          <w:w w:val="105"/>
        </w:rPr>
        <w:t>of</w:t>
      </w:r>
      <w:r w:rsidRPr="0043610C">
        <w:rPr>
          <w:color w:val="000000" w:themeColor="text1"/>
          <w:spacing w:val="-8"/>
          <w:w w:val="105"/>
        </w:rPr>
        <w:t xml:space="preserve"> </w:t>
      </w:r>
      <w:r w:rsidRPr="0043610C">
        <w:rPr>
          <w:color w:val="000000" w:themeColor="text1"/>
          <w:w w:val="105"/>
        </w:rPr>
        <w:t>the</w:t>
      </w:r>
      <w:r w:rsidRPr="0043610C">
        <w:rPr>
          <w:color w:val="000000" w:themeColor="text1"/>
          <w:spacing w:val="-8"/>
          <w:w w:val="105"/>
        </w:rPr>
        <w:t xml:space="preserve"> t</w:t>
      </w:r>
      <w:r w:rsidRPr="0043610C">
        <w:rPr>
          <w:color w:val="000000" w:themeColor="text1"/>
          <w:w w:val="105"/>
        </w:rPr>
        <w:t>ext</w:t>
      </w:r>
      <w:r w:rsidRPr="0043610C">
        <w:rPr>
          <w:color w:val="000000" w:themeColor="text1"/>
          <w:spacing w:val="-7"/>
          <w:w w:val="105"/>
        </w:rPr>
        <w:t xml:space="preserve"> </w:t>
      </w:r>
      <w:r w:rsidRPr="0043610C">
        <w:rPr>
          <w:color w:val="000000" w:themeColor="text1"/>
          <w:w w:val="105"/>
        </w:rPr>
        <w:t>does</w:t>
      </w:r>
      <w:r w:rsidRPr="0043610C">
        <w:rPr>
          <w:color w:val="000000" w:themeColor="text1"/>
          <w:spacing w:val="-5"/>
          <w:w w:val="105"/>
        </w:rPr>
        <w:t xml:space="preserve"> </w:t>
      </w:r>
      <w:r w:rsidRPr="0043610C">
        <w:rPr>
          <w:color w:val="000000" w:themeColor="text1"/>
          <w:w w:val="105"/>
        </w:rPr>
        <w:t>not</w:t>
      </w:r>
      <w:r w:rsidRPr="0043610C">
        <w:rPr>
          <w:color w:val="000000" w:themeColor="text1"/>
          <w:spacing w:val="-9"/>
          <w:w w:val="105"/>
        </w:rPr>
        <w:t xml:space="preserve"> </w:t>
      </w:r>
      <w:r w:rsidRPr="0043610C">
        <w:rPr>
          <w:color w:val="000000" w:themeColor="text1"/>
          <w:w w:val="105"/>
        </w:rPr>
        <w:t>rest</w:t>
      </w:r>
      <w:r w:rsidRPr="0043610C">
        <w:rPr>
          <w:color w:val="000000" w:themeColor="text1"/>
          <w:spacing w:val="-8"/>
          <w:w w:val="105"/>
        </w:rPr>
        <w:t xml:space="preserve"> </w:t>
      </w:r>
      <w:r w:rsidRPr="0043610C">
        <w:rPr>
          <w:color w:val="000000" w:themeColor="text1"/>
          <w:w w:val="105"/>
        </w:rPr>
        <w:t>on</w:t>
      </w:r>
      <w:r w:rsidRPr="0043610C">
        <w:rPr>
          <w:color w:val="000000" w:themeColor="text1"/>
          <w:spacing w:val="-12"/>
          <w:w w:val="105"/>
        </w:rPr>
        <w:t xml:space="preserve"> </w:t>
      </w:r>
      <w:r w:rsidRPr="0043610C">
        <w:rPr>
          <w:color w:val="000000" w:themeColor="text1"/>
          <w:w w:val="105"/>
        </w:rPr>
        <w:t>the</w:t>
      </w:r>
      <w:r w:rsidRPr="0043610C">
        <w:rPr>
          <w:color w:val="000000" w:themeColor="text1"/>
          <w:spacing w:val="-14"/>
          <w:w w:val="105"/>
        </w:rPr>
        <w:t xml:space="preserve"> </w:t>
      </w:r>
      <w:r w:rsidRPr="0043610C">
        <w:rPr>
          <w:color w:val="000000" w:themeColor="text1"/>
          <w:w w:val="105"/>
        </w:rPr>
        <w:t>actual</w:t>
      </w:r>
      <w:r w:rsidRPr="0043610C">
        <w:rPr>
          <w:color w:val="000000" w:themeColor="text1"/>
          <w:spacing w:val="1"/>
          <w:w w:val="105"/>
        </w:rPr>
        <w:t xml:space="preserve"> </w:t>
      </w:r>
      <w:r w:rsidRPr="0043610C">
        <w:rPr>
          <w:color w:val="000000" w:themeColor="text1"/>
          <w:w w:val="105"/>
        </w:rPr>
        <w:t>words</w:t>
      </w:r>
      <w:r w:rsidRPr="0043610C">
        <w:rPr>
          <w:color w:val="000000" w:themeColor="text1"/>
          <w:spacing w:val="-2"/>
          <w:w w:val="105"/>
        </w:rPr>
        <w:t xml:space="preserve"> </w:t>
      </w:r>
      <w:r w:rsidRPr="0043610C">
        <w:rPr>
          <w:color w:val="000000" w:themeColor="text1"/>
          <w:w w:val="105"/>
        </w:rPr>
        <w:t>of</w:t>
      </w:r>
      <w:r w:rsidRPr="0043610C">
        <w:rPr>
          <w:color w:val="000000" w:themeColor="text1"/>
          <w:spacing w:val="-8"/>
          <w:w w:val="105"/>
        </w:rPr>
        <w:t xml:space="preserve"> </w:t>
      </w:r>
      <w:r w:rsidRPr="0043610C">
        <w:rPr>
          <w:color w:val="000000" w:themeColor="text1"/>
          <w:w w:val="105"/>
        </w:rPr>
        <w:t>the</w:t>
      </w:r>
      <w:r w:rsidRPr="0043610C">
        <w:rPr>
          <w:color w:val="000000" w:themeColor="text1"/>
          <w:spacing w:val="-17"/>
          <w:w w:val="105"/>
        </w:rPr>
        <w:t xml:space="preserve"> </w:t>
      </w:r>
      <w:r w:rsidRPr="0043610C">
        <w:rPr>
          <w:color w:val="000000" w:themeColor="text1"/>
          <w:w w:val="105"/>
        </w:rPr>
        <w:t>text;</w:t>
      </w:r>
      <w:r w:rsidRPr="0043610C">
        <w:rPr>
          <w:color w:val="000000" w:themeColor="text1"/>
        </w:rPr>
        <w:t xml:space="preserve"> </w:t>
      </w:r>
      <w:r w:rsidRPr="0043610C">
        <w:rPr>
          <w:color w:val="000000" w:themeColor="text1"/>
          <w:w w:val="105"/>
        </w:rPr>
        <w:t>(c)</w:t>
      </w:r>
      <w:r w:rsidRPr="0043610C">
        <w:rPr>
          <w:color w:val="000000" w:themeColor="text1"/>
          <w:spacing w:val="-17"/>
          <w:w w:val="105"/>
        </w:rPr>
        <w:t xml:space="preserve"> </w:t>
      </w:r>
      <w:r w:rsidRPr="0043610C">
        <w:rPr>
          <w:color w:val="000000" w:themeColor="text1"/>
          <w:w w:val="105"/>
        </w:rPr>
        <w:t>many</w:t>
      </w:r>
      <w:r w:rsidRPr="0043610C">
        <w:rPr>
          <w:color w:val="000000" w:themeColor="text1"/>
          <w:spacing w:val="-16"/>
          <w:w w:val="105"/>
        </w:rPr>
        <w:t xml:space="preserve"> </w:t>
      </w:r>
      <w:r w:rsidRPr="0043610C">
        <w:rPr>
          <w:color w:val="000000" w:themeColor="text1"/>
          <w:w w:val="105"/>
        </w:rPr>
        <w:t>regard</w:t>
      </w:r>
      <w:r w:rsidRPr="0043610C">
        <w:rPr>
          <w:color w:val="000000" w:themeColor="text1"/>
          <w:spacing w:val="-8"/>
          <w:w w:val="105"/>
        </w:rPr>
        <w:t xml:space="preserve"> </w:t>
      </w:r>
      <w:r w:rsidRPr="0043610C">
        <w:rPr>
          <w:color w:val="000000" w:themeColor="text1"/>
          <w:w w:val="105"/>
        </w:rPr>
        <w:t>some</w:t>
      </w:r>
      <w:r w:rsidRPr="0043610C">
        <w:rPr>
          <w:color w:val="000000" w:themeColor="text1"/>
          <w:spacing w:val="-8"/>
          <w:w w:val="105"/>
        </w:rPr>
        <w:t xml:space="preserve"> </w:t>
      </w:r>
      <w:r w:rsidRPr="0043610C">
        <w:rPr>
          <w:color w:val="000000" w:themeColor="text1"/>
          <w:w w:val="105"/>
        </w:rPr>
        <w:t>texts</w:t>
      </w:r>
      <w:r w:rsidRPr="0043610C">
        <w:rPr>
          <w:color w:val="000000" w:themeColor="text1"/>
          <w:spacing w:val="-10"/>
          <w:w w:val="105"/>
        </w:rPr>
        <w:t xml:space="preserve"> </w:t>
      </w:r>
      <w:r w:rsidRPr="0043610C">
        <w:rPr>
          <w:color w:val="000000" w:themeColor="text1"/>
          <w:w w:val="105"/>
        </w:rPr>
        <w:t>as</w:t>
      </w:r>
      <w:r w:rsidRPr="0043610C">
        <w:rPr>
          <w:color w:val="000000" w:themeColor="text1"/>
          <w:spacing w:val="-16"/>
          <w:w w:val="105"/>
        </w:rPr>
        <w:t xml:space="preserve"> </w:t>
      </w:r>
      <w:r w:rsidRPr="0043610C">
        <w:rPr>
          <w:color w:val="000000" w:themeColor="text1"/>
          <w:w w:val="105"/>
        </w:rPr>
        <w:t>revelatory</w:t>
      </w:r>
      <w:r w:rsidRPr="0043610C">
        <w:rPr>
          <w:color w:val="000000" w:themeColor="text1"/>
          <w:spacing w:val="4"/>
          <w:w w:val="105"/>
        </w:rPr>
        <w:t xml:space="preserve"> </w:t>
      </w:r>
      <w:r w:rsidRPr="0043610C">
        <w:rPr>
          <w:color w:val="000000" w:themeColor="text1"/>
          <w:w w:val="105"/>
        </w:rPr>
        <w:t>and</w:t>
      </w:r>
      <w:r w:rsidRPr="0043610C">
        <w:rPr>
          <w:color w:val="000000" w:themeColor="text1"/>
          <w:spacing w:val="-11"/>
          <w:w w:val="105"/>
        </w:rPr>
        <w:t xml:space="preserve"> </w:t>
      </w:r>
      <w:r w:rsidRPr="0043610C">
        <w:rPr>
          <w:color w:val="000000" w:themeColor="text1"/>
          <w:w w:val="105"/>
        </w:rPr>
        <w:t>some</w:t>
      </w:r>
      <w:r w:rsidRPr="0043610C">
        <w:rPr>
          <w:color w:val="000000" w:themeColor="text1"/>
          <w:spacing w:val="-4"/>
          <w:w w:val="105"/>
        </w:rPr>
        <w:t xml:space="preserve"> </w:t>
      </w:r>
      <w:r w:rsidRPr="0043610C">
        <w:rPr>
          <w:color w:val="000000" w:themeColor="text1"/>
          <w:w w:val="105"/>
        </w:rPr>
        <w:t>texts</w:t>
      </w:r>
      <w:r w:rsidRPr="0043610C">
        <w:rPr>
          <w:color w:val="000000" w:themeColor="text1"/>
          <w:spacing w:val="-10"/>
          <w:w w:val="105"/>
        </w:rPr>
        <w:t xml:space="preserve"> </w:t>
      </w:r>
      <w:r w:rsidRPr="0043610C">
        <w:rPr>
          <w:color w:val="000000" w:themeColor="text1"/>
          <w:w w:val="105"/>
        </w:rPr>
        <w:t>as</w:t>
      </w:r>
      <w:r w:rsidRPr="0043610C">
        <w:rPr>
          <w:color w:val="000000" w:themeColor="text1"/>
          <w:spacing w:val="-15"/>
          <w:w w:val="105"/>
        </w:rPr>
        <w:t xml:space="preserve"> </w:t>
      </w:r>
      <w:r w:rsidRPr="0043610C">
        <w:rPr>
          <w:color w:val="000000" w:themeColor="text1"/>
          <w:w w:val="105"/>
        </w:rPr>
        <w:t>counter-revelatory;</w:t>
      </w:r>
      <w:r w:rsidRPr="0043610C">
        <w:rPr>
          <w:color w:val="000000" w:themeColor="text1"/>
          <w:spacing w:val="-16"/>
          <w:w w:val="105"/>
        </w:rPr>
        <w:t xml:space="preserve"> </w:t>
      </w:r>
      <w:r w:rsidRPr="0043610C">
        <w:rPr>
          <w:color w:val="000000" w:themeColor="text1"/>
          <w:w w:val="105"/>
        </w:rPr>
        <w:t>and</w:t>
      </w:r>
      <w:r w:rsidRPr="0043610C">
        <w:rPr>
          <w:color w:val="000000" w:themeColor="text1"/>
          <w:spacing w:val="-3"/>
          <w:w w:val="105"/>
        </w:rPr>
        <w:t xml:space="preserve"> </w:t>
      </w:r>
      <w:r w:rsidRPr="0043610C">
        <w:rPr>
          <w:color w:val="000000" w:themeColor="text1"/>
          <w:w w:val="105"/>
        </w:rPr>
        <w:t>(d) careful attention and due responsibility are necessary to counteract oppressive and destructive use of particular</w:t>
      </w:r>
      <w:r w:rsidRPr="0043610C">
        <w:rPr>
          <w:color w:val="000000" w:themeColor="text1"/>
          <w:spacing w:val="-18"/>
          <w:w w:val="105"/>
        </w:rPr>
        <w:t xml:space="preserve"> </w:t>
      </w:r>
      <w:r w:rsidRPr="0043610C">
        <w:rPr>
          <w:color w:val="000000" w:themeColor="text1"/>
          <w:w w:val="105"/>
        </w:rPr>
        <w:t xml:space="preserve">texts. </w:t>
      </w:r>
    </w:p>
    <w:p w14:paraId="3411136E" w14:textId="77777777" w:rsidR="00182DBA" w:rsidRPr="0043610C" w:rsidRDefault="00182DBA" w:rsidP="00182DBA">
      <w:pPr>
        <w:pStyle w:val="BodyText"/>
        <w:spacing w:before="9" w:line="249" w:lineRule="auto"/>
        <w:ind w:left="165" w:right="28"/>
        <w:rPr>
          <w:color w:val="000000" w:themeColor="text1"/>
          <w:w w:val="105"/>
        </w:rPr>
      </w:pPr>
    </w:p>
    <w:p w14:paraId="0E2344AC" w14:textId="74C03110" w:rsidR="00182DBA" w:rsidRPr="001D0C37" w:rsidRDefault="00182DBA" w:rsidP="0043610C">
      <w:pPr>
        <w:pStyle w:val="BodyText"/>
        <w:numPr>
          <w:ilvl w:val="0"/>
          <w:numId w:val="1"/>
        </w:numPr>
        <w:spacing w:before="9" w:line="249" w:lineRule="auto"/>
        <w:ind w:right="28"/>
        <w:rPr>
          <w:b/>
          <w:bCs/>
          <w:color w:val="000000" w:themeColor="text1"/>
        </w:rPr>
      </w:pPr>
      <w:r w:rsidRPr="001D0C37">
        <w:rPr>
          <w:b/>
          <w:bCs/>
          <w:color w:val="000000" w:themeColor="text1"/>
          <w:w w:val="105"/>
        </w:rPr>
        <w:lastRenderedPageBreak/>
        <w:t>Liturgy</w:t>
      </w:r>
      <w:r w:rsidR="0043610C" w:rsidRPr="001D0C37">
        <w:rPr>
          <w:b/>
          <w:bCs/>
          <w:color w:val="000000" w:themeColor="text1"/>
          <w:w w:val="105"/>
        </w:rPr>
        <w:t xml:space="preserve"> and Hymnody</w:t>
      </w:r>
    </w:p>
    <w:p w14:paraId="15F166DB" w14:textId="77777777" w:rsidR="0043610C" w:rsidRDefault="0043610C" w:rsidP="0043610C">
      <w:pPr>
        <w:pStyle w:val="BodyText"/>
        <w:spacing w:line="252" w:lineRule="auto"/>
        <w:ind w:right="237"/>
        <w:rPr>
          <w:color w:val="000000" w:themeColor="text1"/>
          <w:sz w:val="24"/>
        </w:rPr>
      </w:pPr>
    </w:p>
    <w:p w14:paraId="0C37115B" w14:textId="19C244A2" w:rsidR="00182DBA" w:rsidRPr="0043610C" w:rsidRDefault="00182DBA" w:rsidP="00E6382B">
      <w:pPr>
        <w:pStyle w:val="BodyText"/>
        <w:spacing w:line="252" w:lineRule="auto"/>
        <w:ind w:left="420" w:right="237"/>
        <w:rPr>
          <w:color w:val="000000" w:themeColor="text1"/>
          <w:w w:val="105"/>
        </w:rPr>
      </w:pPr>
      <w:r w:rsidRPr="0043610C">
        <w:rPr>
          <w:color w:val="000000" w:themeColor="text1"/>
          <w:w w:val="105"/>
        </w:rPr>
        <w:t xml:space="preserve">On the one hand, using expansive language for the sacred and inclusive language for people in liturgies </w:t>
      </w:r>
      <w:r w:rsidR="00BB534F">
        <w:rPr>
          <w:color w:val="000000" w:themeColor="text1"/>
          <w:w w:val="105"/>
        </w:rPr>
        <w:t xml:space="preserve">and hymns </w:t>
      </w:r>
      <w:r w:rsidRPr="0043610C">
        <w:rPr>
          <w:color w:val="000000" w:themeColor="text1"/>
          <w:w w:val="105"/>
        </w:rPr>
        <w:t xml:space="preserve">seems relatively simple, particularly in those traditions that have flexible liturgies. For many Christians, creeds, confessions, the Lord's Prayer, sermons, and hymns </w:t>
      </w:r>
      <w:r w:rsidR="007B262B">
        <w:rPr>
          <w:color w:val="000000" w:themeColor="text1"/>
          <w:w w:val="105"/>
        </w:rPr>
        <w:t>are deeply revered</w:t>
      </w:r>
      <w:r w:rsidRPr="0043610C">
        <w:rPr>
          <w:color w:val="000000" w:themeColor="text1"/>
          <w:w w:val="105"/>
        </w:rPr>
        <w:t>. Fortunately, new hymns and new hymnals have appeared</w:t>
      </w:r>
      <w:r w:rsidRPr="0043610C">
        <w:rPr>
          <w:color w:val="000000" w:themeColor="text1"/>
          <w:spacing w:val="-5"/>
          <w:w w:val="105"/>
        </w:rPr>
        <w:t xml:space="preserve"> </w:t>
      </w:r>
      <w:r w:rsidRPr="0043610C">
        <w:rPr>
          <w:color w:val="000000" w:themeColor="text1"/>
          <w:w w:val="105"/>
        </w:rPr>
        <w:t>over</w:t>
      </w:r>
      <w:r w:rsidRPr="0043610C">
        <w:rPr>
          <w:color w:val="000000" w:themeColor="text1"/>
          <w:spacing w:val="-10"/>
          <w:w w:val="105"/>
        </w:rPr>
        <w:t xml:space="preserve"> </w:t>
      </w:r>
      <w:r w:rsidRPr="0043610C">
        <w:rPr>
          <w:color w:val="000000" w:themeColor="text1"/>
          <w:w w:val="105"/>
        </w:rPr>
        <w:t>the</w:t>
      </w:r>
      <w:r w:rsidRPr="0043610C">
        <w:rPr>
          <w:color w:val="000000" w:themeColor="text1"/>
          <w:spacing w:val="-20"/>
          <w:w w:val="105"/>
        </w:rPr>
        <w:t xml:space="preserve"> </w:t>
      </w:r>
      <w:r w:rsidRPr="0043610C">
        <w:rPr>
          <w:color w:val="000000" w:themeColor="text1"/>
          <w:w w:val="105"/>
        </w:rPr>
        <w:t>past</w:t>
      </w:r>
      <w:r w:rsidRPr="0043610C">
        <w:rPr>
          <w:color w:val="000000" w:themeColor="text1"/>
          <w:spacing w:val="-11"/>
          <w:w w:val="105"/>
        </w:rPr>
        <w:t xml:space="preserve"> </w:t>
      </w:r>
      <w:r w:rsidRPr="0043610C">
        <w:rPr>
          <w:color w:val="000000" w:themeColor="text1"/>
          <w:w w:val="105"/>
        </w:rPr>
        <w:t>decades, including “Songs for the Holy Other,” a publication of the Hymn Society in the United States and Canada, of hymns affirming the LGBTQIA+ community.</w:t>
      </w:r>
      <w:r w:rsidRPr="0043610C">
        <w:rPr>
          <w:color w:val="000000" w:themeColor="text1"/>
          <w:spacing w:val="52"/>
          <w:w w:val="105"/>
        </w:rPr>
        <w:t xml:space="preserve"> </w:t>
      </w:r>
      <w:r w:rsidRPr="0043610C">
        <w:rPr>
          <w:color w:val="000000" w:themeColor="text1"/>
          <w:w w:val="105"/>
        </w:rPr>
        <w:t>Some</w:t>
      </w:r>
      <w:r w:rsidRPr="0043610C">
        <w:rPr>
          <w:color w:val="000000" w:themeColor="text1"/>
          <w:spacing w:val="-7"/>
          <w:w w:val="105"/>
        </w:rPr>
        <w:t xml:space="preserve"> </w:t>
      </w:r>
      <w:r w:rsidRPr="0043610C">
        <w:rPr>
          <w:color w:val="000000" w:themeColor="text1"/>
          <w:w w:val="105"/>
        </w:rPr>
        <w:t>ministers</w:t>
      </w:r>
      <w:r w:rsidRPr="0043610C">
        <w:rPr>
          <w:color w:val="000000" w:themeColor="text1"/>
          <w:spacing w:val="-4"/>
          <w:w w:val="105"/>
        </w:rPr>
        <w:t xml:space="preserve"> </w:t>
      </w:r>
      <w:r w:rsidRPr="0043610C">
        <w:rPr>
          <w:color w:val="000000" w:themeColor="text1"/>
          <w:w w:val="105"/>
        </w:rPr>
        <w:t>now</w:t>
      </w:r>
      <w:r w:rsidRPr="0043610C">
        <w:rPr>
          <w:color w:val="000000" w:themeColor="text1"/>
          <w:spacing w:val="-14"/>
          <w:w w:val="105"/>
        </w:rPr>
        <w:t xml:space="preserve"> </w:t>
      </w:r>
      <w:r w:rsidRPr="0043610C">
        <w:rPr>
          <w:color w:val="000000" w:themeColor="text1"/>
          <w:w w:val="105"/>
        </w:rPr>
        <w:t>attempt</w:t>
      </w:r>
      <w:r w:rsidRPr="0043610C">
        <w:rPr>
          <w:color w:val="000000" w:themeColor="text1"/>
          <w:spacing w:val="-11"/>
          <w:w w:val="105"/>
        </w:rPr>
        <w:t xml:space="preserve"> </w:t>
      </w:r>
      <w:r w:rsidRPr="0043610C">
        <w:rPr>
          <w:color w:val="000000" w:themeColor="text1"/>
          <w:w w:val="105"/>
        </w:rPr>
        <w:t>to</w:t>
      </w:r>
      <w:r w:rsidRPr="0043610C">
        <w:rPr>
          <w:color w:val="000000" w:themeColor="text1"/>
          <w:spacing w:val="-6"/>
          <w:w w:val="105"/>
        </w:rPr>
        <w:t xml:space="preserve"> </w:t>
      </w:r>
      <w:r w:rsidRPr="0043610C">
        <w:rPr>
          <w:color w:val="000000" w:themeColor="text1"/>
          <w:w w:val="105"/>
        </w:rPr>
        <w:t>use</w:t>
      </w:r>
      <w:r w:rsidRPr="0043610C">
        <w:rPr>
          <w:color w:val="000000" w:themeColor="text1"/>
          <w:spacing w:val="-15"/>
          <w:w w:val="105"/>
        </w:rPr>
        <w:t xml:space="preserve"> </w:t>
      </w:r>
      <w:r w:rsidRPr="0043610C">
        <w:rPr>
          <w:color w:val="000000" w:themeColor="text1"/>
          <w:w w:val="105"/>
        </w:rPr>
        <w:t>a wider</w:t>
      </w:r>
      <w:r w:rsidRPr="0043610C">
        <w:rPr>
          <w:color w:val="000000" w:themeColor="text1"/>
          <w:spacing w:val="-8"/>
          <w:w w:val="105"/>
        </w:rPr>
        <w:t xml:space="preserve"> </w:t>
      </w:r>
      <w:r w:rsidRPr="0043610C">
        <w:rPr>
          <w:color w:val="000000" w:themeColor="text1"/>
          <w:w w:val="105"/>
        </w:rPr>
        <w:t xml:space="preserve">diversity of examples and gender </w:t>
      </w:r>
      <w:proofErr w:type="spellStart"/>
      <w:r w:rsidRPr="0043610C">
        <w:rPr>
          <w:color w:val="000000" w:themeColor="text1"/>
          <w:w w:val="105"/>
        </w:rPr>
        <w:t>references</w:t>
      </w:r>
      <w:proofErr w:type="spellEnd"/>
      <w:r w:rsidRPr="0043610C">
        <w:rPr>
          <w:color w:val="000000" w:themeColor="text1"/>
          <w:w w:val="105"/>
        </w:rPr>
        <w:t xml:space="preserve"> in sermons and prayers. Change in creeds and confessions has progressed more</w:t>
      </w:r>
      <w:r w:rsidRPr="0043610C">
        <w:rPr>
          <w:color w:val="000000" w:themeColor="text1"/>
          <w:spacing w:val="-13"/>
          <w:w w:val="105"/>
        </w:rPr>
        <w:t xml:space="preserve"> </w:t>
      </w:r>
      <w:r w:rsidRPr="0043610C">
        <w:rPr>
          <w:color w:val="000000" w:themeColor="text1"/>
          <w:w w:val="105"/>
        </w:rPr>
        <w:t>slowly.</w:t>
      </w:r>
    </w:p>
    <w:p w14:paraId="5161CB6B" w14:textId="77777777" w:rsidR="0043610C" w:rsidRDefault="0043610C" w:rsidP="0043610C">
      <w:pPr>
        <w:pStyle w:val="BodyText"/>
        <w:spacing w:line="252" w:lineRule="auto"/>
        <w:ind w:right="242"/>
        <w:rPr>
          <w:color w:val="000000" w:themeColor="text1"/>
          <w:w w:val="105"/>
        </w:rPr>
      </w:pPr>
    </w:p>
    <w:p w14:paraId="5BF8C0EB" w14:textId="55868448" w:rsidR="0038143C" w:rsidRDefault="00182DBA" w:rsidP="007F5618">
      <w:pPr>
        <w:pStyle w:val="BodyText"/>
        <w:spacing w:line="252" w:lineRule="auto"/>
        <w:ind w:left="420" w:right="242"/>
        <w:rPr>
          <w:w w:val="105"/>
        </w:rPr>
      </w:pPr>
      <w:r w:rsidRPr="0043610C">
        <w:rPr>
          <w:color w:val="000000" w:themeColor="text1"/>
          <w:w w:val="105"/>
        </w:rPr>
        <w:t xml:space="preserve">Our attentiveness to religious and liturgical language touches on deeper matters related to theological understandings of key religious doctrines, traditions, and practices. In the past several decades, extensive research and publication related to questions of inclusivity have occurred not only </w:t>
      </w:r>
      <w:proofErr w:type="gramStart"/>
      <w:r w:rsidRPr="0043610C">
        <w:rPr>
          <w:color w:val="000000" w:themeColor="text1"/>
          <w:w w:val="105"/>
        </w:rPr>
        <w:t>in the area of</w:t>
      </w:r>
      <w:proofErr w:type="gramEnd"/>
      <w:r w:rsidRPr="0043610C">
        <w:rPr>
          <w:color w:val="000000" w:themeColor="text1"/>
          <w:w w:val="105"/>
        </w:rPr>
        <w:t xml:space="preserve"> language and worship, but also in several areas of religious studies. In writing or utilizing liturgy, we </w:t>
      </w:r>
      <w:r w:rsidR="00CE5268">
        <w:rPr>
          <w:color w:val="000000" w:themeColor="text1"/>
          <w:w w:val="105"/>
        </w:rPr>
        <w:t xml:space="preserve">encourage our community to </w:t>
      </w:r>
      <w:r w:rsidRPr="0043610C">
        <w:rPr>
          <w:color w:val="000000" w:themeColor="text1"/>
          <w:w w:val="105"/>
        </w:rPr>
        <w:t xml:space="preserve">commit to educating ourselves and one another on the </w:t>
      </w:r>
      <w:proofErr w:type="gramStart"/>
      <w:r w:rsidR="00CE5268">
        <w:rPr>
          <w:color w:val="000000" w:themeColor="text1"/>
          <w:w w:val="105"/>
        </w:rPr>
        <w:t>roles</w:t>
      </w:r>
      <w:proofErr w:type="gramEnd"/>
      <w:r w:rsidRPr="0043610C">
        <w:rPr>
          <w:color w:val="000000" w:themeColor="text1"/>
          <w:w w:val="105"/>
        </w:rPr>
        <w:t xml:space="preserve"> language plays </w:t>
      </w:r>
      <w:r w:rsidR="00CE6F73">
        <w:rPr>
          <w:color w:val="000000" w:themeColor="text1"/>
          <w:w w:val="105"/>
        </w:rPr>
        <w:t xml:space="preserve">not only </w:t>
      </w:r>
      <w:r w:rsidRPr="0043610C">
        <w:rPr>
          <w:color w:val="000000" w:themeColor="text1"/>
          <w:w w:val="105"/>
        </w:rPr>
        <w:t xml:space="preserve">in power arrangements, </w:t>
      </w:r>
      <w:r w:rsidR="00CE6F73">
        <w:rPr>
          <w:color w:val="000000" w:themeColor="text1"/>
          <w:w w:val="105"/>
        </w:rPr>
        <w:t xml:space="preserve">but in sparking </w:t>
      </w:r>
      <w:r w:rsidRPr="0043610C">
        <w:rPr>
          <w:color w:val="000000" w:themeColor="text1"/>
          <w:w w:val="105"/>
        </w:rPr>
        <w:t xml:space="preserve">imagination, and </w:t>
      </w:r>
      <w:r w:rsidR="00CE6F73">
        <w:rPr>
          <w:color w:val="000000" w:themeColor="text1"/>
          <w:w w:val="105"/>
        </w:rPr>
        <w:t xml:space="preserve">evoking </w:t>
      </w:r>
      <w:r w:rsidRPr="0043610C">
        <w:rPr>
          <w:color w:val="000000" w:themeColor="text1"/>
          <w:w w:val="105"/>
        </w:rPr>
        <w:t>mystery.</w:t>
      </w:r>
      <w:r w:rsidR="00E24F7C">
        <w:rPr>
          <w:color w:val="000000" w:themeColor="text1"/>
          <w:w w:val="105"/>
        </w:rPr>
        <w:t xml:space="preserve">  </w:t>
      </w:r>
      <w:r w:rsidR="00E24F7C" w:rsidRPr="00E24F7C">
        <w:t>A</w:t>
      </w:r>
      <w:r w:rsidR="00E24F7C" w:rsidRPr="00E24F7C">
        <w:rPr>
          <w:w w:val="105"/>
        </w:rPr>
        <w:t>ddressing inadequate and destructive language and expanding the range of possible terms and images is</w:t>
      </w:r>
      <w:r w:rsidR="001D24A7">
        <w:rPr>
          <w:w w:val="105"/>
        </w:rPr>
        <w:t>, after all,</w:t>
      </w:r>
      <w:r w:rsidR="00E24F7C" w:rsidRPr="00E24F7C">
        <w:rPr>
          <w:w w:val="105"/>
        </w:rPr>
        <w:t xml:space="preserve"> only the surface of broader ideological and structural transformations necessary to achieve genuine respect for and affirmation of</w:t>
      </w:r>
      <w:r w:rsidR="00E24F7C" w:rsidRPr="00E24F7C">
        <w:rPr>
          <w:spacing w:val="-6"/>
          <w:w w:val="105"/>
        </w:rPr>
        <w:t xml:space="preserve"> </w:t>
      </w:r>
      <w:r w:rsidR="00E24F7C" w:rsidRPr="00E24F7C">
        <w:rPr>
          <w:w w:val="105"/>
        </w:rPr>
        <w:t>diversity</w:t>
      </w:r>
      <w:r w:rsidR="00C44E32">
        <w:rPr>
          <w:w w:val="105"/>
        </w:rPr>
        <w:t xml:space="preserve"> and of the divine.</w:t>
      </w:r>
      <w:r w:rsidR="0038143C">
        <w:rPr>
          <w:w w:val="105"/>
        </w:rPr>
        <w:br w:type="page"/>
      </w:r>
    </w:p>
    <w:p w14:paraId="094F809D" w14:textId="77777777" w:rsidR="00DB1EBC" w:rsidRDefault="00DB1EBC" w:rsidP="00AF24CA">
      <w:pPr>
        <w:pStyle w:val="BodyText"/>
        <w:spacing w:before="75" w:line="254" w:lineRule="auto"/>
        <w:ind w:right="28"/>
        <w:rPr>
          <w:w w:val="105"/>
        </w:rPr>
      </w:pPr>
    </w:p>
    <w:p w14:paraId="65085C0E" w14:textId="77777777" w:rsidR="00797C1B" w:rsidRDefault="00797C1B" w:rsidP="00AF24CA">
      <w:pPr>
        <w:pStyle w:val="BodyText"/>
        <w:spacing w:before="75" w:line="254" w:lineRule="auto"/>
        <w:ind w:right="28"/>
        <w:rPr>
          <w:w w:val="105"/>
        </w:rPr>
      </w:pPr>
    </w:p>
    <w:p w14:paraId="563FAD68" w14:textId="77777777" w:rsidR="00AF24CA" w:rsidRDefault="00AF24CA" w:rsidP="00AF24CA">
      <w:pPr>
        <w:pStyle w:val="BodyText"/>
        <w:rPr>
          <w:sz w:val="37"/>
        </w:rPr>
      </w:pPr>
    </w:p>
    <w:sectPr w:rsidR="00AF24CA">
      <w:endnotePr>
        <w:numFmt w:val="decimal"/>
      </w:endnotePr>
      <w:pgSz w:w="12240" w:h="15840"/>
      <w:pgMar w:top="1340" w:right="1680" w:bottom="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1BEE1" w14:textId="77777777" w:rsidR="000C493A" w:rsidRDefault="000C493A" w:rsidP="000C493A">
      <w:r>
        <w:separator/>
      </w:r>
    </w:p>
  </w:endnote>
  <w:endnote w:type="continuationSeparator" w:id="0">
    <w:p w14:paraId="7B922C2E" w14:textId="77777777" w:rsidR="000C493A" w:rsidRDefault="000C493A" w:rsidP="000C493A">
      <w:r>
        <w:continuationSeparator/>
      </w:r>
    </w:p>
  </w:endnote>
  <w:endnote w:id="1">
    <w:p w14:paraId="6A2AD926" w14:textId="4522D4E3" w:rsidR="001F3589" w:rsidRPr="000C493A" w:rsidRDefault="001F3589">
      <w:pPr>
        <w:pStyle w:val="EndnoteText"/>
      </w:pPr>
      <w:r>
        <w:rPr>
          <w:rStyle w:val="EndnoteReference"/>
        </w:rPr>
        <w:endnoteRef/>
      </w:r>
      <w:r>
        <w:t xml:space="preserve"> Sallie McFague, </w:t>
      </w:r>
      <w:r>
        <w:rPr>
          <w:u w:val="single"/>
        </w:rPr>
        <w:t>Metaphorical Theology: Models of God in Religious Language</w:t>
      </w:r>
      <w:r>
        <w:t xml:space="preserve"> (Minneapolis, MN: Fortress Press, 1982). </w:t>
      </w:r>
    </w:p>
  </w:endnote>
  <w:endnote w:id="2">
    <w:p w14:paraId="7843E4C0" w14:textId="006AA439" w:rsidR="001F3589" w:rsidRDefault="001F3589">
      <w:pPr>
        <w:pStyle w:val="EndnoteText"/>
      </w:pPr>
      <w:r>
        <w:rPr>
          <w:rStyle w:val="EndnoteReference"/>
        </w:rPr>
        <w:endnoteRef/>
      </w:r>
      <w:r>
        <w:t xml:space="preserve"> We use “G-d” rather than “God” to respect the biblical admonishment particularly central to Judaism that the name of G-d is not to be spoken. </w:t>
      </w:r>
    </w:p>
  </w:endnote>
  <w:endnote w:id="3">
    <w:p w14:paraId="1C1596E4" w14:textId="45363557" w:rsidR="001F3589" w:rsidRDefault="001F3589">
      <w:pPr>
        <w:pStyle w:val="EndnoteText"/>
      </w:pPr>
      <w:r>
        <w:rPr>
          <w:rStyle w:val="EndnoteReference"/>
        </w:rPr>
        <w:endnoteRef/>
      </w:r>
      <w:r>
        <w:t xml:space="preserve"> Elisabeth Schüssler-Fiorenza, </w:t>
      </w:r>
      <w:r w:rsidRPr="0051577D">
        <w:rPr>
          <w:u w:val="single"/>
        </w:rPr>
        <w:t>But She Said: Feminist Practices of Biblical Interpretation</w:t>
      </w:r>
      <w:r>
        <w:t xml:space="preserve"> (Boston, MA: Beacon Press, 1992). </w:t>
      </w:r>
    </w:p>
    <w:p w14:paraId="3EB29AFE" w14:textId="77777777" w:rsidR="001F3589" w:rsidRDefault="001F3589">
      <w:pPr>
        <w:pStyle w:val="EndnoteText"/>
      </w:pPr>
    </w:p>
    <w:p w14:paraId="075E7488" w14:textId="77777777" w:rsidR="001F3589" w:rsidRDefault="001F3589">
      <w:pPr>
        <w:pStyle w:val="EndnoteText"/>
      </w:pPr>
    </w:p>
    <w:p w14:paraId="6D9F42CD" w14:textId="77777777" w:rsidR="001F3589" w:rsidRDefault="001F358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2B93D" w14:textId="77777777" w:rsidR="000C493A" w:rsidRDefault="000C493A" w:rsidP="000C493A">
      <w:r>
        <w:separator/>
      </w:r>
    </w:p>
  </w:footnote>
  <w:footnote w:type="continuationSeparator" w:id="0">
    <w:p w14:paraId="5C7B8876" w14:textId="77777777" w:rsidR="000C493A" w:rsidRDefault="000C493A" w:rsidP="000C4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24CCA"/>
    <w:multiLevelType w:val="hybridMultilevel"/>
    <w:tmpl w:val="33F22FE4"/>
    <w:lvl w:ilvl="0" w:tplc="E3FE1572">
      <w:start w:val="3"/>
      <w:numFmt w:val="decimal"/>
      <w:lvlText w:val="%1."/>
      <w:lvlJc w:val="left"/>
      <w:pPr>
        <w:ind w:left="450" w:hanging="360"/>
      </w:pPr>
      <w:rPr>
        <w:rFonts w:hint="default"/>
        <w:w w:val="105"/>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3BF62A0"/>
    <w:multiLevelType w:val="hybridMultilevel"/>
    <w:tmpl w:val="D40A2F6E"/>
    <w:lvl w:ilvl="0" w:tplc="DDBE5CDE">
      <w:start w:val="1"/>
      <w:numFmt w:val="decimal"/>
      <w:lvlText w:val="%1."/>
      <w:lvlJc w:val="left"/>
      <w:pPr>
        <w:ind w:left="510" w:hanging="240"/>
        <w:jc w:val="left"/>
      </w:pPr>
      <w:rPr>
        <w:rFonts w:ascii="Times New Roman" w:eastAsia="Times New Roman" w:hAnsi="Times New Roman" w:cs="Times New Roman" w:hint="default"/>
        <w:w w:val="109"/>
        <w:sz w:val="23"/>
        <w:szCs w:val="23"/>
      </w:rPr>
    </w:lvl>
    <w:lvl w:ilvl="1" w:tplc="078A8592">
      <w:numFmt w:val="bullet"/>
      <w:lvlText w:val="•"/>
      <w:lvlJc w:val="left"/>
      <w:pPr>
        <w:ind w:left="1364" w:hanging="240"/>
      </w:pPr>
      <w:rPr>
        <w:rFonts w:hint="default"/>
      </w:rPr>
    </w:lvl>
    <w:lvl w:ilvl="2" w:tplc="BD227A44">
      <w:numFmt w:val="bullet"/>
      <w:lvlText w:val="•"/>
      <w:lvlJc w:val="left"/>
      <w:pPr>
        <w:ind w:left="2216" w:hanging="240"/>
      </w:pPr>
      <w:rPr>
        <w:rFonts w:hint="default"/>
      </w:rPr>
    </w:lvl>
    <w:lvl w:ilvl="3" w:tplc="1DD84F62">
      <w:numFmt w:val="bullet"/>
      <w:lvlText w:val="•"/>
      <w:lvlJc w:val="left"/>
      <w:pPr>
        <w:ind w:left="3068" w:hanging="240"/>
      </w:pPr>
      <w:rPr>
        <w:rFonts w:hint="default"/>
      </w:rPr>
    </w:lvl>
    <w:lvl w:ilvl="4" w:tplc="CE008648">
      <w:numFmt w:val="bullet"/>
      <w:lvlText w:val="•"/>
      <w:lvlJc w:val="left"/>
      <w:pPr>
        <w:ind w:left="3920" w:hanging="240"/>
      </w:pPr>
      <w:rPr>
        <w:rFonts w:hint="default"/>
      </w:rPr>
    </w:lvl>
    <w:lvl w:ilvl="5" w:tplc="17B0062A">
      <w:numFmt w:val="bullet"/>
      <w:lvlText w:val="•"/>
      <w:lvlJc w:val="left"/>
      <w:pPr>
        <w:ind w:left="4772" w:hanging="240"/>
      </w:pPr>
      <w:rPr>
        <w:rFonts w:hint="default"/>
      </w:rPr>
    </w:lvl>
    <w:lvl w:ilvl="6" w:tplc="EF16D87E">
      <w:numFmt w:val="bullet"/>
      <w:lvlText w:val="•"/>
      <w:lvlJc w:val="left"/>
      <w:pPr>
        <w:ind w:left="5624" w:hanging="240"/>
      </w:pPr>
      <w:rPr>
        <w:rFonts w:hint="default"/>
      </w:rPr>
    </w:lvl>
    <w:lvl w:ilvl="7" w:tplc="0020049E">
      <w:numFmt w:val="bullet"/>
      <w:lvlText w:val="•"/>
      <w:lvlJc w:val="left"/>
      <w:pPr>
        <w:ind w:left="6476" w:hanging="240"/>
      </w:pPr>
      <w:rPr>
        <w:rFonts w:hint="default"/>
      </w:rPr>
    </w:lvl>
    <w:lvl w:ilvl="8" w:tplc="79D2DAD0">
      <w:numFmt w:val="bullet"/>
      <w:lvlText w:val="•"/>
      <w:lvlJc w:val="left"/>
      <w:pPr>
        <w:ind w:left="7328" w:hanging="240"/>
      </w:pPr>
      <w:rPr>
        <w:rFonts w:hint="default"/>
      </w:rPr>
    </w:lvl>
  </w:abstractNum>
  <w:abstractNum w:abstractNumId="2" w15:restartNumberingAfterBreak="0">
    <w:nsid w:val="36965F05"/>
    <w:multiLevelType w:val="hybridMultilevel"/>
    <w:tmpl w:val="D40A2F6E"/>
    <w:lvl w:ilvl="0" w:tplc="FFFFFFFF">
      <w:start w:val="1"/>
      <w:numFmt w:val="decimal"/>
      <w:lvlText w:val="%1."/>
      <w:lvlJc w:val="left"/>
      <w:pPr>
        <w:ind w:left="240" w:hanging="240"/>
        <w:jc w:val="left"/>
      </w:pPr>
      <w:rPr>
        <w:rFonts w:ascii="Times New Roman" w:eastAsia="Times New Roman" w:hAnsi="Times New Roman" w:cs="Times New Roman" w:hint="default"/>
        <w:w w:val="109"/>
        <w:sz w:val="23"/>
        <w:szCs w:val="23"/>
      </w:rPr>
    </w:lvl>
    <w:lvl w:ilvl="1" w:tplc="FFFFFFFF">
      <w:numFmt w:val="bullet"/>
      <w:lvlText w:val="•"/>
      <w:lvlJc w:val="left"/>
      <w:pPr>
        <w:ind w:left="1094" w:hanging="240"/>
      </w:pPr>
      <w:rPr>
        <w:rFonts w:hint="default"/>
      </w:rPr>
    </w:lvl>
    <w:lvl w:ilvl="2" w:tplc="FFFFFFFF">
      <w:numFmt w:val="bullet"/>
      <w:lvlText w:val="•"/>
      <w:lvlJc w:val="left"/>
      <w:pPr>
        <w:ind w:left="1946" w:hanging="240"/>
      </w:pPr>
      <w:rPr>
        <w:rFonts w:hint="default"/>
      </w:rPr>
    </w:lvl>
    <w:lvl w:ilvl="3" w:tplc="FFFFFFFF">
      <w:numFmt w:val="bullet"/>
      <w:lvlText w:val="•"/>
      <w:lvlJc w:val="left"/>
      <w:pPr>
        <w:ind w:left="2798" w:hanging="240"/>
      </w:pPr>
      <w:rPr>
        <w:rFonts w:hint="default"/>
      </w:rPr>
    </w:lvl>
    <w:lvl w:ilvl="4" w:tplc="FFFFFFFF">
      <w:numFmt w:val="bullet"/>
      <w:lvlText w:val="•"/>
      <w:lvlJc w:val="left"/>
      <w:pPr>
        <w:ind w:left="3650" w:hanging="240"/>
      </w:pPr>
      <w:rPr>
        <w:rFonts w:hint="default"/>
      </w:rPr>
    </w:lvl>
    <w:lvl w:ilvl="5" w:tplc="FFFFFFFF">
      <w:numFmt w:val="bullet"/>
      <w:lvlText w:val="•"/>
      <w:lvlJc w:val="left"/>
      <w:pPr>
        <w:ind w:left="4502" w:hanging="240"/>
      </w:pPr>
      <w:rPr>
        <w:rFonts w:hint="default"/>
      </w:rPr>
    </w:lvl>
    <w:lvl w:ilvl="6" w:tplc="FFFFFFFF">
      <w:numFmt w:val="bullet"/>
      <w:lvlText w:val="•"/>
      <w:lvlJc w:val="left"/>
      <w:pPr>
        <w:ind w:left="5354" w:hanging="240"/>
      </w:pPr>
      <w:rPr>
        <w:rFonts w:hint="default"/>
      </w:rPr>
    </w:lvl>
    <w:lvl w:ilvl="7" w:tplc="FFFFFFFF">
      <w:numFmt w:val="bullet"/>
      <w:lvlText w:val="•"/>
      <w:lvlJc w:val="left"/>
      <w:pPr>
        <w:ind w:left="6206" w:hanging="240"/>
      </w:pPr>
      <w:rPr>
        <w:rFonts w:hint="default"/>
      </w:rPr>
    </w:lvl>
    <w:lvl w:ilvl="8" w:tplc="FFFFFFFF">
      <w:numFmt w:val="bullet"/>
      <w:lvlText w:val="•"/>
      <w:lvlJc w:val="left"/>
      <w:pPr>
        <w:ind w:left="7058" w:hanging="240"/>
      </w:pPr>
      <w:rPr>
        <w:rFonts w:hint="default"/>
      </w:rPr>
    </w:lvl>
  </w:abstractNum>
  <w:abstractNum w:abstractNumId="3" w15:restartNumberingAfterBreak="0">
    <w:nsid w:val="38B24D5B"/>
    <w:multiLevelType w:val="hybridMultilevel"/>
    <w:tmpl w:val="DF543C18"/>
    <w:lvl w:ilvl="0" w:tplc="F7D2EBE8">
      <w:start w:val="1"/>
      <w:numFmt w:val="lowerLetter"/>
      <w:lvlText w:val="%1."/>
      <w:lvlJc w:val="left"/>
      <w:pPr>
        <w:ind w:left="993" w:hanging="379"/>
        <w:jc w:val="left"/>
      </w:pPr>
      <w:rPr>
        <w:rFonts w:ascii="Times New Roman" w:eastAsia="Times New Roman" w:hAnsi="Times New Roman" w:cs="Times New Roman" w:hint="default"/>
        <w:spacing w:val="-1"/>
        <w:w w:val="102"/>
        <w:sz w:val="23"/>
        <w:szCs w:val="23"/>
      </w:rPr>
    </w:lvl>
    <w:lvl w:ilvl="1" w:tplc="A09E35FE">
      <w:numFmt w:val="bullet"/>
      <w:lvlText w:val="•"/>
      <w:lvlJc w:val="left"/>
      <w:pPr>
        <w:ind w:left="1796" w:hanging="379"/>
      </w:pPr>
      <w:rPr>
        <w:rFonts w:hint="default"/>
      </w:rPr>
    </w:lvl>
    <w:lvl w:ilvl="2" w:tplc="C8BA336C">
      <w:numFmt w:val="bullet"/>
      <w:lvlText w:val="•"/>
      <w:lvlJc w:val="left"/>
      <w:pPr>
        <w:ind w:left="2592" w:hanging="379"/>
      </w:pPr>
      <w:rPr>
        <w:rFonts w:hint="default"/>
      </w:rPr>
    </w:lvl>
    <w:lvl w:ilvl="3" w:tplc="43A6A2E4">
      <w:numFmt w:val="bullet"/>
      <w:lvlText w:val="•"/>
      <w:lvlJc w:val="left"/>
      <w:pPr>
        <w:ind w:left="3388" w:hanging="379"/>
      </w:pPr>
      <w:rPr>
        <w:rFonts w:hint="default"/>
      </w:rPr>
    </w:lvl>
    <w:lvl w:ilvl="4" w:tplc="B2AE2D3C">
      <w:numFmt w:val="bullet"/>
      <w:lvlText w:val="•"/>
      <w:lvlJc w:val="left"/>
      <w:pPr>
        <w:ind w:left="4184" w:hanging="379"/>
      </w:pPr>
      <w:rPr>
        <w:rFonts w:hint="default"/>
      </w:rPr>
    </w:lvl>
    <w:lvl w:ilvl="5" w:tplc="D04C8EC4">
      <w:numFmt w:val="bullet"/>
      <w:lvlText w:val="•"/>
      <w:lvlJc w:val="left"/>
      <w:pPr>
        <w:ind w:left="4980" w:hanging="379"/>
      </w:pPr>
      <w:rPr>
        <w:rFonts w:hint="default"/>
      </w:rPr>
    </w:lvl>
    <w:lvl w:ilvl="6" w:tplc="A2700D38">
      <w:numFmt w:val="bullet"/>
      <w:lvlText w:val="•"/>
      <w:lvlJc w:val="left"/>
      <w:pPr>
        <w:ind w:left="5776" w:hanging="379"/>
      </w:pPr>
      <w:rPr>
        <w:rFonts w:hint="default"/>
      </w:rPr>
    </w:lvl>
    <w:lvl w:ilvl="7" w:tplc="95184E4A">
      <w:numFmt w:val="bullet"/>
      <w:lvlText w:val="•"/>
      <w:lvlJc w:val="left"/>
      <w:pPr>
        <w:ind w:left="6572" w:hanging="379"/>
      </w:pPr>
      <w:rPr>
        <w:rFonts w:hint="default"/>
      </w:rPr>
    </w:lvl>
    <w:lvl w:ilvl="8" w:tplc="E2323DEC">
      <w:numFmt w:val="bullet"/>
      <w:lvlText w:val="•"/>
      <w:lvlJc w:val="left"/>
      <w:pPr>
        <w:ind w:left="7368" w:hanging="379"/>
      </w:pPr>
      <w:rPr>
        <w:rFonts w:hint="default"/>
      </w:rPr>
    </w:lvl>
  </w:abstractNum>
  <w:abstractNum w:abstractNumId="4" w15:restartNumberingAfterBreak="0">
    <w:nsid w:val="7E933162"/>
    <w:multiLevelType w:val="hybridMultilevel"/>
    <w:tmpl w:val="15FA634C"/>
    <w:lvl w:ilvl="0" w:tplc="485EA096">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16cid:durableId="1660378312">
    <w:abstractNumId w:val="1"/>
  </w:num>
  <w:num w:numId="2" w16cid:durableId="213391914">
    <w:abstractNumId w:val="3"/>
  </w:num>
  <w:num w:numId="3" w16cid:durableId="164439130">
    <w:abstractNumId w:val="2"/>
  </w:num>
  <w:num w:numId="4" w16cid:durableId="1577596133">
    <w:abstractNumId w:val="0"/>
  </w:num>
  <w:num w:numId="5" w16cid:durableId="1707830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7F"/>
    <w:rsid w:val="000565DF"/>
    <w:rsid w:val="00072737"/>
    <w:rsid w:val="00072D75"/>
    <w:rsid w:val="00091BF8"/>
    <w:rsid w:val="000C493A"/>
    <w:rsid w:val="000E19D3"/>
    <w:rsid w:val="00102626"/>
    <w:rsid w:val="001242A0"/>
    <w:rsid w:val="00126005"/>
    <w:rsid w:val="00137389"/>
    <w:rsid w:val="00182DBA"/>
    <w:rsid w:val="00190AC4"/>
    <w:rsid w:val="001911FB"/>
    <w:rsid w:val="001B15F4"/>
    <w:rsid w:val="001D0C37"/>
    <w:rsid w:val="001D24A7"/>
    <w:rsid w:val="001D636C"/>
    <w:rsid w:val="001F3589"/>
    <w:rsid w:val="00221AAB"/>
    <w:rsid w:val="00232F2A"/>
    <w:rsid w:val="00250541"/>
    <w:rsid w:val="002C4178"/>
    <w:rsid w:val="002C4EF1"/>
    <w:rsid w:val="002C6773"/>
    <w:rsid w:val="002D6DEE"/>
    <w:rsid w:val="002D7DDA"/>
    <w:rsid w:val="00302F80"/>
    <w:rsid w:val="0032397F"/>
    <w:rsid w:val="0038143C"/>
    <w:rsid w:val="003D6436"/>
    <w:rsid w:val="003E283C"/>
    <w:rsid w:val="00406D21"/>
    <w:rsid w:val="0043346F"/>
    <w:rsid w:val="0043610C"/>
    <w:rsid w:val="0044285A"/>
    <w:rsid w:val="00454094"/>
    <w:rsid w:val="00480A7E"/>
    <w:rsid w:val="0049365D"/>
    <w:rsid w:val="004A019F"/>
    <w:rsid w:val="004B3372"/>
    <w:rsid w:val="004D7F0A"/>
    <w:rsid w:val="004F294E"/>
    <w:rsid w:val="00504D4B"/>
    <w:rsid w:val="0051577D"/>
    <w:rsid w:val="00522BE1"/>
    <w:rsid w:val="0052790D"/>
    <w:rsid w:val="005750A9"/>
    <w:rsid w:val="005772E9"/>
    <w:rsid w:val="005D3744"/>
    <w:rsid w:val="006230C1"/>
    <w:rsid w:val="006337BF"/>
    <w:rsid w:val="0065547D"/>
    <w:rsid w:val="006A5D33"/>
    <w:rsid w:val="00731B47"/>
    <w:rsid w:val="00740DEA"/>
    <w:rsid w:val="00751987"/>
    <w:rsid w:val="007555C0"/>
    <w:rsid w:val="00766CDC"/>
    <w:rsid w:val="00770038"/>
    <w:rsid w:val="007801A0"/>
    <w:rsid w:val="00797033"/>
    <w:rsid w:val="00797C1B"/>
    <w:rsid w:val="007B0A56"/>
    <w:rsid w:val="007B262B"/>
    <w:rsid w:val="007D7222"/>
    <w:rsid w:val="007F4184"/>
    <w:rsid w:val="007F5618"/>
    <w:rsid w:val="00822DB2"/>
    <w:rsid w:val="008435F7"/>
    <w:rsid w:val="00851AF4"/>
    <w:rsid w:val="00855B4E"/>
    <w:rsid w:val="008567F8"/>
    <w:rsid w:val="00865008"/>
    <w:rsid w:val="00893836"/>
    <w:rsid w:val="008A1DFA"/>
    <w:rsid w:val="008B505C"/>
    <w:rsid w:val="008F5A6A"/>
    <w:rsid w:val="00924F26"/>
    <w:rsid w:val="00925583"/>
    <w:rsid w:val="009A4189"/>
    <w:rsid w:val="009B5DA1"/>
    <w:rsid w:val="009C0C25"/>
    <w:rsid w:val="00A37AD1"/>
    <w:rsid w:val="00A657DF"/>
    <w:rsid w:val="00A745DD"/>
    <w:rsid w:val="00A96901"/>
    <w:rsid w:val="00AE46EF"/>
    <w:rsid w:val="00AF24CA"/>
    <w:rsid w:val="00B067A0"/>
    <w:rsid w:val="00B06A10"/>
    <w:rsid w:val="00B135BB"/>
    <w:rsid w:val="00B36CFD"/>
    <w:rsid w:val="00B84C8F"/>
    <w:rsid w:val="00B966CA"/>
    <w:rsid w:val="00BB534F"/>
    <w:rsid w:val="00BD2D1E"/>
    <w:rsid w:val="00BE740B"/>
    <w:rsid w:val="00C25A93"/>
    <w:rsid w:val="00C44E32"/>
    <w:rsid w:val="00C50F6C"/>
    <w:rsid w:val="00C73986"/>
    <w:rsid w:val="00C85E2E"/>
    <w:rsid w:val="00CD74C1"/>
    <w:rsid w:val="00CE5268"/>
    <w:rsid w:val="00CE6481"/>
    <w:rsid w:val="00CE6F73"/>
    <w:rsid w:val="00D03B55"/>
    <w:rsid w:val="00D23FE0"/>
    <w:rsid w:val="00D37B96"/>
    <w:rsid w:val="00D4758F"/>
    <w:rsid w:val="00D53495"/>
    <w:rsid w:val="00D73D06"/>
    <w:rsid w:val="00D75F7F"/>
    <w:rsid w:val="00D86AB1"/>
    <w:rsid w:val="00DB1EBC"/>
    <w:rsid w:val="00DE6B03"/>
    <w:rsid w:val="00E24F7C"/>
    <w:rsid w:val="00E40572"/>
    <w:rsid w:val="00E6382B"/>
    <w:rsid w:val="00EF3D11"/>
    <w:rsid w:val="00F30030"/>
    <w:rsid w:val="00F34D4A"/>
    <w:rsid w:val="00F75B3B"/>
    <w:rsid w:val="00F90C3D"/>
    <w:rsid w:val="00F96BD5"/>
    <w:rsid w:val="00FD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F5BA"/>
  <w15:docId w15:val="{2384D912-EB38-8F45-929E-0FE75D65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30" w:right="2223"/>
      <w:jc w:val="center"/>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993" w:hanging="380"/>
    </w:pPr>
  </w:style>
  <w:style w:type="paragraph" w:customStyle="1" w:styleId="TableParagraph">
    <w:name w:val="Table Paragraph"/>
    <w:basedOn w:val="Normal"/>
    <w:uiPriority w:val="1"/>
    <w:qFormat/>
  </w:style>
  <w:style w:type="paragraph" w:styleId="Revision">
    <w:name w:val="Revision"/>
    <w:hidden/>
    <w:uiPriority w:val="99"/>
    <w:semiHidden/>
    <w:rsid w:val="004D7F0A"/>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4D7F0A"/>
    <w:rPr>
      <w:color w:val="0000FF" w:themeColor="hyperlink"/>
      <w:u w:val="single"/>
    </w:rPr>
  </w:style>
  <w:style w:type="character" w:styleId="UnresolvedMention">
    <w:name w:val="Unresolved Mention"/>
    <w:basedOn w:val="DefaultParagraphFont"/>
    <w:uiPriority w:val="99"/>
    <w:semiHidden/>
    <w:unhideWhenUsed/>
    <w:rsid w:val="004D7F0A"/>
    <w:rPr>
      <w:color w:val="605E5C"/>
      <w:shd w:val="clear" w:color="auto" w:fill="E1DFDD"/>
    </w:rPr>
  </w:style>
  <w:style w:type="character" w:styleId="CommentReference">
    <w:name w:val="annotation reference"/>
    <w:basedOn w:val="DefaultParagraphFont"/>
    <w:uiPriority w:val="99"/>
    <w:semiHidden/>
    <w:unhideWhenUsed/>
    <w:rsid w:val="00072D75"/>
    <w:rPr>
      <w:sz w:val="16"/>
      <w:szCs w:val="16"/>
    </w:rPr>
  </w:style>
  <w:style w:type="paragraph" w:styleId="CommentText">
    <w:name w:val="annotation text"/>
    <w:basedOn w:val="Normal"/>
    <w:link w:val="CommentTextChar"/>
    <w:uiPriority w:val="99"/>
    <w:semiHidden/>
    <w:unhideWhenUsed/>
    <w:rsid w:val="00072D75"/>
    <w:rPr>
      <w:sz w:val="20"/>
      <w:szCs w:val="20"/>
    </w:rPr>
  </w:style>
  <w:style w:type="character" w:customStyle="1" w:styleId="CommentTextChar">
    <w:name w:val="Comment Text Char"/>
    <w:basedOn w:val="DefaultParagraphFont"/>
    <w:link w:val="CommentText"/>
    <w:uiPriority w:val="99"/>
    <w:semiHidden/>
    <w:rsid w:val="00072D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75"/>
    <w:rPr>
      <w:b/>
      <w:bCs/>
    </w:rPr>
  </w:style>
  <w:style w:type="character" w:customStyle="1" w:styleId="CommentSubjectChar">
    <w:name w:val="Comment Subject Char"/>
    <w:basedOn w:val="CommentTextChar"/>
    <w:link w:val="CommentSubject"/>
    <w:uiPriority w:val="99"/>
    <w:semiHidden/>
    <w:rsid w:val="00072D75"/>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DB1EBC"/>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0C493A"/>
    <w:rPr>
      <w:sz w:val="20"/>
      <w:szCs w:val="20"/>
    </w:rPr>
  </w:style>
  <w:style w:type="character" w:customStyle="1" w:styleId="FootnoteTextChar">
    <w:name w:val="Footnote Text Char"/>
    <w:basedOn w:val="DefaultParagraphFont"/>
    <w:link w:val="FootnoteText"/>
    <w:uiPriority w:val="99"/>
    <w:semiHidden/>
    <w:rsid w:val="000C49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493A"/>
    <w:rPr>
      <w:vertAlign w:val="superscript"/>
    </w:rPr>
  </w:style>
  <w:style w:type="paragraph" w:styleId="EndnoteText">
    <w:name w:val="endnote text"/>
    <w:basedOn w:val="Normal"/>
    <w:link w:val="EndnoteTextChar"/>
    <w:uiPriority w:val="99"/>
    <w:semiHidden/>
    <w:unhideWhenUsed/>
    <w:rsid w:val="001F3589"/>
    <w:rPr>
      <w:sz w:val="20"/>
      <w:szCs w:val="20"/>
    </w:rPr>
  </w:style>
  <w:style w:type="character" w:customStyle="1" w:styleId="EndnoteTextChar">
    <w:name w:val="Endnote Text Char"/>
    <w:basedOn w:val="DefaultParagraphFont"/>
    <w:link w:val="EndnoteText"/>
    <w:uiPriority w:val="99"/>
    <w:semiHidden/>
    <w:rsid w:val="001F358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3589"/>
    <w:rPr>
      <w:vertAlign w:val="superscript"/>
    </w:rPr>
  </w:style>
  <w:style w:type="paragraph" w:styleId="Header">
    <w:name w:val="header"/>
    <w:basedOn w:val="Normal"/>
    <w:link w:val="HeaderChar"/>
    <w:uiPriority w:val="99"/>
    <w:unhideWhenUsed/>
    <w:rsid w:val="005750A9"/>
    <w:pPr>
      <w:tabs>
        <w:tab w:val="center" w:pos="4680"/>
        <w:tab w:val="right" w:pos="9360"/>
      </w:tabs>
    </w:pPr>
  </w:style>
  <w:style w:type="character" w:customStyle="1" w:styleId="HeaderChar">
    <w:name w:val="Header Char"/>
    <w:basedOn w:val="DefaultParagraphFont"/>
    <w:link w:val="Header"/>
    <w:uiPriority w:val="99"/>
    <w:rsid w:val="005750A9"/>
    <w:rPr>
      <w:rFonts w:ascii="Times New Roman" w:eastAsia="Times New Roman" w:hAnsi="Times New Roman" w:cs="Times New Roman"/>
    </w:rPr>
  </w:style>
  <w:style w:type="paragraph" w:styleId="Footer">
    <w:name w:val="footer"/>
    <w:basedOn w:val="Normal"/>
    <w:link w:val="FooterChar"/>
    <w:uiPriority w:val="99"/>
    <w:unhideWhenUsed/>
    <w:rsid w:val="005750A9"/>
    <w:pPr>
      <w:tabs>
        <w:tab w:val="center" w:pos="4680"/>
        <w:tab w:val="right" w:pos="9360"/>
      </w:tabs>
    </w:pPr>
  </w:style>
  <w:style w:type="character" w:customStyle="1" w:styleId="FooterChar">
    <w:name w:val="Footer Char"/>
    <w:basedOn w:val="DefaultParagraphFont"/>
    <w:link w:val="Footer"/>
    <w:uiPriority w:val="99"/>
    <w:rsid w:val="005750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vinity.vanderbilt.edu/about/purpo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Armour, Ellen True</dc:creator>
  <cp:keywords/>
  <dc:description/>
  <cp:lastModifiedBy>Armour, Ellen True</cp:lastModifiedBy>
  <cp:revision>4</cp:revision>
  <dcterms:created xsi:type="dcterms:W3CDTF">2024-08-14T17:18:00Z</dcterms:created>
  <dcterms:modified xsi:type="dcterms:W3CDTF">2024-08-14T17:19:00Z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2011-08-16T10:00:00Z</vt:filetime>
  </property>
  <property fmtid="{D5CDD505-2E9C-101B-9397-08002B2CF9AE}" pid="3" name="LastSaved">
    <vt:filetime>2023-07-11T10:00:00Z</vt:filetime>
  </property>
</Properties>
</file>