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991" w:rsidRPr="00E109D3" w:rsidRDefault="00EF6B50" w:rsidP="007B70F9">
      <w:pPr>
        <w:jc w:val="center"/>
        <w:rPr>
          <w:rFonts w:ascii="Arial Black" w:hAnsi="Arial Black"/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50850" cy="450850"/>
            <wp:effectExtent l="0" t="0" r="6350" b="0"/>
            <wp:docPr id="1" name="Picture 1" descr="http://i11.photobucket.com/albums/a179/dan_457/hawkf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11.photobucket.com/albums/a179/dan_457/hawkfx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</w:rPr>
        <w:t xml:space="preserve">  </w:t>
      </w:r>
      <w:r w:rsidR="00BE09A9" w:rsidRPr="00E109D3">
        <w:rPr>
          <w:rFonts w:ascii="Arial Black" w:hAnsi="Arial Black"/>
          <w:b/>
        </w:rPr>
        <w:t xml:space="preserve">Booker T. Washington </w:t>
      </w:r>
      <w:r w:rsidR="00346E63">
        <w:rPr>
          <w:rFonts w:ascii="Arial Black" w:hAnsi="Arial Black"/>
          <w:b/>
        </w:rPr>
        <w:t>High</w:t>
      </w:r>
      <w:r w:rsidR="00665A63" w:rsidRPr="00E109D3">
        <w:rPr>
          <w:rFonts w:ascii="Arial Black" w:hAnsi="Arial Black"/>
          <w:b/>
        </w:rPr>
        <w:t xml:space="preserve"> School </w:t>
      </w:r>
      <w:r w:rsidR="00BE09A9" w:rsidRPr="00E109D3">
        <w:rPr>
          <w:rFonts w:ascii="Arial Black" w:hAnsi="Arial Black"/>
          <w:b/>
        </w:rPr>
        <w:t>Teacher Evaluation Data</w:t>
      </w:r>
    </w:p>
    <w:tbl>
      <w:tblPr>
        <w:tblStyle w:val="TableGrid"/>
        <w:tblW w:w="0" w:type="auto"/>
        <w:jc w:val="center"/>
        <w:tblInd w:w="-1944" w:type="dxa"/>
        <w:tblBorders>
          <w:left w:val="none" w:sz="0" w:space="0" w:color="auto"/>
          <w:right w:val="none" w:sz="0" w:space="0" w:color="auto"/>
          <w:insideH w:val="single" w:sz="4" w:space="0" w:color="0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754"/>
        <w:gridCol w:w="1195"/>
        <w:gridCol w:w="1195"/>
        <w:gridCol w:w="1116"/>
        <w:gridCol w:w="1116"/>
        <w:gridCol w:w="1267"/>
        <w:gridCol w:w="1843"/>
      </w:tblGrid>
      <w:tr w:rsidR="00FF22DC" w:rsidTr="00FF22DC">
        <w:trPr>
          <w:jc w:val="center"/>
        </w:trPr>
        <w:tc>
          <w:tcPr>
            <w:tcW w:w="2340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Year</w:t>
            </w:r>
          </w:p>
        </w:tc>
        <w:tc>
          <w:tcPr>
            <w:tcW w:w="1754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# of Educators of be Evaluated</w:t>
            </w:r>
          </w:p>
        </w:tc>
        <w:tc>
          <w:tcPr>
            <w:tcW w:w="1195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# Evaluated</w:t>
            </w:r>
          </w:p>
        </w:tc>
        <w:tc>
          <w:tcPr>
            <w:tcW w:w="1195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% Evaluated</w:t>
            </w:r>
          </w:p>
        </w:tc>
        <w:tc>
          <w:tcPr>
            <w:tcW w:w="1116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% Highly Effective</w:t>
            </w:r>
          </w:p>
        </w:tc>
        <w:tc>
          <w:tcPr>
            <w:tcW w:w="1116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% Effective</w:t>
            </w:r>
          </w:p>
        </w:tc>
        <w:tc>
          <w:tcPr>
            <w:tcW w:w="1267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% Developing</w:t>
            </w:r>
          </w:p>
        </w:tc>
        <w:tc>
          <w:tcPr>
            <w:tcW w:w="1843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% Unsatisfactory</w:t>
            </w:r>
          </w:p>
        </w:tc>
      </w:tr>
      <w:tr w:rsidR="00FF22DC" w:rsidTr="00FF22DC">
        <w:trPr>
          <w:jc w:val="center"/>
        </w:trPr>
        <w:tc>
          <w:tcPr>
            <w:tcW w:w="2340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2014-15</w:t>
            </w:r>
          </w:p>
          <w:p w:rsidR="00BE09A9" w:rsidRPr="00EF6B50" w:rsidRDefault="00BE09A9">
            <w:pPr>
              <w:rPr>
                <w:rFonts w:ascii="Arial Narrow" w:hAnsi="Arial Narrow"/>
              </w:rPr>
            </w:pPr>
          </w:p>
        </w:tc>
        <w:tc>
          <w:tcPr>
            <w:tcW w:w="1754" w:type="dxa"/>
          </w:tcPr>
          <w:p w:rsidR="00BE09A9" w:rsidRPr="00EF6B50" w:rsidRDefault="00824D3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18</w:t>
            </w:r>
          </w:p>
        </w:tc>
        <w:tc>
          <w:tcPr>
            <w:tcW w:w="1195" w:type="dxa"/>
          </w:tcPr>
          <w:p w:rsidR="00BE09A9" w:rsidRPr="00EF6B50" w:rsidRDefault="00824D3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18</w:t>
            </w:r>
          </w:p>
        </w:tc>
        <w:tc>
          <w:tcPr>
            <w:tcW w:w="1195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100</w:t>
            </w:r>
          </w:p>
        </w:tc>
        <w:tc>
          <w:tcPr>
            <w:tcW w:w="1116" w:type="dxa"/>
          </w:tcPr>
          <w:p w:rsidR="00BE09A9" w:rsidRPr="00EF6B50" w:rsidRDefault="00665A63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12.0</w:t>
            </w:r>
          </w:p>
        </w:tc>
        <w:tc>
          <w:tcPr>
            <w:tcW w:w="1116" w:type="dxa"/>
          </w:tcPr>
          <w:p w:rsidR="00BE09A9" w:rsidRPr="00EF6B50" w:rsidRDefault="00665A63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60</w:t>
            </w:r>
            <w:r w:rsidR="00D861B7" w:rsidRPr="00EF6B50">
              <w:rPr>
                <w:rFonts w:ascii="Arial Narrow" w:hAnsi="Arial Narrow"/>
              </w:rPr>
              <w:t>.0</w:t>
            </w:r>
          </w:p>
        </w:tc>
        <w:tc>
          <w:tcPr>
            <w:tcW w:w="1267" w:type="dxa"/>
          </w:tcPr>
          <w:p w:rsidR="00BE09A9" w:rsidRPr="00EF6B50" w:rsidRDefault="00665A63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12.0</w:t>
            </w:r>
          </w:p>
        </w:tc>
        <w:tc>
          <w:tcPr>
            <w:tcW w:w="1843" w:type="dxa"/>
          </w:tcPr>
          <w:p w:rsidR="00BE09A9" w:rsidRPr="00EF6B50" w:rsidRDefault="00824D3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16.0</w:t>
            </w:r>
          </w:p>
        </w:tc>
      </w:tr>
      <w:tr w:rsidR="00FF22DC" w:rsidTr="00FF22DC">
        <w:trPr>
          <w:jc w:val="center"/>
        </w:trPr>
        <w:tc>
          <w:tcPr>
            <w:tcW w:w="2340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2013 – 14</w:t>
            </w:r>
            <w:r w:rsidR="00E109D3" w:rsidRPr="00EF6B50">
              <w:rPr>
                <w:rFonts w:ascii="Arial Narrow" w:hAnsi="Arial Narrow"/>
              </w:rPr>
              <w:t>*</w:t>
            </w:r>
          </w:p>
          <w:p w:rsidR="00BE09A9" w:rsidRPr="00EF6B50" w:rsidRDefault="00BE09A9">
            <w:pPr>
              <w:rPr>
                <w:rFonts w:ascii="Arial Narrow" w:hAnsi="Arial Narrow"/>
              </w:rPr>
            </w:pPr>
          </w:p>
        </w:tc>
        <w:tc>
          <w:tcPr>
            <w:tcW w:w="1754" w:type="dxa"/>
          </w:tcPr>
          <w:p w:rsidR="00BE09A9" w:rsidRPr="00EF6B50" w:rsidRDefault="00824D3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18</w:t>
            </w:r>
          </w:p>
        </w:tc>
        <w:tc>
          <w:tcPr>
            <w:tcW w:w="1195" w:type="dxa"/>
          </w:tcPr>
          <w:p w:rsidR="00BE09A9" w:rsidRPr="00EF6B50" w:rsidRDefault="00824D3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18</w:t>
            </w:r>
          </w:p>
        </w:tc>
        <w:tc>
          <w:tcPr>
            <w:tcW w:w="1195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100</w:t>
            </w:r>
          </w:p>
        </w:tc>
        <w:tc>
          <w:tcPr>
            <w:tcW w:w="1116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14.0</w:t>
            </w:r>
          </w:p>
        </w:tc>
        <w:tc>
          <w:tcPr>
            <w:tcW w:w="1116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75.0</w:t>
            </w:r>
          </w:p>
        </w:tc>
        <w:tc>
          <w:tcPr>
            <w:tcW w:w="1267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6.0</w:t>
            </w:r>
          </w:p>
        </w:tc>
        <w:tc>
          <w:tcPr>
            <w:tcW w:w="1843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5.0</w:t>
            </w:r>
          </w:p>
        </w:tc>
      </w:tr>
      <w:tr w:rsidR="00FF22DC" w:rsidTr="00FF22DC">
        <w:trPr>
          <w:jc w:val="center"/>
        </w:trPr>
        <w:tc>
          <w:tcPr>
            <w:tcW w:w="2340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2012 – 13</w:t>
            </w:r>
          </w:p>
          <w:p w:rsidR="00BE09A9" w:rsidRPr="00EF6B50" w:rsidRDefault="00BE09A9">
            <w:pPr>
              <w:rPr>
                <w:rFonts w:ascii="Arial Narrow" w:hAnsi="Arial Narrow"/>
              </w:rPr>
            </w:pPr>
          </w:p>
        </w:tc>
        <w:tc>
          <w:tcPr>
            <w:tcW w:w="1754" w:type="dxa"/>
          </w:tcPr>
          <w:p w:rsidR="00BE09A9" w:rsidRPr="00EF6B50" w:rsidRDefault="00824D3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20</w:t>
            </w:r>
          </w:p>
        </w:tc>
        <w:tc>
          <w:tcPr>
            <w:tcW w:w="1195" w:type="dxa"/>
          </w:tcPr>
          <w:p w:rsidR="00BE09A9" w:rsidRPr="00EF6B50" w:rsidRDefault="00824D3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19</w:t>
            </w:r>
          </w:p>
        </w:tc>
        <w:tc>
          <w:tcPr>
            <w:tcW w:w="1195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95</w:t>
            </w:r>
          </w:p>
        </w:tc>
        <w:tc>
          <w:tcPr>
            <w:tcW w:w="1116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16.0</w:t>
            </w:r>
          </w:p>
        </w:tc>
        <w:tc>
          <w:tcPr>
            <w:tcW w:w="1116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82.0</w:t>
            </w:r>
          </w:p>
        </w:tc>
        <w:tc>
          <w:tcPr>
            <w:tcW w:w="1267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2.0</w:t>
            </w:r>
          </w:p>
        </w:tc>
        <w:tc>
          <w:tcPr>
            <w:tcW w:w="1843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0</w:t>
            </w:r>
          </w:p>
        </w:tc>
      </w:tr>
      <w:tr w:rsidR="00FF22DC" w:rsidTr="00FF22DC">
        <w:trPr>
          <w:jc w:val="center"/>
        </w:trPr>
        <w:tc>
          <w:tcPr>
            <w:tcW w:w="2340" w:type="dxa"/>
          </w:tcPr>
          <w:p w:rsidR="00BE09A9" w:rsidRPr="00EF6B50" w:rsidRDefault="00BE09A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2011  - 12</w:t>
            </w:r>
          </w:p>
          <w:p w:rsidR="00BE09A9" w:rsidRPr="00EF6B50" w:rsidRDefault="00BE09A9">
            <w:pPr>
              <w:rPr>
                <w:rFonts w:ascii="Arial Narrow" w:hAnsi="Arial Narrow"/>
              </w:rPr>
            </w:pPr>
          </w:p>
        </w:tc>
        <w:tc>
          <w:tcPr>
            <w:tcW w:w="1754" w:type="dxa"/>
          </w:tcPr>
          <w:p w:rsidR="00BE09A9" w:rsidRPr="00EF6B50" w:rsidRDefault="00824D3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20</w:t>
            </w:r>
          </w:p>
        </w:tc>
        <w:tc>
          <w:tcPr>
            <w:tcW w:w="1195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16</w:t>
            </w:r>
          </w:p>
        </w:tc>
        <w:tc>
          <w:tcPr>
            <w:tcW w:w="1195" w:type="dxa"/>
          </w:tcPr>
          <w:p w:rsidR="00BE09A9" w:rsidRPr="00EF6B50" w:rsidRDefault="007B70F9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80</w:t>
            </w:r>
          </w:p>
        </w:tc>
        <w:tc>
          <w:tcPr>
            <w:tcW w:w="1116" w:type="dxa"/>
          </w:tcPr>
          <w:p w:rsidR="00BE09A9" w:rsidRPr="00EF6B50" w:rsidRDefault="007B70F9" w:rsidP="003C097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17.0</w:t>
            </w:r>
          </w:p>
        </w:tc>
        <w:tc>
          <w:tcPr>
            <w:tcW w:w="1116" w:type="dxa"/>
          </w:tcPr>
          <w:p w:rsidR="00BE09A9" w:rsidRPr="00EF6B50" w:rsidRDefault="007B70F9" w:rsidP="003C097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78.0</w:t>
            </w:r>
          </w:p>
        </w:tc>
        <w:tc>
          <w:tcPr>
            <w:tcW w:w="1267" w:type="dxa"/>
          </w:tcPr>
          <w:p w:rsidR="00BE09A9" w:rsidRPr="00EF6B50" w:rsidRDefault="00BE09A9" w:rsidP="003C097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4.0</w:t>
            </w:r>
          </w:p>
        </w:tc>
        <w:tc>
          <w:tcPr>
            <w:tcW w:w="1843" w:type="dxa"/>
          </w:tcPr>
          <w:p w:rsidR="00BE09A9" w:rsidRPr="00EF6B50" w:rsidRDefault="007B70F9" w:rsidP="003C0974">
            <w:pPr>
              <w:rPr>
                <w:rFonts w:ascii="Arial Narrow" w:hAnsi="Arial Narrow"/>
              </w:rPr>
            </w:pPr>
            <w:r w:rsidRPr="00EF6B50">
              <w:rPr>
                <w:rFonts w:ascii="Arial Narrow" w:hAnsi="Arial Narrow"/>
              </w:rPr>
              <w:t>1.0</w:t>
            </w:r>
          </w:p>
        </w:tc>
      </w:tr>
    </w:tbl>
    <w:p w:rsidR="00BE09A9" w:rsidRPr="00EF6B50" w:rsidRDefault="00D861B7">
      <w:pPr>
        <w:rPr>
          <w:rFonts w:ascii="Arial Narrow" w:hAnsi="Arial Narrow"/>
          <w:i/>
        </w:rPr>
      </w:pPr>
      <w:r w:rsidRPr="00EF6B50">
        <w:rPr>
          <w:rFonts w:ascii="Arial Narrow" w:hAnsi="Arial Narrow"/>
          <w:i/>
        </w:rPr>
        <w:t>*The year Ms. Harvey became principal at Booker T. Washington</w:t>
      </w:r>
    </w:p>
    <w:p w:rsidR="00FF22DC" w:rsidRDefault="00FF22DC">
      <w:pPr>
        <w:rPr>
          <w:rFonts w:ascii="Arial Narrow" w:hAnsi="Arial Narrow"/>
        </w:rPr>
      </w:pPr>
    </w:p>
    <w:p w:rsidR="00FF22DC" w:rsidRDefault="00FF22DC">
      <w:pPr>
        <w:rPr>
          <w:rFonts w:ascii="Arial Narrow" w:hAnsi="Arial Narrow"/>
        </w:rPr>
      </w:pPr>
      <w:r w:rsidRPr="00AA3025">
        <w:rPr>
          <w:noProof/>
        </w:rPr>
        <w:drawing>
          <wp:anchor distT="0" distB="0" distL="114300" distR="114300" simplePos="0" relativeHeight="251658240" behindDoc="1" locked="0" layoutInCell="1" allowOverlap="1" wp14:anchorId="6F4072F8" wp14:editId="16879280">
            <wp:simplePos x="0" y="0"/>
            <wp:positionH relativeFrom="column">
              <wp:posOffset>4540885</wp:posOffset>
            </wp:positionH>
            <wp:positionV relativeFrom="paragraph">
              <wp:posOffset>458470</wp:posOffset>
            </wp:positionV>
            <wp:extent cx="4184650" cy="2906395"/>
            <wp:effectExtent l="0" t="0" r="6350" b="8255"/>
            <wp:wrapTight wrapText="bothSides">
              <wp:wrapPolygon edited="0">
                <wp:start x="0" y="0"/>
                <wp:lineTo x="0" y="21520"/>
                <wp:lineTo x="21534" y="21520"/>
                <wp:lineTo x="2153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2" t="48014" r="2507" b="21291"/>
                    <a:stretch/>
                  </pic:blipFill>
                  <pic:spPr bwMode="auto">
                    <a:xfrm>
                      <a:off x="0" y="0"/>
                      <a:ext cx="4184650" cy="290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F7F" w:rsidRPr="00EF6B50">
        <w:rPr>
          <w:rFonts w:ascii="Arial Narrow" w:hAnsi="Arial Narrow"/>
        </w:rPr>
        <w:t xml:space="preserve">In 2011-12, the district implemented the Danielson Framework for Teaching. The four performance levels (highly effective, effective, developing, and unsatisfactory) correspond to </w:t>
      </w:r>
      <w:r w:rsidR="001D0F0F" w:rsidRPr="00EF6B50">
        <w:rPr>
          <w:rFonts w:ascii="Arial Narrow" w:hAnsi="Arial Narrow"/>
        </w:rPr>
        <w:t xml:space="preserve">the four levels in the Danielson work (distinguished, proficient, basic, </w:t>
      </w:r>
      <w:proofErr w:type="gramStart"/>
      <w:r w:rsidR="001D0F0F" w:rsidRPr="00EF6B50">
        <w:rPr>
          <w:rFonts w:ascii="Arial Narrow" w:hAnsi="Arial Narrow"/>
        </w:rPr>
        <w:t>unsatisfactory</w:t>
      </w:r>
      <w:proofErr w:type="gramEnd"/>
      <w:r w:rsidR="001D0F0F" w:rsidRPr="00EF6B50">
        <w:rPr>
          <w:rFonts w:ascii="Arial Narrow" w:hAnsi="Arial Narrow"/>
        </w:rPr>
        <w:t xml:space="preserve">). This system was in place until the 2013-14 school </w:t>
      </w:r>
      <w:proofErr w:type="gramStart"/>
      <w:r w:rsidR="001D0F0F" w:rsidRPr="00EF6B50">
        <w:rPr>
          <w:rFonts w:ascii="Arial Narrow" w:hAnsi="Arial Narrow"/>
        </w:rPr>
        <w:t>year</w:t>
      </w:r>
      <w:proofErr w:type="gramEnd"/>
      <w:r w:rsidR="001D0F0F" w:rsidRPr="00EF6B50">
        <w:rPr>
          <w:rFonts w:ascii="Arial Narrow" w:hAnsi="Arial Narrow"/>
        </w:rPr>
        <w:t>, when the district redesigned their teacher evaluation system.</w:t>
      </w:r>
    </w:p>
    <w:p w:rsidR="001D0F0F" w:rsidRPr="00EF6B50" w:rsidRDefault="001D0F0F">
      <w:pPr>
        <w:rPr>
          <w:rFonts w:ascii="Arial Narrow" w:hAnsi="Arial Narrow"/>
        </w:rPr>
      </w:pPr>
      <w:r w:rsidRPr="00EF6B50">
        <w:rPr>
          <w:rFonts w:ascii="Arial Narrow" w:hAnsi="Arial Narrow"/>
        </w:rPr>
        <w:t>The district still uses the Danielson Framework as the basis for classroom observations, but now they also factor in student and school test scores, a growth measure, results from a stakeholder survey, and professionalism. The weighting is as follows:</w:t>
      </w:r>
    </w:p>
    <w:p w:rsidR="001D0F0F" w:rsidRPr="00EF6B50" w:rsidRDefault="001D0F0F" w:rsidP="001D0F0F">
      <w:pPr>
        <w:spacing w:after="0" w:line="240" w:lineRule="auto"/>
        <w:rPr>
          <w:rFonts w:ascii="Arial Narrow" w:hAnsi="Arial Narrow"/>
        </w:rPr>
      </w:pPr>
      <w:r w:rsidRPr="00EF6B50">
        <w:rPr>
          <w:rFonts w:ascii="Arial Narrow" w:hAnsi="Arial Narrow"/>
        </w:rPr>
        <w:t xml:space="preserve">Overall Rating </w:t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  <w:t>100%</w:t>
      </w:r>
    </w:p>
    <w:p w:rsidR="001D0F0F" w:rsidRPr="00EF6B50" w:rsidRDefault="001D0F0F" w:rsidP="001D0F0F">
      <w:pPr>
        <w:spacing w:after="0" w:line="240" w:lineRule="auto"/>
        <w:rPr>
          <w:rFonts w:ascii="Arial Narrow" w:hAnsi="Arial Narrow"/>
        </w:rPr>
      </w:pPr>
      <w:r w:rsidRPr="00EF6B50">
        <w:rPr>
          <w:rFonts w:ascii="Arial Narrow" w:hAnsi="Arial Narrow"/>
        </w:rPr>
        <w:t>Student Growth</w:t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  <w:t>35%</w:t>
      </w:r>
    </w:p>
    <w:p w:rsidR="001D0F0F" w:rsidRPr="00EF6B50" w:rsidRDefault="001D0F0F" w:rsidP="001D0F0F">
      <w:pPr>
        <w:spacing w:after="0" w:line="240" w:lineRule="auto"/>
        <w:rPr>
          <w:rFonts w:ascii="Arial Narrow" w:hAnsi="Arial Narrow"/>
        </w:rPr>
      </w:pPr>
      <w:r w:rsidRPr="00EF6B50">
        <w:rPr>
          <w:rFonts w:ascii="Arial Narrow" w:hAnsi="Arial Narrow"/>
        </w:rPr>
        <w:t xml:space="preserve">Student Achievement </w:t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  <w:t>15%</w:t>
      </w:r>
    </w:p>
    <w:p w:rsidR="001D0F0F" w:rsidRPr="00EF6B50" w:rsidRDefault="001D0F0F" w:rsidP="001D0F0F">
      <w:pPr>
        <w:spacing w:after="0" w:line="240" w:lineRule="auto"/>
        <w:rPr>
          <w:rFonts w:ascii="Arial Narrow" w:hAnsi="Arial Narrow"/>
        </w:rPr>
      </w:pPr>
      <w:r w:rsidRPr="00EF6B50">
        <w:rPr>
          <w:rFonts w:ascii="Arial Narrow" w:hAnsi="Arial Narrow"/>
        </w:rPr>
        <w:t>Classroom Observations</w:t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  <w:t>40%</w:t>
      </w:r>
    </w:p>
    <w:p w:rsidR="001D0F0F" w:rsidRPr="00EF6B50" w:rsidRDefault="001D0F0F" w:rsidP="001D0F0F">
      <w:pPr>
        <w:spacing w:after="0" w:line="240" w:lineRule="auto"/>
        <w:rPr>
          <w:rFonts w:ascii="Arial Narrow" w:hAnsi="Arial Narrow"/>
        </w:rPr>
      </w:pPr>
      <w:r w:rsidRPr="00EF6B50">
        <w:rPr>
          <w:rFonts w:ascii="Arial Narrow" w:hAnsi="Arial Narrow"/>
        </w:rPr>
        <w:t>Stakeholder Perception</w:t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  <w:t>5%</w:t>
      </w:r>
    </w:p>
    <w:p w:rsidR="001D0F0F" w:rsidRPr="00EF6B50" w:rsidRDefault="001D0F0F" w:rsidP="001D0F0F">
      <w:pPr>
        <w:spacing w:after="0" w:line="240" w:lineRule="auto"/>
        <w:rPr>
          <w:rFonts w:ascii="Arial Narrow" w:hAnsi="Arial Narrow"/>
        </w:rPr>
      </w:pPr>
      <w:r w:rsidRPr="00EF6B50">
        <w:rPr>
          <w:rFonts w:ascii="Arial Narrow" w:hAnsi="Arial Narrow"/>
        </w:rPr>
        <w:t>Professionalism</w:t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</w:r>
      <w:r w:rsidRPr="00EF6B50">
        <w:rPr>
          <w:rFonts w:ascii="Arial Narrow" w:hAnsi="Arial Narrow"/>
        </w:rPr>
        <w:tab/>
        <w:t>5%</w:t>
      </w:r>
    </w:p>
    <w:p w:rsidR="001D0F0F" w:rsidRDefault="001D0F0F" w:rsidP="001D0F0F">
      <w:pPr>
        <w:spacing w:after="0" w:line="240" w:lineRule="auto"/>
      </w:pPr>
    </w:p>
    <w:p w:rsidR="003C0974" w:rsidRDefault="00FF22DC" w:rsidP="001D0F0F">
      <w:pPr>
        <w:spacing w:after="0" w:line="240" w:lineRule="auto"/>
      </w:pPr>
      <w:r>
        <w:t>The Component Performance snapshot to the right provides an overview of average performance in each component over a three year period (2011-2014).</w:t>
      </w:r>
    </w:p>
    <w:p w:rsidR="00375F7F" w:rsidRDefault="00375F7F">
      <w:pPr>
        <w:rPr>
          <w:i/>
        </w:rPr>
      </w:pPr>
    </w:p>
    <w:p w:rsidR="008F0622" w:rsidRPr="00182A3C" w:rsidRDefault="008F0622" w:rsidP="00182A3C">
      <w:pPr>
        <w:rPr>
          <w:b/>
          <w:i/>
          <w:u w:val="single"/>
        </w:rPr>
      </w:pPr>
    </w:p>
    <w:tbl>
      <w:tblPr>
        <w:tblStyle w:val="GridTable7Colorful"/>
        <w:tblpPr w:leftFromText="180" w:rightFromText="180" w:vertAnchor="text" w:horzAnchor="margin" w:tblpXSpec="center" w:tblpY="-719"/>
        <w:tblW w:w="10859" w:type="dxa"/>
        <w:tblLayout w:type="fixed"/>
        <w:tblLook w:val="04A0" w:firstRow="1" w:lastRow="0" w:firstColumn="1" w:lastColumn="0" w:noHBand="0" w:noVBand="1"/>
      </w:tblPr>
      <w:tblGrid>
        <w:gridCol w:w="2309"/>
        <w:gridCol w:w="1800"/>
        <w:gridCol w:w="900"/>
        <w:gridCol w:w="1170"/>
        <w:gridCol w:w="1039"/>
        <w:gridCol w:w="1301"/>
        <w:gridCol w:w="1170"/>
        <w:gridCol w:w="1170"/>
      </w:tblGrid>
      <w:tr w:rsidR="00182A3C" w:rsidRPr="000B0102" w:rsidTr="00EF4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5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A3C" w:rsidRPr="00182A3C" w:rsidRDefault="00182A3C" w:rsidP="00182A3C">
            <w:pPr>
              <w:jc w:val="center"/>
              <w:rPr>
                <w:i w:val="0"/>
                <w:u w:val="single"/>
              </w:rPr>
            </w:pPr>
            <w:r w:rsidRPr="00182A3C">
              <w:rPr>
                <w:i w:val="0"/>
                <w:u w:val="single"/>
              </w:rPr>
              <w:lastRenderedPageBreak/>
              <w:t xml:space="preserve">Staff </w:t>
            </w:r>
            <w:r w:rsidR="008F3286">
              <w:rPr>
                <w:i w:val="0"/>
                <w:u w:val="single"/>
              </w:rPr>
              <w:t>Evaluation Rating Summary 2011-2016</w:t>
            </w:r>
          </w:p>
          <w:p w:rsidR="00182A3C" w:rsidRPr="00182A3C" w:rsidRDefault="00182A3C" w:rsidP="00007BB2">
            <w:pPr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  <w:r w:rsidRPr="000B0102">
              <w:rPr>
                <w:rFonts w:ascii="Arial Narrow" w:hAnsi="Arial Narrow"/>
                <w:b/>
                <w:sz w:val="20"/>
                <w:szCs w:val="20"/>
                <w:u w:val="single"/>
              </w:rPr>
              <w:t>Job Title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0B0102">
              <w:rPr>
                <w:rFonts w:ascii="Arial Narrow" w:hAnsi="Arial Narrow"/>
                <w:b/>
                <w:sz w:val="20"/>
                <w:szCs w:val="20"/>
                <w:u w:val="single"/>
              </w:rPr>
              <w:t>Name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HQ Status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Yrs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 Assigned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182A3C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82A3C">
              <w:rPr>
                <w:rFonts w:ascii="Arial Narrow" w:hAnsi="Arial Narrow"/>
                <w:b/>
                <w:sz w:val="20"/>
                <w:szCs w:val="20"/>
                <w:u w:val="single"/>
              </w:rPr>
              <w:t>2011-12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182A3C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82A3C">
              <w:rPr>
                <w:rFonts w:ascii="Arial Narrow" w:hAnsi="Arial Narrow"/>
                <w:b/>
                <w:sz w:val="20"/>
                <w:szCs w:val="20"/>
                <w:u w:val="single"/>
              </w:rPr>
              <w:t>2012-13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182A3C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82A3C">
              <w:rPr>
                <w:rFonts w:ascii="Arial Narrow" w:hAnsi="Arial Narrow"/>
                <w:b/>
                <w:sz w:val="20"/>
                <w:szCs w:val="20"/>
                <w:u w:val="single"/>
              </w:rPr>
              <w:t>2013-14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182A3C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82A3C">
              <w:rPr>
                <w:rFonts w:ascii="Arial Narrow" w:hAnsi="Arial Narrow"/>
                <w:b/>
                <w:sz w:val="20"/>
                <w:szCs w:val="20"/>
                <w:u w:val="single"/>
              </w:rPr>
              <w:t>2015-16</w:t>
            </w:r>
          </w:p>
        </w:tc>
      </w:tr>
      <w:tr w:rsidR="00182A3C" w:rsidRPr="000B0102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182A3C" w:rsidRPr="000B0102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Physical Education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0B0102">
              <w:rPr>
                <w:rFonts w:ascii="Arial Narrow" w:hAnsi="Arial Narrow"/>
                <w:sz w:val="20"/>
                <w:szCs w:val="20"/>
              </w:rPr>
              <w:t>Thompson, Sam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665A63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Teacher-CTE</w:t>
            </w:r>
          </w:p>
          <w:p w:rsidR="00182A3C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824D34">
              <w:rPr>
                <w:rFonts w:ascii="Arial Narrow" w:hAnsi="Arial Narrow"/>
                <w:sz w:val="20"/>
                <w:szCs w:val="20"/>
              </w:rPr>
              <w:t>Woods, Jim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Teacher- 9-12 World Languages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Losego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Louise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  <w:p w:rsidR="00182A3C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665A63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182A3C" w:rsidRPr="000B0102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Teacher- 9-12 World Language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 w:rsidRPr="00824D34">
              <w:rPr>
                <w:rFonts w:ascii="Arial Narrow" w:hAnsi="Arial Narrow"/>
                <w:sz w:val="20"/>
                <w:szCs w:val="20"/>
              </w:rPr>
              <w:t>Nelson, Barbara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  <w:p w:rsidR="00182A3C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824D3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Art</w:t>
            </w:r>
          </w:p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Andre, Phillip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A83C5F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Teacher- 9-12 Performing Arts</w:t>
            </w:r>
          </w:p>
          <w:p w:rsidR="00182A3C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Cooper, Sara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A83C5F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82A3C" w:rsidRPr="001C15AD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 9-12 Music</w:t>
            </w:r>
          </w:p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Runes, Robert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1C15AD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Teacher-9-12 Special Education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Jones, Angela</w:t>
            </w:r>
          </w:p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665A63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Teacher-9-12 Special Education</w:t>
            </w:r>
          </w:p>
          <w:p w:rsidR="00182A3C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Peters, James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665A63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Teacher-9-10 Science</w:t>
            </w:r>
          </w:p>
          <w:p w:rsidR="00182A3C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7451C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sz w:val="20"/>
                <w:szCs w:val="20"/>
              </w:rPr>
              <w:t>Cross, Sandra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Teacher- 9-10 Biology</w:t>
            </w:r>
          </w:p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Goldsmith, Carol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665A63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right w:val="nil"/>
            </w:tcBorders>
            <w:shd w:val="clear" w:color="auto" w:fill="auto"/>
          </w:tcPr>
          <w:p w:rsidR="00182A3C" w:rsidRDefault="00A94697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Teacher- 10-12 Chemistry</w:t>
            </w:r>
          </w:p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A3C" w:rsidRPr="0007451C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C626B6">
              <w:rPr>
                <w:rFonts w:ascii="Arial Narrow" w:hAnsi="Arial Narrow"/>
                <w:sz w:val="20"/>
                <w:szCs w:val="20"/>
              </w:rPr>
              <w:t>Hupp, Jeff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A3C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F0622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Teacher- 11-12 Calculus</w:t>
            </w:r>
          </w:p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Patton, Susan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F0622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Teacher- 9-10 Algebra</w:t>
            </w:r>
          </w:p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7451C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313C1">
              <w:rPr>
                <w:rFonts w:ascii="Arial Narrow" w:hAnsi="Arial Narrow"/>
                <w:sz w:val="20"/>
                <w:szCs w:val="20"/>
              </w:rPr>
              <w:t>Phillip, John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F0622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Teacher- 9-12 English (H)</w:t>
            </w:r>
          </w:p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8313C1">
              <w:rPr>
                <w:rFonts w:ascii="Arial Narrow" w:hAnsi="Arial Narrow"/>
                <w:sz w:val="20"/>
                <w:szCs w:val="20"/>
              </w:rPr>
              <w:t>Berstyn</w:t>
            </w:r>
            <w:proofErr w:type="spellEnd"/>
            <w:r w:rsidRPr="008313C1">
              <w:rPr>
                <w:rFonts w:ascii="Arial Narrow" w:hAnsi="Arial Narrow"/>
                <w:sz w:val="20"/>
                <w:szCs w:val="20"/>
              </w:rPr>
              <w:t>, Melissa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F0622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 English</w:t>
            </w:r>
          </w:p>
          <w:p w:rsidR="00182A3C" w:rsidRPr="000B0102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Reed, Noel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665A63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F0622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Teacher-9-10 Geometry</w:t>
            </w:r>
          </w:p>
          <w:p w:rsidR="00182A3C" w:rsidRDefault="00182A3C" w:rsidP="00007B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7451C" w:rsidRDefault="00182A3C" w:rsidP="00007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313C1">
              <w:rPr>
                <w:rFonts w:ascii="Arial Narrow" w:hAnsi="Arial Narrow"/>
                <w:sz w:val="20"/>
                <w:szCs w:val="20"/>
              </w:rPr>
              <w:t>Houser, Patrick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182A3C" w:rsidP="00007B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24D34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665A63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A3C" w:rsidRPr="000B0102" w:rsidTr="00824D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A3C" w:rsidRDefault="008F0622" w:rsidP="00007BB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Teacher- 9-12 Social Studies</w:t>
            </w:r>
          </w:p>
          <w:p w:rsidR="008F3286" w:rsidRPr="000B0102" w:rsidRDefault="008F3286" w:rsidP="00EF6B50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Stewart, Sam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007B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824D34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A3C" w:rsidRPr="000B0102" w:rsidRDefault="00182A3C" w:rsidP="00824D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F6B50" w:rsidRPr="000B0102" w:rsidTr="00B615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9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6B50" w:rsidRPr="00EF6B50" w:rsidRDefault="00FF22DC" w:rsidP="00EF6B50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</w:t>
            </w:r>
            <w:r w:rsidR="00EF6B50" w:rsidRPr="00EF6B50">
              <w:rPr>
                <w:rFonts w:ascii="Arial Narrow" w:hAnsi="Arial Narrow"/>
                <w:b/>
                <w:sz w:val="20"/>
                <w:szCs w:val="20"/>
              </w:rPr>
              <w:t>Key:</w:t>
            </w:r>
            <w:r w:rsidR="00EF6B50">
              <w:rPr>
                <w:rFonts w:ascii="Arial Narrow" w:hAnsi="Arial Narrow"/>
                <w:b/>
                <w:sz w:val="20"/>
                <w:szCs w:val="20"/>
              </w:rPr>
              <w:t xml:space="preserve">                </w:t>
            </w:r>
            <w:r w:rsidR="00EF6B50" w:rsidRPr="00EF6B50">
              <w:rPr>
                <w:rFonts w:ascii="Arial Narrow" w:hAnsi="Arial Narrow"/>
                <w:b/>
                <w:sz w:val="20"/>
                <w:szCs w:val="20"/>
              </w:rPr>
              <w:t xml:space="preserve"> HE= Highly Effective    </w:t>
            </w:r>
            <w:r w:rsidR="00EF6B50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EF6B50" w:rsidRPr="00EF6B50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  <w:r w:rsidR="00EF6B50">
              <w:rPr>
                <w:rFonts w:ascii="Arial Narrow" w:hAnsi="Arial Narrow"/>
                <w:b/>
                <w:sz w:val="20"/>
                <w:szCs w:val="20"/>
              </w:rPr>
              <w:t xml:space="preserve">        </w:t>
            </w:r>
            <w:r w:rsidR="00EF6B50" w:rsidRPr="00EF6B50">
              <w:rPr>
                <w:rFonts w:ascii="Arial Narrow" w:hAnsi="Arial Narrow"/>
                <w:b/>
                <w:sz w:val="20"/>
                <w:szCs w:val="20"/>
              </w:rPr>
              <w:t xml:space="preserve"> E= Effective     </w:t>
            </w:r>
            <w:r w:rsidR="00EF6B50">
              <w:rPr>
                <w:rFonts w:ascii="Arial Narrow" w:hAnsi="Arial Narrow"/>
                <w:b/>
                <w:sz w:val="20"/>
                <w:szCs w:val="20"/>
              </w:rPr>
              <w:t xml:space="preserve">            </w:t>
            </w:r>
            <w:r w:rsidR="00EF6B50" w:rsidRPr="00EF6B50">
              <w:rPr>
                <w:rFonts w:ascii="Arial Narrow" w:hAnsi="Arial Narrow"/>
                <w:b/>
                <w:sz w:val="20"/>
                <w:szCs w:val="20"/>
              </w:rPr>
              <w:t xml:space="preserve">     D= Developing     </w:t>
            </w:r>
            <w:r w:rsidR="00EF6B50">
              <w:rPr>
                <w:rFonts w:ascii="Arial Narrow" w:hAnsi="Arial Narrow"/>
                <w:b/>
                <w:sz w:val="20"/>
                <w:szCs w:val="20"/>
              </w:rPr>
              <w:t xml:space="preserve">                </w:t>
            </w:r>
            <w:r w:rsidR="00EF6B50" w:rsidRPr="00EF6B50">
              <w:rPr>
                <w:rFonts w:ascii="Arial Narrow" w:hAnsi="Arial Narrow"/>
                <w:b/>
                <w:sz w:val="20"/>
                <w:szCs w:val="20"/>
              </w:rPr>
              <w:t xml:space="preserve">     U= Unsatisfactory</w:t>
            </w:r>
          </w:p>
        </w:tc>
      </w:tr>
    </w:tbl>
    <w:p w:rsidR="00375F7F" w:rsidRPr="00375F7F" w:rsidRDefault="00375F7F"/>
    <w:sectPr w:rsidR="00375F7F" w:rsidRPr="00375F7F" w:rsidSect="00FF22D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35FEF"/>
    <w:multiLevelType w:val="hybridMultilevel"/>
    <w:tmpl w:val="4A60B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A9"/>
    <w:rsid w:val="00006FB7"/>
    <w:rsid w:val="00182A3C"/>
    <w:rsid w:val="001D0F0F"/>
    <w:rsid w:val="002D68E1"/>
    <w:rsid w:val="00346E63"/>
    <w:rsid w:val="00375F7F"/>
    <w:rsid w:val="003C0974"/>
    <w:rsid w:val="004C0503"/>
    <w:rsid w:val="0054120A"/>
    <w:rsid w:val="00665A63"/>
    <w:rsid w:val="007B70F9"/>
    <w:rsid w:val="00824D34"/>
    <w:rsid w:val="00862A68"/>
    <w:rsid w:val="008F0622"/>
    <w:rsid w:val="008F3286"/>
    <w:rsid w:val="00A501D8"/>
    <w:rsid w:val="00A94697"/>
    <w:rsid w:val="00BE09A9"/>
    <w:rsid w:val="00D861B7"/>
    <w:rsid w:val="00E109D3"/>
    <w:rsid w:val="00EF5991"/>
    <w:rsid w:val="00EF6B50"/>
    <w:rsid w:val="00F20157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9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5F7F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F0F"/>
    <w:rPr>
      <w:b/>
      <w:bCs/>
      <w:sz w:val="20"/>
      <w:szCs w:val="20"/>
    </w:rPr>
  </w:style>
  <w:style w:type="table" w:customStyle="1" w:styleId="GridTable7Colorful">
    <w:name w:val="Grid Table 7 Colorful"/>
    <w:basedOn w:val="TableNormal"/>
    <w:uiPriority w:val="52"/>
    <w:rsid w:val="00182A3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82A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9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5F7F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F0F"/>
    <w:rPr>
      <w:b/>
      <w:bCs/>
      <w:sz w:val="20"/>
      <w:szCs w:val="20"/>
    </w:rPr>
  </w:style>
  <w:style w:type="table" w:customStyle="1" w:styleId="GridTable7Colorful">
    <w:name w:val="Grid Table 7 Colorful"/>
    <w:basedOn w:val="TableNormal"/>
    <w:uiPriority w:val="52"/>
    <w:rsid w:val="00182A3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82A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Weeldryer</dc:creator>
  <cp:lastModifiedBy>West Baltimore extras</cp:lastModifiedBy>
  <cp:revision>2</cp:revision>
  <dcterms:created xsi:type="dcterms:W3CDTF">2016-02-16T18:55:00Z</dcterms:created>
  <dcterms:modified xsi:type="dcterms:W3CDTF">2016-02-16T18:55:00Z</dcterms:modified>
</cp:coreProperties>
</file>