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FC" w:rsidRPr="00332F05" w:rsidRDefault="00BF0521" w:rsidP="00BF0521">
      <w:pPr>
        <w:jc w:val="center"/>
        <w:rPr>
          <w:sz w:val="28"/>
        </w:rPr>
      </w:pPr>
      <w:r w:rsidRPr="00332F05">
        <w:rPr>
          <w:b/>
          <w:sz w:val="28"/>
        </w:rPr>
        <w:t>SAFETY CHECKLIST – SC 1110</w:t>
      </w:r>
    </w:p>
    <w:p w:rsidR="00BF0521" w:rsidRDefault="00DE03A2" w:rsidP="00BF0521">
      <w:pPr>
        <w:jc w:val="center"/>
      </w:pPr>
      <w:r>
        <w:t xml:space="preserve">(Updated </w:t>
      </w:r>
      <w:r w:rsidR="00E7030A">
        <w:t>Spring 2017</w:t>
      </w:r>
      <w:r>
        <w:t>)</w:t>
      </w:r>
    </w:p>
    <w:p w:rsidR="00332F05" w:rsidRDefault="00332F05" w:rsidP="00BF0521">
      <w:pPr>
        <w:jc w:val="center"/>
      </w:pPr>
      <w:bookmarkStart w:id="0" w:name="_GoBack"/>
      <w:bookmarkEnd w:id="0"/>
    </w:p>
    <w:p w:rsidR="00BF0521" w:rsidRDefault="00DE03A2" w:rsidP="00BF0521">
      <w:r>
        <w:t xml:space="preserve">To work in the laboratory in SC 1110, every person must complete and sign the Standard Operating Procedure for SC 1110, which includes a mandatory laboratory training and orientation. To complete the laboratory </w:t>
      </w:r>
      <w:r w:rsidR="00BF0521">
        <w:t xml:space="preserve">training, each person </w:t>
      </w:r>
      <w:r>
        <w:t xml:space="preserve">must acknowledge that they have been taught the </w:t>
      </w:r>
      <w:r w:rsidR="006F4C1F">
        <w:t>lab</w:t>
      </w:r>
      <w:r>
        <w:t xml:space="preserve"> protocol by signing their initials on each line in this checklist. </w:t>
      </w:r>
      <w:r w:rsidR="00BF0521">
        <w:t>Only after this list is complete, can a new user</w:t>
      </w:r>
      <w:r w:rsidR="006F4C1F">
        <w:t xml:space="preserve"> sign the SOP for</w:t>
      </w:r>
      <w:r>
        <w:t xml:space="preserve"> SC 1110 and </w:t>
      </w:r>
      <w:r w:rsidR="00BF0521">
        <w:t>work in the lab.</w:t>
      </w:r>
    </w:p>
    <w:p w:rsidR="00BF0521" w:rsidRDefault="00BF0521" w:rsidP="00BF0521"/>
    <w:p w:rsidR="00BF0521" w:rsidRDefault="00BF0521" w:rsidP="00BF0521"/>
    <w:p w:rsidR="00B06B8E" w:rsidRDefault="00AB6B17" w:rsidP="00BF0521">
      <w:r>
        <w:t>Trainee Name (Print):</w:t>
      </w:r>
      <w:r w:rsidR="00BF0521">
        <w:t xml:space="preserve"> ___________________________</w:t>
      </w:r>
      <w:r>
        <w:tab/>
        <w:t>Trainer Name</w:t>
      </w:r>
      <w:r w:rsidR="00B06B8E">
        <w:t xml:space="preserve"> </w:t>
      </w:r>
      <w:bookmarkStart w:id="1" w:name="OLE_LINK1"/>
      <w:bookmarkStart w:id="2" w:name="OLE_LINK2"/>
      <w:bookmarkStart w:id="3" w:name="OLE_LINK3"/>
      <w:r w:rsidR="00B06B8E">
        <w:t>(Print)</w:t>
      </w:r>
      <w:bookmarkEnd w:id="1"/>
      <w:bookmarkEnd w:id="2"/>
      <w:bookmarkEnd w:id="3"/>
      <w:r>
        <w:t>: ____________________</w:t>
      </w:r>
    </w:p>
    <w:p w:rsidR="00AB6B17" w:rsidRDefault="00AB6B17" w:rsidP="00BF0521"/>
    <w:p w:rsidR="00AB6B17" w:rsidRDefault="00AB6B17" w:rsidP="00BF0521"/>
    <w:p w:rsidR="00AB6B17" w:rsidRDefault="00AB6B17" w:rsidP="00BF0521">
      <w:r>
        <w:t>Trainee (Sign): ________________________________</w:t>
      </w:r>
      <w:r>
        <w:tab/>
        <w:t>Trainer (Sign): __________________________</w:t>
      </w:r>
    </w:p>
    <w:p w:rsidR="00AB6B17" w:rsidRDefault="00AB6B17" w:rsidP="00BF0521"/>
    <w:p w:rsidR="00AB6B17" w:rsidRDefault="00AB6B17" w:rsidP="00BF0521"/>
    <w:p w:rsidR="00AB6B17" w:rsidRDefault="00AB6B17" w:rsidP="00BF0521">
      <w:r>
        <w:t>Date: _______________________________________</w:t>
      </w:r>
      <w:r>
        <w:tab/>
        <w:t>Date: _________________________________</w:t>
      </w:r>
    </w:p>
    <w:p w:rsidR="00B06B8E" w:rsidRDefault="00B06B8E" w:rsidP="00BF0521"/>
    <w:p w:rsidR="006F4C1F" w:rsidRDefault="006F4C1F" w:rsidP="00BF0521">
      <w:pPr>
        <w:rPr>
          <w:b/>
        </w:rPr>
      </w:pPr>
    </w:p>
    <w:p w:rsidR="006F4C1F" w:rsidRDefault="006F4C1F" w:rsidP="00BF0521">
      <w:pPr>
        <w:rPr>
          <w:b/>
        </w:rPr>
      </w:pPr>
    </w:p>
    <w:p w:rsidR="00BF0521" w:rsidRDefault="00BF0521" w:rsidP="00BF0521">
      <w:pPr>
        <w:rPr>
          <w:b/>
        </w:rPr>
      </w:pPr>
      <w:r>
        <w:rPr>
          <w:b/>
        </w:rPr>
        <w:t>GENERAL OPERATION AND SAFETY</w:t>
      </w:r>
    </w:p>
    <w:p w:rsidR="00B06B8E" w:rsidRPr="00B06B8E" w:rsidRDefault="00B06B8E" w:rsidP="00BF0521">
      <w:r>
        <w:t>Please initial the items on this checklist to indicate that you know and understand the following:</w:t>
      </w:r>
    </w:p>
    <w:p w:rsidR="00BF0521" w:rsidRDefault="00BF0521" w:rsidP="00BF0521"/>
    <w:tbl>
      <w:tblPr>
        <w:tblStyle w:val="TableGrid"/>
        <w:tblW w:w="0" w:type="auto"/>
        <w:tblLook w:val="04A0" w:firstRow="1" w:lastRow="0" w:firstColumn="1" w:lastColumn="0" w:noHBand="0" w:noVBand="1"/>
      </w:tblPr>
      <w:tblGrid>
        <w:gridCol w:w="8005"/>
        <w:gridCol w:w="1260"/>
      </w:tblGrid>
      <w:tr w:rsidR="006F4C1F" w:rsidRPr="00BF0521" w:rsidTr="006F4C1F">
        <w:tc>
          <w:tcPr>
            <w:tcW w:w="8005" w:type="dxa"/>
          </w:tcPr>
          <w:p w:rsidR="006F4C1F" w:rsidRPr="00BF0521" w:rsidRDefault="006F4C1F" w:rsidP="00BF0521">
            <w:pPr>
              <w:jc w:val="center"/>
              <w:rPr>
                <w:b/>
              </w:rPr>
            </w:pPr>
            <w:r w:rsidRPr="00BF0521">
              <w:rPr>
                <w:b/>
              </w:rPr>
              <w:t>Item</w:t>
            </w:r>
          </w:p>
        </w:tc>
        <w:tc>
          <w:tcPr>
            <w:tcW w:w="1260" w:type="dxa"/>
          </w:tcPr>
          <w:p w:rsidR="006F4C1F" w:rsidRPr="00BF0521" w:rsidRDefault="006F4C1F" w:rsidP="00BF0521">
            <w:pPr>
              <w:jc w:val="center"/>
              <w:rPr>
                <w:b/>
              </w:rPr>
            </w:pPr>
            <w:r w:rsidRPr="00BF0521">
              <w:rPr>
                <w:b/>
              </w:rPr>
              <w:t>Initials</w:t>
            </w:r>
          </w:p>
        </w:tc>
      </w:tr>
      <w:tr w:rsidR="006F4C1F" w:rsidTr="006F4C1F">
        <w:tc>
          <w:tcPr>
            <w:tcW w:w="8005" w:type="dxa"/>
          </w:tcPr>
          <w:p w:rsidR="006F4C1F" w:rsidRPr="00E7030A" w:rsidRDefault="006F4C1F" w:rsidP="00127A4E">
            <w:pPr>
              <w:spacing w:before="120" w:after="120"/>
              <w:rPr>
                <w:sz w:val="20"/>
              </w:rPr>
            </w:pPr>
            <w:r w:rsidRPr="00E7030A">
              <w:rPr>
                <w:sz w:val="20"/>
              </w:rPr>
              <w:t>Know the door code and not to share it with others</w:t>
            </w:r>
            <w:r w:rsidR="00334C15" w:rsidRPr="00E7030A">
              <w:rPr>
                <w:sz w:val="20"/>
              </w:rPr>
              <w:t>.</w:t>
            </w:r>
          </w:p>
        </w:tc>
        <w:tc>
          <w:tcPr>
            <w:tcW w:w="1260" w:type="dxa"/>
          </w:tcPr>
          <w:p w:rsidR="006F4C1F" w:rsidRDefault="006F4C1F" w:rsidP="00127A4E">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Understand access limitations for the lab. Only</w:t>
            </w:r>
            <w:r w:rsidR="00937EC3" w:rsidRPr="00E7030A">
              <w:rPr>
                <w:sz w:val="20"/>
              </w:rPr>
              <w:t xml:space="preserve"> people that have completed the</w:t>
            </w:r>
            <w:r w:rsidRPr="00E7030A">
              <w:rPr>
                <w:sz w:val="20"/>
              </w:rPr>
              <w:t xml:space="preserve"> SOP are allowed into the lab</w:t>
            </w:r>
            <w:r w:rsidR="00334C15" w:rsidRPr="00E7030A">
              <w:rPr>
                <w:sz w:val="20"/>
              </w:rPr>
              <w:t>.</w:t>
            </w:r>
          </w:p>
        </w:tc>
        <w:tc>
          <w:tcPr>
            <w:tcW w:w="1260" w:type="dxa"/>
          </w:tcPr>
          <w:p w:rsidR="006F4C1F" w:rsidRDefault="006F4C1F" w:rsidP="002F4391">
            <w:pPr>
              <w:spacing w:before="120" w:after="120"/>
            </w:pPr>
          </w:p>
        </w:tc>
      </w:tr>
      <w:tr w:rsidR="0037020D" w:rsidTr="006F4C1F">
        <w:tc>
          <w:tcPr>
            <w:tcW w:w="8005" w:type="dxa"/>
          </w:tcPr>
          <w:p w:rsidR="0037020D" w:rsidRPr="00E7030A" w:rsidRDefault="0037020D" w:rsidP="002F4391">
            <w:pPr>
              <w:spacing w:before="120" w:after="120"/>
              <w:rPr>
                <w:sz w:val="20"/>
              </w:rPr>
            </w:pPr>
            <w:r w:rsidRPr="00E7030A">
              <w:rPr>
                <w:sz w:val="20"/>
              </w:rPr>
              <w:t xml:space="preserve">Know to wipe shoes on sticky mat upon entering lab, and to keep dust to a minimum in the lab. </w:t>
            </w:r>
          </w:p>
        </w:tc>
        <w:tc>
          <w:tcPr>
            <w:tcW w:w="1260" w:type="dxa"/>
          </w:tcPr>
          <w:p w:rsidR="0037020D" w:rsidRDefault="0037020D"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Know where the personal protective equipment is stored, including lab coats, safety goggles, gloves, face mask, apron, and sleeves</w:t>
            </w:r>
            <w:r w:rsidR="00334C15"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Know that long pants and closed toed shoes are required to be worn in the lab at all times</w:t>
            </w:r>
            <w:r w:rsidR="00334C15"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Know that food and drink are prohibited in the lab at all times</w:t>
            </w:r>
            <w:r w:rsidR="00334C15"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4E05B6">
            <w:pPr>
              <w:spacing w:before="120" w:after="120"/>
              <w:rPr>
                <w:sz w:val="20"/>
              </w:rPr>
            </w:pPr>
            <w:r w:rsidRPr="00E7030A">
              <w:rPr>
                <w:sz w:val="20"/>
              </w:rPr>
              <w:t xml:space="preserve">Know the policy on working alone in the lab: If you will work with acids and/or chemicals, you must have completed the SOP for that chemical and/or procedure. You must notify your PI or another student with lab access what your planned activity is, the time you will spend doing the procedure, and when you expect to finish so that somebody is aware of what you will be doing. </w:t>
            </w:r>
          </w:p>
        </w:tc>
        <w:tc>
          <w:tcPr>
            <w:tcW w:w="1260" w:type="dxa"/>
          </w:tcPr>
          <w:p w:rsidR="006F4C1F" w:rsidRDefault="006F4C1F" w:rsidP="002F4391">
            <w:pPr>
              <w:spacing w:before="120" w:after="120"/>
            </w:pPr>
          </w:p>
        </w:tc>
      </w:tr>
      <w:tr w:rsidR="006F4C1F" w:rsidTr="006F4C1F">
        <w:tc>
          <w:tcPr>
            <w:tcW w:w="8005" w:type="dxa"/>
          </w:tcPr>
          <w:p w:rsidR="006F4C1F" w:rsidRPr="00E7030A" w:rsidRDefault="00334C15" w:rsidP="002F4391">
            <w:pPr>
              <w:spacing w:before="120" w:after="120"/>
              <w:rPr>
                <w:sz w:val="20"/>
              </w:rPr>
            </w:pPr>
            <w:r w:rsidRPr="00E7030A">
              <w:rPr>
                <w:sz w:val="20"/>
              </w:rPr>
              <w:t xml:space="preserve">Know the policy on working with hydrofluoric acid: Hydrofluoric acid is not to be used alone. Another person must be present in the lab with you when you work with hydrofluoric acid. </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Know the location of eyewash and safety shower</w:t>
            </w:r>
            <w:r w:rsidR="00C252BF" w:rsidRPr="00E7030A">
              <w:rPr>
                <w:sz w:val="20"/>
              </w:rPr>
              <w:t>,</w:t>
            </w:r>
            <w:r w:rsidRPr="00E7030A">
              <w:rPr>
                <w:sz w:val="20"/>
              </w:rPr>
              <w:t xml:space="preserve"> and how to use each</w:t>
            </w:r>
            <w:r w:rsidR="00C252BF"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lastRenderedPageBreak/>
              <w:t>Know where the Calcium Gluconate cream is located, and how and when to use it</w:t>
            </w:r>
            <w:r w:rsidR="00C252BF"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Know where the phone is, and important phone numbers in case of an emergency</w:t>
            </w:r>
            <w:r w:rsidR="00C252BF"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Know chemical storage locations for acids, bases, flammables, and waste pickup</w:t>
            </w:r>
            <w:r w:rsidR="00C252BF"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Understand secondary container requirements</w:t>
            </w:r>
            <w:r w:rsidR="00C252BF"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C3443E" w:rsidP="002F4391">
            <w:pPr>
              <w:spacing w:before="120" w:after="120"/>
              <w:rPr>
                <w:sz w:val="20"/>
              </w:rPr>
            </w:pPr>
            <w:r w:rsidRPr="00E7030A">
              <w:rPr>
                <w:sz w:val="20"/>
              </w:rPr>
              <w:t>Know</w:t>
            </w:r>
            <w:r w:rsidR="006F4C1F" w:rsidRPr="00E7030A">
              <w:rPr>
                <w:sz w:val="20"/>
              </w:rPr>
              <w:t xml:space="preserve"> where the spill kit is, what its contents are, and when and how to use them</w:t>
            </w:r>
            <w:r w:rsidR="00C252BF"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Know chemical waste storage area and requirements</w:t>
            </w:r>
            <w:r w:rsidR="005F7DD8" w:rsidRPr="00E7030A">
              <w:rPr>
                <w:sz w:val="20"/>
              </w:rPr>
              <w:t xml:space="preserve"> for pick up</w:t>
            </w:r>
            <w:r w:rsidR="00C252BF"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2F4391">
            <w:pPr>
              <w:spacing w:before="120" w:after="120"/>
              <w:rPr>
                <w:sz w:val="20"/>
              </w:rPr>
            </w:pPr>
            <w:r w:rsidRPr="00E7030A">
              <w:rPr>
                <w:sz w:val="20"/>
              </w:rPr>
              <w:t>Understand procedure for chemical waste disposal and pick up</w:t>
            </w:r>
            <w:r w:rsidR="00C3443E" w:rsidRPr="00E7030A">
              <w:rPr>
                <w:sz w:val="20"/>
              </w:rPr>
              <w:t>.</w:t>
            </w:r>
          </w:p>
        </w:tc>
        <w:tc>
          <w:tcPr>
            <w:tcW w:w="1260" w:type="dxa"/>
          </w:tcPr>
          <w:p w:rsidR="006F4C1F" w:rsidRDefault="006F4C1F" w:rsidP="002F4391">
            <w:pPr>
              <w:spacing w:before="120" w:after="120"/>
            </w:pPr>
          </w:p>
        </w:tc>
      </w:tr>
      <w:tr w:rsidR="006F4C1F" w:rsidTr="006F4C1F">
        <w:tc>
          <w:tcPr>
            <w:tcW w:w="8005" w:type="dxa"/>
          </w:tcPr>
          <w:p w:rsidR="006F4C1F" w:rsidRPr="00E7030A" w:rsidRDefault="006F4C1F" w:rsidP="0048681E">
            <w:pPr>
              <w:spacing w:before="120" w:after="120"/>
              <w:rPr>
                <w:sz w:val="20"/>
              </w:rPr>
            </w:pPr>
            <w:r w:rsidRPr="00E7030A">
              <w:rPr>
                <w:sz w:val="20"/>
              </w:rPr>
              <w:t>Know that no chemical wastes go down the drain</w:t>
            </w:r>
            <w:r w:rsidR="00C3443E" w:rsidRPr="00E7030A">
              <w:rPr>
                <w:sz w:val="20"/>
              </w:rPr>
              <w:t>.</w:t>
            </w:r>
          </w:p>
        </w:tc>
        <w:tc>
          <w:tcPr>
            <w:tcW w:w="1260" w:type="dxa"/>
          </w:tcPr>
          <w:p w:rsidR="006F4C1F" w:rsidRDefault="006F4C1F" w:rsidP="0048681E">
            <w:pPr>
              <w:spacing w:before="120" w:after="120"/>
            </w:pPr>
          </w:p>
        </w:tc>
      </w:tr>
      <w:tr w:rsidR="006F4C1F" w:rsidTr="006F4C1F">
        <w:tc>
          <w:tcPr>
            <w:tcW w:w="8005" w:type="dxa"/>
          </w:tcPr>
          <w:p w:rsidR="006F4C1F" w:rsidRPr="00E7030A" w:rsidRDefault="00C3443E" w:rsidP="00B06B8E">
            <w:pPr>
              <w:spacing w:before="120" w:after="120"/>
              <w:rPr>
                <w:sz w:val="20"/>
              </w:rPr>
            </w:pPr>
            <w:r w:rsidRPr="00E7030A">
              <w:rPr>
                <w:sz w:val="20"/>
              </w:rPr>
              <w:t>Know</w:t>
            </w:r>
            <w:r w:rsidR="006F4C1F" w:rsidRPr="00E7030A">
              <w:rPr>
                <w:sz w:val="20"/>
              </w:rPr>
              <w:t xml:space="preserve"> which sinks have sediment traps so that small amounts of sediment can go down those sinks and not down those that do not have sediment traps</w:t>
            </w:r>
            <w:r w:rsidRPr="00E7030A">
              <w:rPr>
                <w:sz w:val="20"/>
              </w:rPr>
              <w:t>.</w:t>
            </w:r>
          </w:p>
        </w:tc>
        <w:tc>
          <w:tcPr>
            <w:tcW w:w="1260" w:type="dxa"/>
          </w:tcPr>
          <w:p w:rsidR="006F4C1F" w:rsidRDefault="006F4C1F" w:rsidP="0048681E">
            <w:pPr>
              <w:spacing w:before="120" w:after="120"/>
            </w:pPr>
          </w:p>
        </w:tc>
      </w:tr>
      <w:tr w:rsidR="006F4C1F" w:rsidTr="006F4C1F">
        <w:tc>
          <w:tcPr>
            <w:tcW w:w="8005" w:type="dxa"/>
          </w:tcPr>
          <w:p w:rsidR="006F4C1F" w:rsidRPr="00E7030A" w:rsidRDefault="006F4C1F" w:rsidP="00B06B8E">
            <w:pPr>
              <w:spacing w:before="120" w:after="120"/>
              <w:rPr>
                <w:sz w:val="20"/>
              </w:rPr>
            </w:pPr>
            <w:r w:rsidRPr="00E7030A">
              <w:rPr>
                <w:sz w:val="20"/>
              </w:rPr>
              <w:t>Understand the sink system for tap water and de-ionized water</w:t>
            </w:r>
            <w:r w:rsidR="00C3443E" w:rsidRPr="00E7030A">
              <w:rPr>
                <w:sz w:val="20"/>
              </w:rPr>
              <w:t>.</w:t>
            </w:r>
          </w:p>
        </w:tc>
        <w:tc>
          <w:tcPr>
            <w:tcW w:w="1260" w:type="dxa"/>
          </w:tcPr>
          <w:p w:rsidR="006F4C1F" w:rsidRDefault="006F4C1F" w:rsidP="0048681E">
            <w:pPr>
              <w:spacing w:before="120" w:after="120"/>
            </w:pPr>
          </w:p>
        </w:tc>
      </w:tr>
      <w:tr w:rsidR="006F4C1F" w:rsidTr="006F4C1F">
        <w:tc>
          <w:tcPr>
            <w:tcW w:w="8005" w:type="dxa"/>
          </w:tcPr>
          <w:p w:rsidR="006F4C1F" w:rsidRPr="00E7030A" w:rsidRDefault="00E25FCC" w:rsidP="0048681E">
            <w:pPr>
              <w:spacing w:before="120" w:after="120"/>
              <w:rPr>
                <w:sz w:val="20"/>
              </w:rPr>
            </w:pPr>
            <w:r w:rsidRPr="00E7030A">
              <w:rPr>
                <w:sz w:val="20"/>
              </w:rPr>
              <w:t>Understand</w:t>
            </w:r>
            <w:r w:rsidR="006F4C1F" w:rsidRPr="00E7030A">
              <w:rPr>
                <w:sz w:val="20"/>
              </w:rPr>
              <w:t xml:space="preserve"> how the fume hood works and knows how to tell if it is working properly</w:t>
            </w:r>
            <w:r w:rsidR="00C3443E" w:rsidRPr="00E7030A">
              <w:rPr>
                <w:sz w:val="20"/>
              </w:rPr>
              <w:t>.</w:t>
            </w:r>
          </w:p>
        </w:tc>
        <w:tc>
          <w:tcPr>
            <w:tcW w:w="1260" w:type="dxa"/>
          </w:tcPr>
          <w:p w:rsidR="006F4C1F" w:rsidRDefault="006F4C1F" w:rsidP="0048681E">
            <w:pPr>
              <w:spacing w:before="120" w:after="120"/>
            </w:pPr>
          </w:p>
        </w:tc>
      </w:tr>
      <w:tr w:rsidR="006F4C1F" w:rsidTr="006F4C1F">
        <w:tc>
          <w:tcPr>
            <w:tcW w:w="8005" w:type="dxa"/>
          </w:tcPr>
          <w:p w:rsidR="006F4C1F" w:rsidRPr="00E7030A" w:rsidRDefault="00C3443E" w:rsidP="0048681E">
            <w:pPr>
              <w:spacing w:before="120" w:after="120"/>
              <w:rPr>
                <w:sz w:val="20"/>
              </w:rPr>
            </w:pPr>
            <w:r w:rsidRPr="00E7030A">
              <w:rPr>
                <w:sz w:val="20"/>
              </w:rPr>
              <w:t>Know</w:t>
            </w:r>
            <w:r w:rsidR="006F4C1F" w:rsidRPr="00E7030A">
              <w:rPr>
                <w:sz w:val="20"/>
              </w:rPr>
              <w:t xml:space="preserve"> the maximum</w:t>
            </w:r>
            <w:r w:rsidR="005F7DD8" w:rsidRPr="00E7030A">
              <w:rPr>
                <w:sz w:val="20"/>
              </w:rPr>
              <w:t xml:space="preserve"> working</w:t>
            </w:r>
            <w:r w:rsidR="006F4C1F" w:rsidRPr="00E7030A">
              <w:rPr>
                <w:sz w:val="20"/>
              </w:rPr>
              <w:t xml:space="preserve"> </w:t>
            </w:r>
            <w:r w:rsidR="00EA359C" w:rsidRPr="00E7030A">
              <w:rPr>
                <w:sz w:val="20"/>
              </w:rPr>
              <w:t>sash height on the fume hood (</w:t>
            </w:r>
            <w:r w:rsidR="006F4C1F" w:rsidRPr="00E7030A">
              <w:rPr>
                <w:sz w:val="20"/>
              </w:rPr>
              <w:t>18 inches</w:t>
            </w:r>
            <w:r w:rsidR="00EA359C" w:rsidRPr="00E7030A">
              <w:rPr>
                <w:sz w:val="20"/>
              </w:rPr>
              <w:t>)</w:t>
            </w:r>
            <w:r w:rsidR="006F4C1F" w:rsidRPr="00E7030A">
              <w:rPr>
                <w:sz w:val="20"/>
              </w:rPr>
              <w:t xml:space="preserve"> and where it is marked on the hood</w:t>
            </w:r>
            <w:r w:rsidRPr="00E7030A">
              <w:rPr>
                <w:sz w:val="20"/>
              </w:rPr>
              <w:t>.</w:t>
            </w:r>
          </w:p>
        </w:tc>
        <w:tc>
          <w:tcPr>
            <w:tcW w:w="1260" w:type="dxa"/>
          </w:tcPr>
          <w:p w:rsidR="006F4C1F" w:rsidRDefault="006F4C1F" w:rsidP="0048681E">
            <w:pPr>
              <w:spacing w:before="120" w:after="120"/>
            </w:pPr>
          </w:p>
        </w:tc>
      </w:tr>
      <w:tr w:rsidR="006F4C1F" w:rsidTr="006F4C1F">
        <w:tc>
          <w:tcPr>
            <w:tcW w:w="8005" w:type="dxa"/>
          </w:tcPr>
          <w:p w:rsidR="006F4C1F" w:rsidRPr="00E7030A" w:rsidRDefault="00C3443E" w:rsidP="0048681E">
            <w:pPr>
              <w:spacing w:before="120" w:after="120"/>
              <w:rPr>
                <w:sz w:val="20"/>
              </w:rPr>
            </w:pPr>
            <w:r w:rsidRPr="00E7030A">
              <w:rPr>
                <w:sz w:val="20"/>
              </w:rPr>
              <w:t>Know</w:t>
            </w:r>
            <w:r w:rsidR="006F4C1F" w:rsidRPr="00E7030A">
              <w:rPr>
                <w:sz w:val="20"/>
              </w:rPr>
              <w:t xml:space="preserve"> that air and natural gas are hooked up to the fume hood</w:t>
            </w:r>
            <w:r w:rsidRPr="00E7030A">
              <w:rPr>
                <w:sz w:val="20"/>
              </w:rPr>
              <w:t>, and know</w:t>
            </w:r>
            <w:r w:rsidR="006F4C1F" w:rsidRPr="00E7030A">
              <w:rPr>
                <w:sz w:val="20"/>
              </w:rPr>
              <w:t xml:space="preserve"> to stop work and call for help immediately if there is a suspected gas leak</w:t>
            </w:r>
            <w:r w:rsidRPr="00E7030A">
              <w:rPr>
                <w:sz w:val="20"/>
              </w:rPr>
              <w:t>.</w:t>
            </w:r>
          </w:p>
        </w:tc>
        <w:tc>
          <w:tcPr>
            <w:tcW w:w="1260" w:type="dxa"/>
          </w:tcPr>
          <w:p w:rsidR="006F4C1F" w:rsidRDefault="006F4C1F" w:rsidP="0048681E">
            <w:pPr>
              <w:spacing w:before="120" w:after="120"/>
            </w:pPr>
          </w:p>
        </w:tc>
      </w:tr>
      <w:tr w:rsidR="006F4C1F" w:rsidTr="006F4C1F">
        <w:tc>
          <w:tcPr>
            <w:tcW w:w="8005" w:type="dxa"/>
          </w:tcPr>
          <w:p w:rsidR="006F4C1F" w:rsidRPr="00E7030A" w:rsidRDefault="00C3443E" w:rsidP="0048681E">
            <w:pPr>
              <w:spacing w:before="120" w:after="120"/>
              <w:rPr>
                <w:sz w:val="20"/>
              </w:rPr>
            </w:pPr>
            <w:r w:rsidRPr="00E7030A">
              <w:rPr>
                <w:sz w:val="20"/>
              </w:rPr>
              <w:t>Know</w:t>
            </w:r>
            <w:r w:rsidR="006F4C1F" w:rsidRPr="00E7030A">
              <w:rPr>
                <w:sz w:val="20"/>
              </w:rPr>
              <w:t xml:space="preserve"> that there is a mercury barometer and thermometer in the lab and to call Environmental Health and Safety if there is a leak or if </w:t>
            </w:r>
            <w:r w:rsidRPr="00E7030A">
              <w:rPr>
                <w:sz w:val="20"/>
              </w:rPr>
              <w:t xml:space="preserve">you suspect one. </w:t>
            </w:r>
          </w:p>
        </w:tc>
        <w:tc>
          <w:tcPr>
            <w:tcW w:w="1260" w:type="dxa"/>
          </w:tcPr>
          <w:p w:rsidR="006F4C1F" w:rsidRDefault="006F4C1F" w:rsidP="0048681E">
            <w:pPr>
              <w:spacing w:before="120" w:after="120"/>
            </w:pPr>
          </w:p>
        </w:tc>
      </w:tr>
      <w:tr w:rsidR="006F4C1F" w:rsidTr="006F4C1F">
        <w:tc>
          <w:tcPr>
            <w:tcW w:w="8005" w:type="dxa"/>
          </w:tcPr>
          <w:p w:rsidR="006F4C1F" w:rsidRPr="00E7030A" w:rsidRDefault="005F7DD8" w:rsidP="0048681E">
            <w:pPr>
              <w:spacing w:before="120" w:after="120"/>
              <w:rPr>
                <w:sz w:val="20"/>
              </w:rPr>
            </w:pPr>
            <w:r w:rsidRPr="00E7030A">
              <w:rPr>
                <w:sz w:val="20"/>
              </w:rPr>
              <w:t xml:space="preserve">Know that the acid waste neutralization bucket stays in the fume hood while in use, and that it contains a mix of acids and bases. </w:t>
            </w:r>
          </w:p>
        </w:tc>
        <w:tc>
          <w:tcPr>
            <w:tcW w:w="1260" w:type="dxa"/>
          </w:tcPr>
          <w:p w:rsidR="006F4C1F" w:rsidRDefault="006F4C1F" w:rsidP="0048681E">
            <w:pPr>
              <w:spacing w:before="120" w:after="120"/>
            </w:pPr>
          </w:p>
        </w:tc>
      </w:tr>
      <w:tr w:rsidR="006F4C1F" w:rsidTr="006F4C1F">
        <w:tc>
          <w:tcPr>
            <w:tcW w:w="8005" w:type="dxa"/>
          </w:tcPr>
          <w:p w:rsidR="006F4C1F" w:rsidRPr="00E7030A" w:rsidRDefault="005F7DD8" w:rsidP="0048681E">
            <w:pPr>
              <w:spacing w:before="120" w:after="120"/>
              <w:rPr>
                <w:sz w:val="20"/>
              </w:rPr>
            </w:pPr>
            <w:r w:rsidRPr="00E7030A">
              <w:rPr>
                <w:sz w:val="20"/>
              </w:rPr>
              <w:t>Know where broken glass is dispos</w:t>
            </w:r>
            <w:r w:rsidR="00F938DC" w:rsidRPr="00E7030A">
              <w:rPr>
                <w:sz w:val="20"/>
              </w:rPr>
              <w:t xml:space="preserve">ed. </w:t>
            </w:r>
          </w:p>
        </w:tc>
        <w:tc>
          <w:tcPr>
            <w:tcW w:w="1260" w:type="dxa"/>
          </w:tcPr>
          <w:p w:rsidR="006F4C1F" w:rsidRDefault="006F4C1F" w:rsidP="0048681E">
            <w:pPr>
              <w:spacing w:before="120" w:after="120"/>
            </w:pPr>
          </w:p>
        </w:tc>
      </w:tr>
      <w:tr w:rsidR="007868CB" w:rsidTr="006F4C1F">
        <w:tc>
          <w:tcPr>
            <w:tcW w:w="8005" w:type="dxa"/>
          </w:tcPr>
          <w:p w:rsidR="007868CB" w:rsidRPr="00E7030A" w:rsidRDefault="00E7030A" w:rsidP="007868CB">
            <w:pPr>
              <w:spacing w:before="120" w:after="120"/>
              <w:rPr>
                <w:sz w:val="20"/>
              </w:rPr>
            </w:pPr>
            <w:r>
              <w:rPr>
                <w:sz w:val="20"/>
              </w:rPr>
              <w:t xml:space="preserve">Know that headphones are not to be used in the lab. There are speakers on the computer that can be used. </w:t>
            </w:r>
          </w:p>
        </w:tc>
        <w:tc>
          <w:tcPr>
            <w:tcW w:w="1260" w:type="dxa"/>
          </w:tcPr>
          <w:p w:rsidR="007868CB" w:rsidRDefault="007868CB" w:rsidP="0048681E">
            <w:pPr>
              <w:spacing w:before="120" w:after="120"/>
            </w:pPr>
          </w:p>
        </w:tc>
      </w:tr>
      <w:tr w:rsidR="00E7030A" w:rsidTr="006F4C1F">
        <w:tc>
          <w:tcPr>
            <w:tcW w:w="8005" w:type="dxa"/>
          </w:tcPr>
          <w:p w:rsidR="00E7030A" w:rsidRPr="00E7030A" w:rsidRDefault="00E7030A" w:rsidP="007868CB">
            <w:pPr>
              <w:spacing w:before="120" w:after="120"/>
              <w:rPr>
                <w:sz w:val="20"/>
              </w:rPr>
            </w:pPr>
            <w:r>
              <w:rPr>
                <w:sz w:val="20"/>
              </w:rPr>
              <w:t>Know to use the whiteboard to label samples, what they contain, and procedures they are in.</w:t>
            </w:r>
          </w:p>
        </w:tc>
        <w:tc>
          <w:tcPr>
            <w:tcW w:w="1260" w:type="dxa"/>
          </w:tcPr>
          <w:p w:rsidR="00E7030A" w:rsidRDefault="00E7030A" w:rsidP="0048681E">
            <w:pPr>
              <w:spacing w:before="120" w:after="120"/>
            </w:pPr>
          </w:p>
        </w:tc>
      </w:tr>
      <w:tr w:rsidR="00E7030A" w:rsidTr="006F4C1F">
        <w:tc>
          <w:tcPr>
            <w:tcW w:w="8005" w:type="dxa"/>
          </w:tcPr>
          <w:p w:rsidR="00E7030A" w:rsidRPr="00E7030A" w:rsidRDefault="00E7030A" w:rsidP="007868CB">
            <w:pPr>
              <w:spacing w:before="120" w:after="120"/>
              <w:rPr>
                <w:sz w:val="20"/>
              </w:rPr>
            </w:pPr>
            <w:r>
              <w:rPr>
                <w:sz w:val="20"/>
              </w:rPr>
              <w:t xml:space="preserve">Knows that this is shared lab space, the importance of communication, and the roles and responsibilities of all lab users. </w:t>
            </w:r>
          </w:p>
        </w:tc>
        <w:tc>
          <w:tcPr>
            <w:tcW w:w="1260" w:type="dxa"/>
          </w:tcPr>
          <w:p w:rsidR="00E7030A" w:rsidRDefault="00E7030A" w:rsidP="0048681E">
            <w:pPr>
              <w:spacing w:before="120" w:after="120"/>
            </w:pPr>
          </w:p>
        </w:tc>
      </w:tr>
      <w:tr w:rsidR="00E7030A" w:rsidTr="006F4C1F">
        <w:tc>
          <w:tcPr>
            <w:tcW w:w="8005" w:type="dxa"/>
          </w:tcPr>
          <w:p w:rsidR="00E7030A" w:rsidRPr="00E7030A" w:rsidRDefault="00E7030A" w:rsidP="007868CB">
            <w:pPr>
              <w:spacing w:before="120" w:after="120"/>
              <w:rPr>
                <w:sz w:val="20"/>
              </w:rPr>
            </w:pPr>
            <w:r w:rsidRPr="00E7030A">
              <w:rPr>
                <w:sz w:val="20"/>
              </w:rPr>
              <w:t>Have the PI’s and LM’s office, lab, and cell phone on record</w:t>
            </w:r>
          </w:p>
        </w:tc>
        <w:tc>
          <w:tcPr>
            <w:tcW w:w="1260" w:type="dxa"/>
          </w:tcPr>
          <w:p w:rsidR="00E7030A" w:rsidRDefault="00E7030A" w:rsidP="0048681E">
            <w:pPr>
              <w:spacing w:before="120" w:after="120"/>
            </w:pPr>
          </w:p>
        </w:tc>
      </w:tr>
    </w:tbl>
    <w:p w:rsidR="00BF0521" w:rsidRPr="00BF0521" w:rsidRDefault="00BF0521" w:rsidP="00BF0521"/>
    <w:sectPr w:rsidR="00BF0521" w:rsidRPr="00BF05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35" w:rsidRDefault="00C25F35" w:rsidP="00E220DC">
      <w:r>
        <w:separator/>
      </w:r>
    </w:p>
  </w:endnote>
  <w:endnote w:type="continuationSeparator" w:id="0">
    <w:p w:rsidR="00C25F35" w:rsidRDefault="00C25F35" w:rsidP="00E2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021934"/>
      <w:docPartObj>
        <w:docPartGallery w:val="Page Numbers (Bottom of Page)"/>
        <w:docPartUnique/>
      </w:docPartObj>
    </w:sdtPr>
    <w:sdtEndPr/>
    <w:sdtContent>
      <w:sdt>
        <w:sdtPr>
          <w:id w:val="-1769616900"/>
          <w:docPartObj>
            <w:docPartGallery w:val="Page Numbers (Top of Page)"/>
            <w:docPartUnique/>
          </w:docPartObj>
        </w:sdtPr>
        <w:sdtEndPr/>
        <w:sdtContent>
          <w:p w:rsidR="00E220DC" w:rsidRDefault="00E220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2F0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2F05">
              <w:rPr>
                <w:b/>
                <w:bCs/>
                <w:noProof/>
              </w:rPr>
              <w:t>2</w:t>
            </w:r>
            <w:r>
              <w:rPr>
                <w:b/>
                <w:bCs/>
                <w:sz w:val="24"/>
                <w:szCs w:val="24"/>
              </w:rPr>
              <w:fldChar w:fldCharType="end"/>
            </w:r>
          </w:p>
        </w:sdtContent>
      </w:sdt>
    </w:sdtContent>
  </w:sdt>
  <w:p w:rsidR="00E220DC" w:rsidRDefault="00E22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35" w:rsidRDefault="00C25F35" w:rsidP="00E220DC">
      <w:r>
        <w:separator/>
      </w:r>
    </w:p>
  </w:footnote>
  <w:footnote w:type="continuationSeparator" w:id="0">
    <w:p w:rsidR="00C25F35" w:rsidRDefault="00C25F35" w:rsidP="00E22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21"/>
    <w:rsid w:val="00017CBA"/>
    <w:rsid w:val="00127A4E"/>
    <w:rsid w:val="001861B4"/>
    <w:rsid w:val="001E7ABC"/>
    <w:rsid w:val="002325B3"/>
    <w:rsid w:val="00332F05"/>
    <w:rsid w:val="00334C15"/>
    <w:rsid w:val="0037020D"/>
    <w:rsid w:val="004E05B6"/>
    <w:rsid w:val="005F7DD8"/>
    <w:rsid w:val="006F4C1F"/>
    <w:rsid w:val="007868CB"/>
    <w:rsid w:val="007E255E"/>
    <w:rsid w:val="00845BE2"/>
    <w:rsid w:val="00937EC3"/>
    <w:rsid w:val="00961A7F"/>
    <w:rsid w:val="00962590"/>
    <w:rsid w:val="00AB6B17"/>
    <w:rsid w:val="00B06B8E"/>
    <w:rsid w:val="00B17469"/>
    <w:rsid w:val="00BF0521"/>
    <w:rsid w:val="00C252BF"/>
    <w:rsid w:val="00C25F35"/>
    <w:rsid w:val="00C3443E"/>
    <w:rsid w:val="00C35843"/>
    <w:rsid w:val="00D142E3"/>
    <w:rsid w:val="00D617BF"/>
    <w:rsid w:val="00DB2E18"/>
    <w:rsid w:val="00DE03A2"/>
    <w:rsid w:val="00E220DC"/>
    <w:rsid w:val="00E25FCC"/>
    <w:rsid w:val="00E7030A"/>
    <w:rsid w:val="00EA359C"/>
    <w:rsid w:val="00EA52FC"/>
    <w:rsid w:val="00F65B86"/>
    <w:rsid w:val="00F9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A5B22-7A44-4E07-AD61-3DBD5BBA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55E"/>
    <w:rPr>
      <w:rFonts w:ascii="Segoe UI" w:hAnsi="Segoe UI" w:cs="Segoe UI"/>
      <w:sz w:val="18"/>
      <w:szCs w:val="18"/>
    </w:rPr>
  </w:style>
  <w:style w:type="paragraph" w:styleId="Header">
    <w:name w:val="header"/>
    <w:basedOn w:val="Normal"/>
    <w:link w:val="HeaderChar"/>
    <w:uiPriority w:val="99"/>
    <w:unhideWhenUsed/>
    <w:rsid w:val="00E220DC"/>
    <w:pPr>
      <w:tabs>
        <w:tab w:val="center" w:pos="4680"/>
        <w:tab w:val="right" w:pos="9360"/>
      </w:tabs>
    </w:pPr>
  </w:style>
  <w:style w:type="character" w:customStyle="1" w:styleId="HeaderChar">
    <w:name w:val="Header Char"/>
    <w:basedOn w:val="DefaultParagraphFont"/>
    <w:link w:val="Header"/>
    <w:uiPriority w:val="99"/>
    <w:rsid w:val="00E220DC"/>
  </w:style>
  <w:style w:type="paragraph" w:styleId="Footer">
    <w:name w:val="footer"/>
    <w:basedOn w:val="Normal"/>
    <w:link w:val="FooterChar"/>
    <w:uiPriority w:val="99"/>
    <w:unhideWhenUsed/>
    <w:rsid w:val="00E220DC"/>
    <w:pPr>
      <w:tabs>
        <w:tab w:val="center" w:pos="4680"/>
        <w:tab w:val="right" w:pos="9360"/>
      </w:tabs>
    </w:pPr>
  </w:style>
  <w:style w:type="character" w:customStyle="1" w:styleId="FooterChar">
    <w:name w:val="Footer Char"/>
    <w:basedOn w:val="DefaultParagraphFont"/>
    <w:link w:val="Footer"/>
    <w:uiPriority w:val="99"/>
    <w:rsid w:val="00E2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Dan</dc:creator>
  <cp:keywords/>
  <dc:description/>
  <cp:lastModifiedBy>Ibeawuchi, Carmel Ijeoma</cp:lastModifiedBy>
  <cp:revision>27</cp:revision>
  <cp:lastPrinted>2015-10-29T15:12:00Z</cp:lastPrinted>
  <dcterms:created xsi:type="dcterms:W3CDTF">2015-10-29T14:58:00Z</dcterms:created>
  <dcterms:modified xsi:type="dcterms:W3CDTF">2018-01-19T21:43:00Z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id="6Wc0eUyr"/&gt;&lt;style id="http://www.zotero.org/styles/geology"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