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FEDA" w14:textId="77777777" w:rsidR="008A103E" w:rsidRPr="00132290" w:rsidRDefault="008A103E" w:rsidP="008A103E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Our Fourth Amendment Privacy Is Not </w:t>
      </w:r>
      <w:proofErr w:type="gramStart"/>
      <w:r>
        <w:rPr>
          <w:rFonts w:ascii="Times" w:hAnsi="Times"/>
          <w:b/>
          <w:bCs/>
        </w:rPr>
        <w:t>For</w:t>
      </w:r>
      <w:proofErr w:type="gramEnd"/>
      <w:r>
        <w:rPr>
          <w:rFonts w:ascii="Times" w:hAnsi="Times"/>
          <w:b/>
          <w:bCs/>
        </w:rPr>
        <w:t xml:space="preserve"> Sale</w:t>
      </w:r>
    </w:p>
    <w:p w14:paraId="7BCD65F8" w14:textId="77777777" w:rsidR="00093498" w:rsidRPr="00132290" w:rsidRDefault="00093498" w:rsidP="00093498">
      <w:pPr>
        <w:spacing w:line="480" w:lineRule="auto"/>
        <w:jc w:val="center"/>
        <w:rPr>
          <w:rFonts w:ascii="Times" w:hAnsi="Times"/>
          <w:i/>
          <w:iCs/>
        </w:rPr>
      </w:pPr>
      <w:r w:rsidRPr="00132290">
        <w:rPr>
          <w:rFonts w:ascii="Times" w:hAnsi="Times"/>
          <w:i/>
          <w:iCs/>
        </w:rPr>
        <w:t>Kyle C. Bailey</w:t>
      </w:r>
    </w:p>
    <w:p w14:paraId="11CDCF3C" w14:textId="77777777" w:rsidR="00093498" w:rsidRPr="00132290" w:rsidRDefault="00093498" w:rsidP="00093498">
      <w:pPr>
        <w:spacing w:line="480" w:lineRule="auto"/>
        <w:jc w:val="center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 </w:t>
      </w:r>
    </w:p>
    <w:p w14:paraId="1F93F941" w14:textId="77777777" w:rsidR="00093498" w:rsidRPr="00132290" w:rsidRDefault="00093498" w:rsidP="00093498">
      <w:pPr>
        <w:spacing w:line="480" w:lineRule="auto"/>
        <w:jc w:val="center"/>
        <w:rPr>
          <w:rFonts w:ascii="Times" w:hAnsi="Times"/>
          <w:b/>
          <w:bCs/>
          <w:smallCaps/>
        </w:rPr>
      </w:pPr>
      <w:r w:rsidRPr="00132290">
        <w:rPr>
          <w:rFonts w:ascii="Times" w:hAnsi="Times"/>
          <w:b/>
          <w:bCs/>
          <w:smallCaps/>
        </w:rPr>
        <w:t>Introduction</w:t>
      </w:r>
    </w:p>
    <w:p w14:paraId="0ACDFEE5" w14:textId="1400415D" w:rsidR="00093498" w:rsidRPr="00132290" w:rsidRDefault="00093498" w:rsidP="005236B8">
      <w:pPr>
        <w:spacing w:line="480" w:lineRule="auto"/>
        <w:ind w:firstLine="720"/>
        <w:jc w:val="both"/>
        <w:rPr>
          <w:rFonts w:ascii="Times" w:hAnsi="Times"/>
        </w:rPr>
      </w:pPr>
      <w:r w:rsidRPr="00132290">
        <w:rPr>
          <w:rFonts w:ascii="Times" w:hAnsi="Times"/>
        </w:rPr>
        <w:t>There is a spy in your pocket. The mobile applications on your smartphone continuously track your exact location, and the information is not kept secret.</w:t>
      </w:r>
      <w:bookmarkStart w:id="0" w:name="Twelve_Million_Phones"/>
      <w:r w:rsidRPr="00132290">
        <w:rPr>
          <w:rStyle w:val="FootnoteReference"/>
          <w:rFonts w:ascii="Times" w:hAnsi="Times"/>
        </w:rPr>
        <w:footnoteReference w:id="1"/>
      </w:r>
      <w:bookmarkEnd w:id="0"/>
      <w:r w:rsidRPr="00132290">
        <w:rPr>
          <w:rFonts w:ascii="Times" w:hAnsi="Times"/>
        </w:rPr>
        <w:t xml:space="preserve"> Instead, the apps send your location to numerous companie</w:t>
      </w:r>
      <w:r w:rsidR="004454C7">
        <w:rPr>
          <w:rFonts w:ascii="Times" w:hAnsi="Times"/>
        </w:rPr>
        <w:t xml:space="preserve">s, </w:t>
      </w:r>
      <w:r w:rsidRPr="00132290">
        <w:rPr>
          <w:rFonts w:ascii="Times" w:hAnsi="Times"/>
        </w:rPr>
        <w:t>up to 14,000 times a day.</w:t>
      </w:r>
      <w:bookmarkStart w:id="1" w:name="Valentino"/>
      <w:r w:rsidRPr="00132290">
        <w:rPr>
          <w:rStyle w:val="FootnoteReference"/>
          <w:rFonts w:ascii="Times" w:hAnsi="Times"/>
        </w:rPr>
        <w:footnoteReference w:id="2"/>
      </w:r>
      <w:bookmarkEnd w:id="1"/>
      <w:r w:rsidRPr="00132290">
        <w:rPr>
          <w:rFonts w:ascii="Times" w:hAnsi="Times"/>
        </w:rPr>
        <w:t xml:space="preserve"> The companies</w:t>
      </w:r>
      <w:r w:rsidR="00BD16E8">
        <w:rPr>
          <w:rFonts w:ascii="Times" w:hAnsi="Times"/>
        </w:rPr>
        <w:t xml:space="preserve"> then </w:t>
      </w:r>
      <w:r w:rsidRPr="00132290">
        <w:rPr>
          <w:rFonts w:ascii="Times" w:hAnsi="Times"/>
        </w:rPr>
        <w:t xml:space="preserve">sell </w:t>
      </w:r>
      <w:r w:rsidR="002222D4">
        <w:rPr>
          <w:rFonts w:ascii="Times" w:hAnsi="Times"/>
        </w:rPr>
        <w:t>your</w:t>
      </w:r>
      <w:r w:rsidR="00BD16E8">
        <w:rPr>
          <w:rFonts w:ascii="Times" w:hAnsi="Times"/>
        </w:rPr>
        <w:t xml:space="preserve"> </w:t>
      </w:r>
      <w:r w:rsidRPr="00132290">
        <w:rPr>
          <w:rFonts w:ascii="Times" w:hAnsi="Times"/>
        </w:rPr>
        <w:t xml:space="preserve">information in massive databases </w:t>
      </w:r>
      <w:r w:rsidR="007D62E6">
        <w:rPr>
          <w:rFonts w:ascii="Times" w:hAnsi="Times"/>
        </w:rPr>
        <w:t>containing</w:t>
      </w:r>
      <w:r w:rsidRPr="00132290">
        <w:rPr>
          <w:rFonts w:ascii="Times" w:hAnsi="Times"/>
        </w:rPr>
        <w:t xml:space="preserve"> data on millions of Americans.</w:t>
      </w:r>
      <w:r w:rsidRPr="00132290">
        <w:rPr>
          <w:rStyle w:val="FootnoteReference"/>
          <w:rFonts w:ascii="Times" w:hAnsi="Times"/>
        </w:rPr>
        <w:footnoteReference w:id="3"/>
      </w:r>
      <w:r w:rsidRPr="00132290">
        <w:rPr>
          <w:rFonts w:ascii="Times" w:hAnsi="Times"/>
        </w:rPr>
        <w:t xml:space="preserve"> And the federal government is buying. Federal law enforcement agencies </w:t>
      </w:r>
      <w:r w:rsidR="009F2292">
        <w:rPr>
          <w:rFonts w:ascii="Times" w:hAnsi="Times"/>
        </w:rPr>
        <w:t xml:space="preserve">like </w:t>
      </w:r>
      <w:r w:rsidR="009F2292" w:rsidRPr="00132290">
        <w:rPr>
          <w:rFonts w:ascii="Times" w:hAnsi="Times"/>
        </w:rPr>
        <w:t xml:space="preserve">Immigration and Customs Enforcement </w:t>
      </w:r>
      <w:r w:rsidRPr="00132290">
        <w:rPr>
          <w:rFonts w:ascii="Times" w:hAnsi="Times"/>
        </w:rPr>
        <w:t>spend millions of dollars access</w:t>
      </w:r>
      <w:r w:rsidR="00535DF4">
        <w:rPr>
          <w:rFonts w:ascii="Times" w:hAnsi="Times"/>
        </w:rPr>
        <w:t>ing</w:t>
      </w:r>
      <w:r w:rsidRPr="00132290">
        <w:rPr>
          <w:rFonts w:ascii="Times" w:hAnsi="Times"/>
        </w:rPr>
        <w:t xml:space="preserve"> commercial databases of mobile application location information (MALI)</w:t>
      </w:r>
      <w:r w:rsidR="009F2292">
        <w:rPr>
          <w:rFonts w:ascii="Times" w:hAnsi="Times"/>
        </w:rPr>
        <w:t xml:space="preserve"> to assist </w:t>
      </w:r>
      <w:r w:rsidR="006C74F2">
        <w:rPr>
          <w:rFonts w:ascii="Times" w:hAnsi="Times"/>
        </w:rPr>
        <w:t>in</w:t>
      </w:r>
      <w:r w:rsidR="009F2292">
        <w:rPr>
          <w:rFonts w:ascii="Times" w:hAnsi="Times"/>
        </w:rPr>
        <w:t xml:space="preserve"> criminal investigations</w:t>
      </w:r>
      <w:r w:rsidRPr="00132290">
        <w:rPr>
          <w:rFonts w:ascii="Times" w:hAnsi="Times"/>
        </w:rPr>
        <w:t>.</w:t>
      </w:r>
      <w:bookmarkStart w:id="2" w:name="Tau_Hackman"/>
      <w:r w:rsidRPr="00132290">
        <w:rPr>
          <w:rStyle w:val="FootnoteReference"/>
          <w:rFonts w:ascii="Times" w:hAnsi="Times"/>
        </w:rPr>
        <w:footnoteReference w:id="4"/>
      </w:r>
      <w:bookmarkEnd w:id="2"/>
    </w:p>
    <w:p w14:paraId="2C82EA29" w14:textId="16E65BC3" w:rsidR="008F62AA" w:rsidRDefault="00093498" w:rsidP="005236B8">
      <w:pPr>
        <w:spacing w:line="480" w:lineRule="auto"/>
        <w:ind w:firstLine="720"/>
        <w:jc w:val="both"/>
        <w:rPr>
          <w:rFonts w:ascii="Times" w:hAnsi="Times"/>
        </w:rPr>
      </w:pPr>
      <w:r w:rsidRPr="00132290">
        <w:rPr>
          <w:rFonts w:ascii="Times" w:hAnsi="Times"/>
        </w:rPr>
        <w:t xml:space="preserve">The federal government’s use of MALI implicates </w:t>
      </w:r>
      <w:r w:rsidR="001A79CC">
        <w:rPr>
          <w:rFonts w:ascii="Times" w:hAnsi="Times"/>
        </w:rPr>
        <w:t>Fourth Amendment</w:t>
      </w:r>
      <w:r w:rsidR="001A79CC" w:rsidRPr="00132290">
        <w:rPr>
          <w:rFonts w:ascii="Times" w:hAnsi="Times"/>
        </w:rPr>
        <w:t xml:space="preserve"> </w:t>
      </w:r>
      <w:r w:rsidRPr="00132290">
        <w:rPr>
          <w:rFonts w:ascii="Times" w:hAnsi="Times"/>
        </w:rPr>
        <w:t>privacy rights. The Supreme Court recognized th</w:t>
      </w:r>
      <w:r w:rsidR="007D7354">
        <w:rPr>
          <w:rFonts w:ascii="Times" w:hAnsi="Times"/>
        </w:rPr>
        <w:t>is</w:t>
      </w:r>
      <w:r w:rsidRPr="00132290">
        <w:rPr>
          <w:rFonts w:ascii="Times" w:hAnsi="Times"/>
        </w:rPr>
        <w:t xml:space="preserve"> extreme privacy </w:t>
      </w:r>
      <w:r>
        <w:rPr>
          <w:rFonts w:ascii="Times" w:hAnsi="Times"/>
        </w:rPr>
        <w:t>risk</w:t>
      </w:r>
      <w:r w:rsidRPr="00132290">
        <w:rPr>
          <w:rFonts w:ascii="Times" w:hAnsi="Times"/>
        </w:rPr>
        <w:t>, noting that “when the Government tracks the location of a cell phone it achieves near perfect surveillance, as if it had attached an ankle monitor to the phone’s user.”</w:t>
      </w:r>
      <w:r w:rsidRPr="00132290">
        <w:rPr>
          <w:rStyle w:val="FootnoteReference"/>
          <w:rFonts w:ascii="Times" w:hAnsi="Times"/>
        </w:rPr>
        <w:footnoteReference w:id="5"/>
      </w:r>
      <w:r w:rsidRPr="00132290">
        <w:rPr>
          <w:rFonts w:ascii="Times" w:hAnsi="Times"/>
        </w:rPr>
        <w:t xml:space="preserve"> Accordingly, in </w:t>
      </w:r>
      <w:r w:rsidRPr="00132290">
        <w:rPr>
          <w:rFonts w:ascii="Times" w:hAnsi="Times"/>
          <w:i/>
          <w:iCs/>
        </w:rPr>
        <w:t>Carpenter v. United States</w:t>
      </w:r>
      <w:r w:rsidRPr="00132290">
        <w:rPr>
          <w:rFonts w:ascii="Times" w:hAnsi="Times"/>
        </w:rPr>
        <w:t>, the Court held that historical cell</w:t>
      </w:r>
      <w:r>
        <w:rPr>
          <w:rFonts w:ascii="Times" w:hAnsi="Times"/>
        </w:rPr>
        <w:t xml:space="preserve">-site </w:t>
      </w:r>
      <w:r w:rsidRPr="00132290">
        <w:rPr>
          <w:rFonts w:ascii="Times" w:hAnsi="Times"/>
        </w:rPr>
        <w:t xml:space="preserve">location information </w:t>
      </w:r>
      <w:r>
        <w:rPr>
          <w:rFonts w:ascii="Times" w:hAnsi="Times"/>
        </w:rPr>
        <w:t xml:space="preserve">(CSLI) </w:t>
      </w:r>
      <w:r w:rsidRPr="00132290">
        <w:rPr>
          <w:rFonts w:ascii="Times" w:hAnsi="Times"/>
        </w:rPr>
        <w:t>held by wireless carriers is protected by the Fourth Amendment.</w:t>
      </w:r>
      <w:r w:rsidRPr="00132290">
        <w:rPr>
          <w:rStyle w:val="FootnoteReference"/>
          <w:rFonts w:ascii="Times" w:hAnsi="Times"/>
        </w:rPr>
        <w:footnoteReference w:id="6"/>
      </w:r>
      <w:r w:rsidRPr="00132290">
        <w:rPr>
          <w:rFonts w:ascii="Times" w:hAnsi="Times"/>
        </w:rPr>
        <w:t xml:space="preserve"> </w:t>
      </w:r>
      <w:r w:rsidRPr="00132290">
        <w:rPr>
          <w:rFonts w:ascii="Times" w:hAnsi="Times"/>
          <w:i/>
          <w:iCs/>
        </w:rPr>
        <w:t>Carpenter</w:t>
      </w:r>
      <w:r w:rsidRPr="00132290">
        <w:rPr>
          <w:rFonts w:ascii="Times" w:hAnsi="Times"/>
          <w:b/>
          <w:bCs/>
        </w:rPr>
        <w:t xml:space="preserve"> </w:t>
      </w:r>
      <w:r w:rsidRPr="00132290">
        <w:rPr>
          <w:rFonts w:ascii="Times" w:hAnsi="Times"/>
        </w:rPr>
        <w:t xml:space="preserve">brought the Fourth Amendment into the </w:t>
      </w:r>
      <w:r w:rsidR="007503F8">
        <w:rPr>
          <w:rFonts w:ascii="Times" w:hAnsi="Times"/>
        </w:rPr>
        <w:t>d</w:t>
      </w:r>
      <w:r w:rsidRPr="00132290">
        <w:rPr>
          <w:rFonts w:ascii="Times" w:hAnsi="Times"/>
        </w:rPr>
        <w:t xml:space="preserve">igital </w:t>
      </w:r>
      <w:r w:rsidR="007503F8">
        <w:rPr>
          <w:rFonts w:ascii="Times" w:hAnsi="Times"/>
        </w:rPr>
        <w:t>a</w:t>
      </w:r>
      <w:r w:rsidRPr="00132290">
        <w:rPr>
          <w:rFonts w:ascii="Times" w:hAnsi="Times"/>
        </w:rPr>
        <w:t>ge</w:t>
      </w:r>
      <w:r>
        <w:rPr>
          <w:rFonts w:ascii="Times" w:hAnsi="Times"/>
        </w:rPr>
        <w:t xml:space="preserve"> by </w:t>
      </w:r>
      <w:r w:rsidRPr="00132290">
        <w:rPr>
          <w:rFonts w:ascii="Times" w:hAnsi="Times"/>
        </w:rPr>
        <w:t xml:space="preserve">recognizing that </w:t>
      </w:r>
      <w:r w:rsidRPr="00132290">
        <w:rPr>
          <w:rFonts w:ascii="Times" w:hAnsi="Times"/>
        </w:rPr>
        <w:lastRenderedPageBreak/>
        <w:t xml:space="preserve">cell phone </w:t>
      </w:r>
      <w:r>
        <w:rPr>
          <w:rFonts w:ascii="Times" w:hAnsi="Times"/>
        </w:rPr>
        <w:t>location tracking “</w:t>
      </w:r>
      <w:r w:rsidRPr="00797A21">
        <w:rPr>
          <w:rFonts w:ascii="Times" w:hAnsi="Times"/>
        </w:rPr>
        <w:t xml:space="preserve">has afforded law enforcement a powerful new tool </w:t>
      </w:r>
      <w:r>
        <w:rPr>
          <w:rFonts w:ascii="Times" w:hAnsi="Times"/>
        </w:rPr>
        <w:t>. . . [which]</w:t>
      </w:r>
      <w:r w:rsidRPr="00797A21">
        <w:rPr>
          <w:rFonts w:ascii="Times" w:hAnsi="Times"/>
        </w:rPr>
        <w:t xml:space="preserve"> risks Government encroachment of the sort the Framers . . . drafted the Fourth Amendment to prevent.”</w:t>
      </w:r>
      <w:r w:rsidRPr="00132290">
        <w:rPr>
          <w:rStyle w:val="FootnoteReference"/>
          <w:rFonts w:ascii="Times" w:hAnsi="Times"/>
        </w:rPr>
        <w:footnoteReference w:id="7"/>
      </w:r>
      <w:r w:rsidR="008F62AA">
        <w:rPr>
          <w:rFonts w:ascii="Times" w:hAnsi="Times"/>
        </w:rPr>
        <w:t xml:space="preserve"> </w:t>
      </w:r>
      <w:r w:rsidRPr="00132290">
        <w:rPr>
          <w:rFonts w:ascii="Times" w:hAnsi="Times"/>
        </w:rPr>
        <w:t xml:space="preserve">Although the </w:t>
      </w:r>
      <w:r>
        <w:rPr>
          <w:rFonts w:ascii="Times" w:hAnsi="Times"/>
        </w:rPr>
        <w:t>decision purport</w:t>
      </w:r>
      <w:r w:rsidR="006D3DA7">
        <w:rPr>
          <w:rFonts w:ascii="Times" w:hAnsi="Times"/>
        </w:rPr>
        <w:t>ed</w:t>
      </w:r>
      <w:r>
        <w:rPr>
          <w:rFonts w:ascii="Times" w:hAnsi="Times"/>
        </w:rPr>
        <w:t xml:space="preserve"> to be</w:t>
      </w:r>
      <w:r w:rsidRPr="00132290">
        <w:rPr>
          <w:rFonts w:ascii="Times" w:hAnsi="Times"/>
        </w:rPr>
        <w:t xml:space="preserve"> narrow, the </w:t>
      </w:r>
      <w:r>
        <w:rPr>
          <w:rFonts w:ascii="Times" w:hAnsi="Times"/>
        </w:rPr>
        <w:t xml:space="preserve">majority’s </w:t>
      </w:r>
      <w:r w:rsidRPr="00132290">
        <w:rPr>
          <w:rFonts w:ascii="Times" w:hAnsi="Times"/>
        </w:rPr>
        <w:t xml:space="preserve">reasoning applies to </w:t>
      </w:r>
      <w:r>
        <w:rPr>
          <w:rFonts w:ascii="Times" w:hAnsi="Times"/>
        </w:rPr>
        <w:t xml:space="preserve">any </w:t>
      </w:r>
      <w:r w:rsidRPr="00132290">
        <w:rPr>
          <w:rFonts w:ascii="Times" w:hAnsi="Times"/>
        </w:rPr>
        <w:t>geolocation tracking technolog</w:t>
      </w:r>
      <w:r>
        <w:rPr>
          <w:rFonts w:ascii="Times" w:hAnsi="Times"/>
        </w:rPr>
        <w:t>y, including MALI</w:t>
      </w:r>
      <w:r w:rsidRPr="00132290">
        <w:rPr>
          <w:rFonts w:ascii="Times" w:hAnsi="Times"/>
        </w:rPr>
        <w:t>.</w:t>
      </w:r>
      <w:bookmarkStart w:id="3" w:name="Ohm"/>
      <w:r w:rsidRPr="00132290">
        <w:rPr>
          <w:rStyle w:val="FootnoteReference"/>
          <w:rFonts w:ascii="Times" w:hAnsi="Times"/>
        </w:rPr>
        <w:footnoteReference w:id="8"/>
      </w:r>
      <w:bookmarkEnd w:id="3"/>
    </w:p>
    <w:p w14:paraId="174CC161" w14:textId="77777777" w:rsidR="008D7742" w:rsidRDefault="008D7742" w:rsidP="005236B8">
      <w:pPr>
        <w:spacing w:line="480" w:lineRule="auto"/>
        <w:ind w:firstLine="720"/>
        <w:jc w:val="both"/>
        <w:rPr>
          <w:rFonts w:ascii="Times" w:hAnsi="Times"/>
        </w:rPr>
      </w:pPr>
    </w:p>
    <w:p w14:paraId="72AAF9D4" w14:textId="2A02B9BF" w:rsidR="008F62AA" w:rsidRPr="008F62AA" w:rsidRDefault="008F62AA" w:rsidP="005236B8">
      <w:pPr>
        <w:spacing w:line="480" w:lineRule="auto"/>
        <w:ind w:firstLine="720"/>
        <w:jc w:val="center"/>
        <w:rPr>
          <w:rFonts w:ascii="Times" w:hAnsi="Times"/>
          <w:b/>
          <w:bCs/>
          <w:smallCaps/>
        </w:rPr>
      </w:pPr>
      <w:r w:rsidRPr="008F62AA">
        <w:rPr>
          <w:rFonts w:ascii="Times" w:hAnsi="Times"/>
          <w:b/>
          <w:bCs/>
          <w:smallCaps/>
        </w:rPr>
        <w:t>There is a Reasonable Expectation of Privacy in MALI</w:t>
      </w:r>
    </w:p>
    <w:p w14:paraId="207D86BD" w14:textId="21CD2A50" w:rsidR="00E16C23" w:rsidRDefault="008F62AA" w:rsidP="005236B8">
      <w:pPr>
        <w:spacing w:line="48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In </w:t>
      </w:r>
      <w:r w:rsidRPr="008F62AA">
        <w:rPr>
          <w:rFonts w:ascii="Times" w:hAnsi="Times"/>
          <w:i/>
          <w:iCs/>
        </w:rPr>
        <w:t>Carpenter</w:t>
      </w:r>
      <w:r>
        <w:rPr>
          <w:rFonts w:ascii="Times" w:hAnsi="Times"/>
        </w:rPr>
        <w:t>, t</w:t>
      </w:r>
      <w:r w:rsidR="00121341">
        <w:rPr>
          <w:rFonts w:ascii="Times" w:hAnsi="Times"/>
        </w:rPr>
        <w:t xml:space="preserve">he Court held that </w:t>
      </w:r>
      <w:r w:rsidR="00121341" w:rsidRPr="00132290">
        <w:rPr>
          <w:rFonts w:ascii="Times" w:hAnsi="Times"/>
        </w:rPr>
        <w:t>“individuals have a reasonable expectation of privacy in the whole of their physical movements.”</w:t>
      </w:r>
      <w:r w:rsidR="00121341" w:rsidRPr="00132290">
        <w:rPr>
          <w:rStyle w:val="FootnoteReference"/>
          <w:rFonts w:ascii="Times" w:hAnsi="Times"/>
        </w:rPr>
        <w:footnoteReference w:id="9"/>
      </w:r>
      <w:r w:rsidR="00121341">
        <w:rPr>
          <w:rFonts w:ascii="Times" w:hAnsi="Times"/>
        </w:rPr>
        <w:t xml:space="preserve"> </w:t>
      </w:r>
      <w:r w:rsidR="00525F20">
        <w:rPr>
          <w:rFonts w:ascii="Times" w:hAnsi="Times"/>
        </w:rPr>
        <w:t>MALI meets this standard for the same reasons as CSLI</w:t>
      </w:r>
      <w:r w:rsidR="00EB6F54">
        <w:rPr>
          <w:rFonts w:ascii="Times" w:hAnsi="Times"/>
        </w:rPr>
        <w:t>:</w:t>
      </w:r>
      <w:r w:rsidR="00525F20">
        <w:rPr>
          <w:rFonts w:ascii="Times" w:hAnsi="Times"/>
        </w:rPr>
        <w:t xml:space="preserve"> the information is “retrospective” and “deeply revealing.”</w:t>
      </w:r>
      <w:r w:rsidR="00525F20" w:rsidRPr="00132290">
        <w:rPr>
          <w:rStyle w:val="FootnoteReference"/>
          <w:rFonts w:ascii="Times" w:hAnsi="Times"/>
        </w:rPr>
        <w:footnoteReference w:id="10"/>
      </w:r>
      <w:r w:rsidR="001F1BF0">
        <w:rPr>
          <w:rFonts w:ascii="Times" w:hAnsi="Times"/>
        </w:rPr>
        <w:t xml:space="preserve"> </w:t>
      </w:r>
      <w:r w:rsidR="001853DD">
        <w:rPr>
          <w:rFonts w:ascii="Times" w:hAnsi="Times"/>
        </w:rPr>
        <w:t xml:space="preserve">MALI </w:t>
      </w:r>
      <w:r w:rsidR="009878E0">
        <w:rPr>
          <w:rFonts w:ascii="Times" w:hAnsi="Times"/>
        </w:rPr>
        <w:t>is</w:t>
      </w:r>
      <w:r w:rsidR="006D3DA7">
        <w:rPr>
          <w:rFonts w:ascii="Times" w:hAnsi="Times"/>
        </w:rPr>
        <w:t xml:space="preserve"> </w:t>
      </w:r>
      <w:r w:rsidR="009878E0">
        <w:rPr>
          <w:rFonts w:ascii="Times" w:hAnsi="Times"/>
        </w:rPr>
        <w:t xml:space="preserve">retrospective because it </w:t>
      </w:r>
      <w:r w:rsidR="001853DD">
        <w:rPr>
          <w:rFonts w:ascii="Times" w:hAnsi="Times"/>
        </w:rPr>
        <w:t xml:space="preserve">provides a historical record of an individual’s location, allowing </w:t>
      </w:r>
      <w:r w:rsidR="001853DD" w:rsidRPr="00132290">
        <w:rPr>
          <w:rFonts w:ascii="Times" w:hAnsi="Times"/>
        </w:rPr>
        <w:t xml:space="preserve">the government to “travel back in time” to </w:t>
      </w:r>
      <w:r w:rsidR="001853DD">
        <w:rPr>
          <w:rFonts w:ascii="Times" w:hAnsi="Times"/>
        </w:rPr>
        <w:t>follow</w:t>
      </w:r>
      <w:r w:rsidR="001853DD" w:rsidRPr="00132290">
        <w:rPr>
          <w:rFonts w:ascii="Times" w:hAnsi="Times"/>
        </w:rPr>
        <w:t xml:space="preserve"> a person without </w:t>
      </w:r>
      <w:r w:rsidR="00E16C23">
        <w:rPr>
          <w:rFonts w:ascii="Times" w:hAnsi="Times"/>
        </w:rPr>
        <w:t>knowing in</w:t>
      </w:r>
      <w:r w:rsidR="001853DD" w:rsidRPr="00132290">
        <w:rPr>
          <w:rFonts w:ascii="Times" w:hAnsi="Times"/>
        </w:rPr>
        <w:t xml:space="preserve"> advance whom to track.</w:t>
      </w:r>
      <w:r w:rsidR="001853DD" w:rsidRPr="00132290">
        <w:rPr>
          <w:rStyle w:val="FootnoteReference"/>
          <w:rFonts w:ascii="Times" w:hAnsi="Times"/>
        </w:rPr>
        <w:footnoteReference w:id="11"/>
      </w:r>
      <w:r w:rsidR="00437884">
        <w:rPr>
          <w:rFonts w:ascii="Times" w:hAnsi="Times"/>
        </w:rPr>
        <w:t xml:space="preserve"> </w:t>
      </w:r>
      <w:r w:rsidR="00F43860">
        <w:rPr>
          <w:rFonts w:ascii="Times" w:hAnsi="Times"/>
        </w:rPr>
        <w:t xml:space="preserve">Additionally, </w:t>
      </w:r>
      <w:r w:rsidR="001853DD">
        <w:rPr>
          <w:rFonts w:ascii="Times" w:hAnsi="Times"/>
        </w:rPr>
        <w:t>MALI is deeply revealing</w:t>
      </w:r>
      <w:r w:rsidR="00CA0635">
        <w:rPr>
          <w:rFonts w:ascii="Times" w:hAnsi="Times"/>
        </w:rPr>
        <w:t xml:space="preserve"> because it is precise and generated frequently</w:t>
      </w:r>
      <w:r w:rsidR="001853DD">
        <w:rPr>
          <w:rFonts w:ascii="Times" w:hAnsi="Times"/>
        </w:rPr>
        <w:t xml:space="preserve">. </w:t>
      </w:r>
      <w:r w:rsidR="008F0713">
        <w:rPr>
          <w:rFonts w:ascii="Times" w:hAnsi="Times"/>
        </w:rPr>
        <w:t xml:space="preserve">Mobile apps use </w:t>
      </w:r>
      <w:r w:rsidR="00CA0635">
        <w:rPr>
          <w:rFonts w:ascii="Times" w:hAnsi="Times"/>
        </w:rPr>
        <w:t>geolocation technolog</w:t>
      </w:r>
      <w:r w:rsidR="00902DD4">
        <w:rPr>
          <w:rFonts w:ascii="Times" w:hAnsi="Times"/>
        </w:rPr>
        <w:t xml:space="preserve">ies like </w:t>
      </w:r>
      <w:r w:rsidR="00CA0635">
        <w:rPr>
          <w:rFonts w:ascii="Times" w:hAnsi="Times"/>
        </w:rPr>
        <w:t xml:space="preserve">GPS and </w:t>
      </w:r>
      <w:proofErr w:type="spellStart"/>
      <w:r w:rsidR="00CA0635">
        <w:rPr>
          <w:rFonts w:ascii="Times" w:hAnsi="Times"/>
        </w:rPr>
        <w:t>WiFi</w:t>
      </w:r>
      <w:proofErr w:type="spellEnd"/>
      <w:r w:rsidR="00CA0635">
        <w:rPr>
          <w:rFonts w:ascii="Times" w:hAnsi="Times"/>
        </w:rPr>
        <w:t xml:space="preserve"> positioning </w:t>
      </w:r>
      <w:r w:rsidR="00D52461">
        <w:rPr>
          <w:rFonts w:ascii="Times" w:hAnsi="Times"/>
        </w:rPr>
        <w:t>to accurately track</w:t>
      </w:r>
      <w:r w:rsidR="00CA0635">
        <w:rPr>
          <w:rFonts w:ascii="Times" w:hAnsi="Times"/>
        </w:rPr>
        <w:t xml:space="preserve"> a cell phone within</w:t>
      </w:r>
      <w:r w:rsidR="002F1C67">
        <w:rPr>
          <w:rFonts w:ascii="Times" w:hAnsi="Times"/>
        </w:rPr>
        <w:t xml:space="preserve"> </w:t>
      </w:r>
      <w:r w:rsidR="00CA0635">
        <w:rPr>
          <w:rFonts w:ascii="Times" w:hAnsi="Times"/>
        </w:rPr>
        <w:t>10</w:t>
      </w:r>
      <w:r w:rsidR="006D3DA7">
        <w:rPr>
          <w:rFonts w:ascii="Times" w:hAnsi="Times"/>
        </w:rPr>
        <w:t>–</w:t>
      </w:r>
      <w:r w:rsidR="00CA0635">
        <w:rPr>
          <w:rFonts w:ascii="Times" w:hAnsi="Times"/>
        </w:rPr>
        <w:t>15 feet</w:t>
      </w:r>
      <w:r w:rsidR="00F006EE">
        <w:rPr>
          <w:rFonts w:ascii="Times" w:hAnsi="Times"/>
        </w:rPr>
        <w:t>.</w:t>
      </w:r>
      <w:r w:rsidR="00CA0635" w:rsidRPr="00132290">
        <w:rPr>
          <w:rStyle w:val="FootnoteReference"/>
          <w:rFonts w:ascii="Times" w:hAnsi="Times"/>
        </w:rPr>
        <w:footnoteReference w:id="12"/>
      </w:r>
      <w:r w:rsidR="00CA0635">
        <w:rPr>
          <w:rFonts w:ascii="Times" w:hAnsi="Times"/>
        </w:rPr>
        <w:t xml:space="preserve"> </w:t>
      </w:r>
    </w:p>
    <w:p w14:paraId="7CEB79FD" w14:textId="7766093E" w:rsidR="00D04F7E" w:rsidRDefault="00F006EE" w:rsidP="005236B8">
      <w:pPr>
        <w:spacing w:line="48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In contrast, </w:t>
      </w:r>
      <w:r w:rsidR="00CA0635">
        <w:rPr>
          <w:rFonts w:ascii="Times" w:hAnsi="Times"/>
        </w:rPr>
        <w:t xml:space="preserve">the CSLI in </w:t>
      </w:r>
      <w:r w:rsidR="00CA0635" w:rsidRPr="00CA0635">
        <w:rPr>
          <w:rFonts w:ascii="Times" w:hAnsi="Times"/>
          <w:i/>
          <w:iCs/>
        </w:rPr>
        <w:t>Carpenter</w:t>
      </w:r>
      <w:r w:rsidR="00CA0635">
        <w:rPr>
          <w:rFonts w:ascii="Times" w:hAnsi="Times"/>
        </w:rPr>
        <w:t xml:space="preserve"> </w:t>
      </w:r>
      <w:r w:rsidR="00902DD4">
        <w:rPr>
          <w:rFonts w:ascii="Times" w:hAnsi="Times"/>
        </w:rPr>
        <w:t xml:space="preserve">was only </w:t>
      </w:r>
      <w:r w:rsidR="00C44848">
        <w:rPr>
          <w:rFonts w:ascii="Times" w:hAnsi="Times"/>
        </w:rPr>
        <w:t>accurate</w:t>
      </w:r>
      <w:r w:rsidR="00CA0635">
        <w:rPr>
          <w:rFonts w:ascii="Times" w:hAnsi="Times"/>
        </w:rPr>
        <w:t xml:space="preserve"> </w:t>
      </w:r>
      <w:r w:rsidR="00C44848">
        <w:rPr>
          <w:rFonts w:ascii="Times" w:hAnsi="Times"/>
        </w:rPr>
        <w:t>within</w:t>
      </w:r>
      <w:r w:rsidR="00CA0635">
        <w:rPr>
          <w:rFonts w:ascii="Times" w:hAnsi="Times"/>
        </w:rPr>
        <w:t xml:space="preserve"> </w:t>
      </w:r>
      <w:r w:rsidR="00CA0635" w:rsidRPr="00132290">
        <w:rPr>
          <w:rFonts w:ascii="Times" w:hAnsi="Times"/>
        </w:rPr>
        <w:t>“one-eighth to four square miles</w:t>
      </w:r>
      <w:r w:rsidR="00CA0635">
        <w:rPr>
          <w:rFonts w:ascii="Times" w:hAnsi="Times"/>
        </w:rPr>
        <w:t>.</w:t>
      </w:r>
      <w:r w:rsidR="00CA0635" w:rsidRPr="00132290">
        <w:rPr>
          <w:rFonts w:ascii="Times" w:hAnsi="Times"/>
        </w:rPr>
        <w:t>”</w:t>
      </w:r>
      <w:r w:rsidR="00CA0635" w:rsidRPr="00132290">
        <w:rPr>
          <w:rStyle w:val="FootnoteReference"/>
          <w:rFonts w:ascii="Times" w:hAnsi="Times"/>
        </w:rPr>
        <w:footnoteReference w:id="13"/>
      </w:r>
      <w:r w:rsidR="00902DD4">
        <w:rPr>
          <w:rFonts w:ascii="Times" w:hAnsi="Times"/>
        </w:rPr>
        <w:t xml:space="preserve"> </w:t>
      </w:r>
      <w:r w:rsidR="00144002">
        <w:rPr>
          <w:rFonts w:ascii="Times" w:hAnsi="Times"/>
        </w:rPr>
        <w:t>Further, w</w:t>
      </w:r>
      <w:r w:rsidR="003750F5" w:rsidRPr="00132290">
        <w:rPr>
          <w:rFonts w:ascii="Times" w:hAnsi="Times"/>
        </w:rPr>
        <w:t xml:space="preserve">hen a mobile app is </w:t>
      </w:r>
      <w:r w:rsidR="005C2428">
        <w:rPr>
          <w:rFonts w:ascii="Times" w:hAnsi="Times"/>
        </w:rPr>
        <w:t>being</w:t>
      </w:r>
      <w:r w:rsidR="003750F5" w:rsidRPr="00132290">
        <w:rPr>
          <w:rFonts w:ascii="Times" w:hAnsi="Times"/>
        </w:rPr>
        <w:t xml:space="preserve"> </w:t>
      </w:r>
      <w:r w:rsidR="005C2428">
        <w:rPr>
          <w:rFonts w:ascii="Times" w:hAnsi="Times"/>
        </w:rPr>
        <w:t>used</w:t>
      </w:r>
      <w:r w:rsidR="003750F5" w:rsidRPr="00132290">
        <w:rPr>
          <w:rFonts w:ascii="Times" w:hAnsi="Times"/>
        </w:rPr>
        <w:t xml:space="preserve">, there is essentially no limit to how often it can </w:t>
      </w:r>
      <w:r w:rsidR="003750F5" w:rsidRPr="00132290">
        <w:rPr>
          <w:rFonts w:ascii="Times" w:hAnsi="Times"/>
        </w:rPr>
        <w:lastRenderedPageBreak/>
        <w:t xml:space="preserve">record </w:t>
      </w:r>
      <w:r w:rsidR="003750F5">
        <w:rPr>
          <w:rFonts w:ascii="Times" w:hAnsi="Times"/>
        </w:rPr>
        <w:t>a</w:t>
      </w:r>
      <w:r w:rsidR="003750F5" w:rsidRPr="00132290">
        <w:rPr>
          <w:rFonts w:ascii="Times" w:hAnsi="Times"/>
        </w:rPr>
        <w:t xml:space="preserve"> cell phone’s location.</w:t>
      </w:r>
      <w:r w:rsidR="003750F5" w:rsidRPr="00132290">
        <w:rPr>
          <w:rStyle w:val="FootnoteReference"/>
          <w:rFonts w:ascii="Times" w:hAnsi="Times"/>
        </w:rPr>
        <w:footnoteReference w:id="14"/>
      </w:r>
      <w:r w:rsidR="003750F5" w:rsidRPr="00132290">
        <w:rPr>
          <w:rFonts w:ascii="Times" w:hAnsi="Times"/>
        </w:rPr>
        <w:t xml:space="preserve"> </w:t>
      </w:r>
      <w:r w:rsidR="003750F5">
        <w:rPr>
          <w:rFonts w:ascii="Times" w:hAnsi="Times"/>
        </w:rPr>
        <w:t>A</w:t>
      </w:r>
      <w:r w:rsidR="003750F5" w:rsidRPr="00132290">
        <w:rPr>
          <w:rFonts w:ascii="Times" w:hAnsi="Times"/>
        </w:rPr>
        <w:t xml:space="preserve">pps can </w:t>
      </w:r>
      <w:r w:rsidR="00902DD4">
        <w:rPr>
          <w:rFonts w:ascii="Times" w:hAnsi="Times"/>
        </w:rPr>
        <w:t xml:space="preserve">even </w:t>
      </w:r>
      <w:r w:rsidR="003750F5" w:rsidRPr="00132290">
        <w:rPr>
          <w:rFonts w:ascii="Times" w:hAnsi="Times"/>
        </w:rPr>
        <w:t xml:space="preserve">track location when </w:t>
      </w:r>
      <w:r w:rsidR="003750F5">
        <w:rPr>
          <w:rFonts w:ascii="Times" w:hAnsi="Times"/>
        </w:rPr>
        <w:t>a</w:t>
      </w:r>
      <w:r w:rsidR="003750F5" w:rsidRPr="00132290">
        <w:rPr>
          <w:rFonts w:ascii="Times" w:hAnsi="Times"/>
        </w:rPr>
        <w:t xml:space="preserve"> phone is not in use.</w:t>
      </w:r>
      <w:r w:rsidR="003750F5" w:rsidRPr="00132290">
        <w:rPr>
          <w:rStyle w:val="FootnoteReference"/>
          <w:rFonts w:ascii="Times" w:hAnsi="Times"/>
        </w:rPr>
        <w:footnoteReference w:id="15"/>
      </w:r>
      <w:r w:rsidR="003750F5" w:rsidRPr="00132290">
        <w:rPr>
          <w:rFonts w:ascii="Times" w:hAnsi="Times"/>
        </w:rPr>
        <w:t xml:space="preserve"> </w:t>
      </w:r>
      <w:r w:rsidR="003750F5">
        <w:rPr>
          <w:rFonts w:ascii="Times" w:hAnsi="Times"/>
        </w:rPr>
        <w:t>O</w:t>
      </w:r>
      <w:r w:rsidR="003750F5" w:rsidRPr="00132290">
        <w:rPr>
          <w:rFonts w:ascii="Times" w:hAnsi="Times"/>
        </w:rPr>
        <w:t>ne database of MALI contained 14,000 location records for a single individual in a day.</w:t>
      </w:r>
      <w:r w:rsidR="003750F5" w:rsidRPr="00132290">
        <w:rPr>
          <w:rStyle w:val="FootnoteReference"/>
          <w:rFonts w:ascii="Times" w:hAnsi="Times"/>
        </w:rPr>
        <w:footnoteReference w:id="16"/>
      </w:r>
    </w:p>
    <w:p w14:paraId="5AE53E1B" w14:textId="37627DD6" w:rsidR="005A631F" w:rsidRDefault="009A1B4C" w:rsidP="005236B8">
      <w:pPr>
        <w:spacing w:line="48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Despite the deeply revealing nature of MALI, t</w:t>
      </w:r>
      <w:r w:rsidR="00E82A1A" w:rsidRPr="00132290">
        <w:rPr>
          <w:rFonts w:ascii="Times" w:hAnsi="Times"/>
        </w:rPr>
        <w:t xml:space="preserve">he government claims that </w:t>
      </w:r>
      <w:r w:rsidR="00E82A1A">
        <w:rPr>
          <w:rFonts w:ascii="Times" w:hAnsi="Times"/>
        </w:rPr>
        <w:t>MALI</w:t>
      </w:r>
      <w:r w:rsidR="00E82A1A" w:rsidRPr="00132290">
        <w:rPr>
          <w:rFonts w:ascii="Times" w:hAnsi="Times"/>
        </w:rPr>
        <w:t xml:space="preserve"> does not violate individual privacy because </w:t>
      </w:r>
      <w:r w:rsidR="001F1BF0">
        <w:rPr>
          <w:rFonts w:ascii="Times" w:hAnsi="Times"/>
        </w:rPr>
        <w:t xml:space="preserve">personal identifiers are removed from the </w:t>
      </w:r>
      <w:r w:rsidR="000C4FFB">
        <w:rPr>
          <w:rFonts w:ascii="Times" w:hAnsi="Times"/>
        </w:rPr>
        <w:t>data</w:t>
      </w:r>
      <w:r w:rsidR="00E82A1A" w:rsidRPr="00132290">
        <w:rPr>
          <w:rFonts w:ascii="Times" w:hAnsi="Times"/>
        </w:rPr>
        <w:t>.</w:t>
      </w:r>
      <w:r w:rsidR="00E82A1A" w:rsidRPr="00132290">
        <w:rPr>
          <w:rStyle w:val="FootnoteReference"/>
          <w:rFonts w:ascii="Times" w:hAnsi="Times"/>
        </w:rPr>
        <w:footnoteReference w:id="17"/>
      </w:r>
      <w:r w:rsidR="00E82A1A" w:rsidRPr="00132290">
        <w:rPr>
          <w:rFonts w:ascii="Times" w:hAnsi="Times"/>
        </w:rPr>
        <w:t xml:space="preserve"> Th</w:t>
      </w:r>
      <w:r w:rsidR="00E82A1A">
        <w:rPr>
          <w:rFonts w:ascii="Times" w:hAnsi="Times"/>
        </w:rPr>
        <w:t>at</w:t>
      </w:r>
      <w:r w:rsidR="00E82A1A" w:rsidRPr="00132290">
        <w:rPr>
          <w:rFonts w:ascii="Times" w:hAnsi="Times"/>
        </w:rPr>
        <w:t xml:space="preserve"> contention is fundamentally flawed. </w:t>
      </w:r>
      <w:r>
        <w:rPr>
          <w:rFonts w:ascii="Times" w:hAnsi="Times"/>
        </w:rPr>
        <w:t>Removing personal identifiers from data</w:t>
      </w:r>
      <w:r w:rsidR="00E82A1A">
        <w:rPr>
          <w:rFonts w:ascii="Times" w:hAnsi="Times"/>
        </w:rPr>
        <w:t xml:space="preserve"> gives the illusion of privacy</w:t>
      </w:r>
      <w:r w:rsidR="00E16C23">
        <w:rPr>
          <w:rFonts w:ascii="Times" w:hAnsi="Times"/>
        </w:rPr>
        <w:t>. However, th</w:t>
      </w:r>
      <w:r w:rsidR="001A79CC">
        <w:rPr>
          <w:rFonts w:ascii="Times" w:hAnsi="Times"/>
        </w:rPr>
        <w:t>e process</w:t>
      </w:r>
      <w:r w:rsidR="00E16C23">
        <w:rPr>
          <w:rFonts w:ascii="Times" w:hAnsi="Times"/>
        </w:rPr>
        <w:t xml:space="preserve"> ignores </w:t>
      </w:r>
      <w:r w:rsidR="00E82A1A">
        <w:rPr>
          <w:rFonts w:ascii="Times" w:hAnsi="Times"/>
        </w:rPr>
        <w:t>how data can be reidentified by linking it to outside information</w:t>
      </w:r>
      <w:r w:rsidR="00E82A1A" w:rsidRPr="00132290">
        <w:rPr>
          <w:rFonts w:ascii="Times" w:hAnsi="Times"/>
        </w:rPr>
        <w:t>.</w:t>
      </w:r>
      <w:r w:rsidR="00E82A1A" w:rsidRPr="00132290">
        <w:rPr>
          <w:rStyle w:val="FootnoteReference"/>
          <w:rFonts w:ascii="Times" w:hAnsi="Times"/>
        </w:rPr>
        <w:footnoteReference w:id="18"/>
      </w:r>
      <w:r w:rsidR="001D64E0">
        <w:rPr>
          <w:rFonts w:ascii="Times" w:hAnsi="Times"/>
        </w:rPr>
        <w:t xml:space="preserve"> </w:t>
      </w:r>
      <w:r w:rsidR="00E82A1A" w:rsidRPr="00132290">
        <w:rPr>
          <w:rFonts w:ascii="Times" w:hAnsi="Times"/>
        </w:rPr>
        <w:t xml:space="preserve">For example, </w:t>
      </w:r>
      <w:r w:rsidR="00E16C23">
        <w:rPr>
          <w:rFonts w:ascii="Times" w:hAnsi="Times"/>
        </w:rPr>
        <w:t>the government can identify a cellphone owner based on the home address where the phone is located each night</w:t>
      </w:r>
      <w:r w:rsidR="00E82A1A" w:rsidRPr="00132290">
        <w:rPr>
          <w:rFonts w:ascii="Times" w:hAnsi="Times"/>
        </w:rPr>
        <w:t>.</w:t>
      </w:r>
      <w:r w:rsidR="00E82A1A" w:rsidRPr="00132290">
        <w:rPr>
          <w:rStyle w:val="FootnoteReference"/>
          <w:rFonts w:ascii="Times" w:hAnsi="Times"/>
        </w:rPr>
        <w:footnoteReference w:id="19"/>
      </w:r>
      <w:r w:rsidR="00E82A1A" w:rsidRPr="00132290">
        <w:rPr>
          <w:rFonts w:ascii="Times" w:hAnsi="Times"/>
        </w:rPr>
        <w:t xml:space="preserve"> </w:t>
      </w:r>
      <w:r w:rsidR="001D01C6">
        <w:rPr>
          <w:rFonts w:ascii="Times" w:hAnsi="Times"/>
        </w:rPr>
        <w:t>A</w:t>
      </w:r>
      <w:r w:rsidR="00E82A1A" w:rsidRPr="00132290">
        <w:rPr>
          <w:rFonts w:ascii="Times" w:hAnsi="Times"/>
        </w:rPr>
        <w:t xml:space="preserve">s little as four points of location data </w:t>
      </w:r>
      <w:r w:rsidR="004454C7">
        <w:rPr>
          <w:rFonts w:ascii="Times" w:hAnsi="Times"/>
        </w:rPr>
        <w:t>are</w:t>
      </w:r>
      <w:r w:rsidR="004454C7" w:rsidRPr="00132290">
        <w:rPr>
          <w:rFonts w:ascii="Times" w:hAnsi="Times"/>
        </w:rPr>
        <w:t xml:space="preserve"> </w:t>
      </w:r>
      <w:r w:rsidR="00E82A1A" w:rsidRPr="00132290">
        <w:rPr>
          <w:rFonts w:ascii="Times" w:hAnsi="Times"/>
        </w:rPr>
        <w:t>sufficient to uniquely identify 95% of individuals.</w:t>
      </w:r>
      <w:r w:rsidR="00E82A1A" w:rsidRPr="00132290">
        <w:rPr>
          <w:rStyle w:val="FootnoteReference"/>
          <w:rFonts w:ascii="Times" w:hAnsi="Times"/>
        </w:rPr>
        <w:footnoteReference w:id="20"/>
      </w:r>
      <w:r w:rsidR="00E82A1A" w:rsidRPr="00132290">
        <w:rPr>
          <w:rFonts w:ascii="Times" w:hAnsi="Times"/>
        </w:rPr>
        <w:t xml:space="preserve"> Considering that MALI databases contain </w:t>
      </w:r>
      <w:r w:rsidR="00E82A1A">
        <w:rPr>
          <w:rFonts w:ascii="Times" w:hAnsi="Times"/>
        </w:rPr>
        <w:t xml:space="preserve">dozens </w:t>
      </w:r>
      <w:r w:rsidR="00FE2F41">
        <w:rPr>
          <w:rFonts w:ascii="Times" w:hAnsi="Times"/>
        </w:rPr>
        <w:t>or</w:t>
      </w:r>
      <w:r w:rsidR="00E82A1A">
        <w:rPr>
          <w:rFonts w:ascii="Times" w:hAnsi="Times"/>
        </w:rPr>
        <w:t xml:space="preserve"> </w:t>
      </w:r>
      <w:r w:rsidR="00E82A1A" w:rsidRPr="00132290">
        <w:rPr>
          <w:rFonts w:ascii="Times" w:hAnsi="Times"/>
        </w:rPr>
        <w:t xml:space="preserve">thousands of data points </w:t>
      </w:r>
      <w:r w:rsidR="00E82A1A">
        <w:rPr>
          <w:rFonts w:ascii="Times" w:hAnsi="Times"/>
        </w:rPr>
        <w:t>per person per day</w:t>
      </w:r>
      <w:r w:rsidR="00E82A1A" w:rsidRPr="00132290">
        <w:rPr>
          <w:rFonts w:ascii="Times" w:hAnsi="Times"/>
        </w:rPr>
        <w:t>, it is clear that MALI can be reidentified.</w:t>
      </w:r>
      <w:r w:rsidR="000B60E1">
        <w:rPr>
          <w:rFonts w:ascii="Times" w:hAnsi="Times"/>
        </w:rPr>
        <w:t xml:space="preserve"> </w:t>
      </w:r>
      <w:r w:rsidR="0071773D">
        <w:rPr>
          <w:rFonts w:ascii="Times" w:hAnsi="Times"/>
        </w:rPr>
        <w:t xml:space="preserve">Given the retrospective and deeply revealing nature of the information, </w:t>
      </w:r>
      <w:r w:rsidR="001A79CC">
        <w:rPr>
          <w:rFonts w:ascii="Times" w:hAnsi="Times"/>
        </w:rPr>
        <w:t xml:space="preserve">individuals </w:t>
      </w:r>
      <w:r w:rsidR="0071773D">
        <w:rPr>
          <w:rFonts w:ascii="Times" w:hAnsi="Times"/>
        </w:rPr>
        <w:t xml:space="preserve">have a reasonable expectation of privacy </w:t>
      </w:r>
      <w:r w:rsidR="00E16C23">
        <w:rPr>
          <w:rFonts w:ascii="Times" w:hAnsi="Times"/>
        </w:rPr>
        <w:t>in</w:t>
      </w:r>
      <w:r w:rsidR="0071773D">
        <w:rPr>
          <w:rFonts w:ascii="Times" w:hAnsi="Times"/>
        </w:rPr>
        <w:t xml:space="preserve"> their physical movements as captured by MALI</w:t>
      </w:r>
      <w:r w:rsidR="00C45557">
        <w:rPr>
          <w:rFonts w:ascii="Times" w:hAnsi="Times"/>
        </w:rPr>
        <w:t>.</w:t>
      </w:r>
    </w:p>
    <w:p w14:paraId="5FE67D53" w14:textId="77777777" w:rsidR="0071773D" w:rsidRDefault="0071773D" w:rsidP="005236B8">
      <w:pPr>
        <w:spacing w:line="480" w:lineRule="auto"/>
        <w:ind w:firstLine="720"/>
        <w:jc w:val="both"/>
        <w:rPr>
          <w:rFonts w:ascii="Times" w:hAnsi="Times"/>
        </w:rPr>
      </w:pPr>
    </w:p>
    <w:p w14:paraId="0036D9AB" w14:textId="0C923421" w:rsidR="00AC1C13" w:rsidRDefault="00A1478A" w:rsidP="005236B8">
      <w:pPr>
        <w:spacing w:line="480" w:lineRule="auto"/>
        <w:ind w:firstLine="720"/>
        <w:jc w:val="center"/>
        <w:rPr>
          <w:rFonts w:ascii="Times" w:hAnsi="Times"/>
          <w:b/>
          <w:bCs/>
          <w:smallCaps/>
        </w:rPr>
      </w:pPr>
      <w:r w:rsidRPr="007B7F14">
        <w:rPr>
          <w:rFonts w:ascii="Times" w:hAnsi="Times"/>
          <w:b/>
          <w:bCs/>
          <w:smallCaps/>
        </w:rPr>
        <w:t xml:space="preserve">The Third-Party Doctrine Does Not </w:t>
      </w:r>
      <w:r w:rsidR="009B601B">
        <w:rPr>
          <w:rFonts w:ascii="Times" w:hAnsi="Times"/>
          <w:b/>
          <w:bCs/>
          <w:smallCaps/>
        </w:rPr>
        <w:t>Extend</w:t>
      </w:r>
      <w:r w:rsidRPr="007B7F14">
        <w:rPr>
          <w:rFonts w:ascii="Times" w:hAnsi="Times"/>
          <w:b/>
          <w:bCs/>
          <w:smallCaps/>
        </w:rPr>
        <w:t xml:space="preserve"> to M</w:t>
      </w:r>
      <w:r>
        <w:rPr>
          <w:rFonts w:ascii="Times" w:hAnsi="Times"/>
          <w:b/>
          <w:bCs/>
          <w:smallCaps/>
        </w:rPr>
        <w:t>ALI</w:t>
      </w:r>
    </w:p>
    <w:p w14:paraId="6591002B" w14:textId="7D88009B" w:rsidR="00AC1C13" w:rsidRDefault="00775FE4" w:rsidP="005236B8">
      <w:pPr>
        <w:spacing w:line="480" w:lineRule="auto"/>
        <w:ind w:firstLine="720"/>
        <w:jc w:val="both"/>
        <w:rPr>
          <w:rFonts w:ascii="Times" w:hAnsi="Times"/>
        </w:rPr>
      </w:pPr>
      <w:r w:rsidRPr="00132290">
        <w:rPr>
          <w:rFonts w:ascii="Times" w:hAnsi="Times"/>
        </w:rPr>
        <w:t>Additionally, the Court “decline[d] to extend” the third-party doctrine to CSLI</w:t>
      </w:r>
      <w:r w:rsidR="00D71E45">
        <w:rPr>
          <w:rFonts w:ascii="Times" w:hAnsi="Times"/>
        </w:rPr>
        <w:t>.</w:t>
      </w:r>
      <w:r w:rsidR="002E62CB">
        <w:rPr>
          <w:rStyle w:val="FootnoteReference"/>
          <w:rFonts w:ascii="Times" w:hAnsi="Times"/>
        </w:rPr>
        <w:footnoteReference w:id="21"/>
      </w:r>
      <w:r w:rsidR="00D71E45">
        <w:rPr>
          <w:rFonts w:ascii="Times" w:hAnsi="Times"/>
        </w:rPr>
        <w:t xml:space="preserve"> The third</w:t>
      </w:r>
      <w:r w:rsidR="00404C40">
        <w:rPr>
          <w:rFonts w:ascii="Times" w:hAnsi="Times"/>
        </w:rPr>
        <w:t>-</w:t>
      </w:r>
      <w:r w:rsidR="00D71E45">
        <w:rPr>
          <w:rFonts w:ascii="Times" w:hAnsi="Times"/>
        </w:rPr>
        <w:t>party doctrine</w:t>
      </w:r>
      <w:r w:rsidRPr="00132290">
        <w:rPr>
          <w:rFonts w:ascii="Times" w:hAnsi="Times"/>
        </w:rPr>
        <w:t xml:space="preserve"> holds that there is no reasonable expectation of privacy, and thus no Fourth Amendment protection, over information voluntarily given to a third party.</w:t>
      </w:r>
      <w:r w:rsidRPr="00132290">
        <w:rPr>
          <w:rStyle w:val="FootnoteReference"/>
          <w:rFonts w:ascii="Times" w:hAnsi="Times"/>
        </w:rPr>
        <w:footnoteReference w:id="22"/>
      </w:r>
      <w:r w:rsidRPr="00132290">
        <w:rPr>
          <w:rFonts w:ascii="Times" w:hAnsi="Times"/>
        </w:rPr>
        <w:t xml:space="preserve"> </w:t>
      </w:r>
      <w:r w:rsidR="00AC1C13">
        <w:rPr>
          <w:rFonts w:ascii="Times" w:hAnsi="Times"/>
        </w:rPr>
        <w:t xml:space="preserve">The Court identified </w:t>
      </w:r>
      <w:r w:rsidR="00AC1C13">
        <w:rPr>
          <w:rFonts w:ascii="Times" w:hAnsi="Times"/>
        </w:rPr>
        <w:lastRenderedPageBreak/>
        <w:t xml:space="preserve">two rationales for the third-party doctrine—(1) “a </w:t>
      </w:r>
      <w:r w:rsidR="00AC1C13" w:rsidRPr="00186DEC">
        <w:rPr>
          <w:rFonts w:ascii="Times" w:hAnsi="Times"/>
        </w:rPr>
        <w:t>reduced expectation of privacy in information knowingly shared with another</w:t>
      </w:r>
      <w:r w:rsidR="00AC1C13">
        <w:rPr>
          <w:rFonts w:ascii="Times" w:hAnsi="Times"/>
        </w:rPr>
        <w:t>” and (2) “voluntary exposure”—and held that neither rationale applied to CSLI.</w:t>
      </w:r>
      <w:r w:rsidR="004A40CB">
        <w:rPr>
          <w:rStyle w:val="FootnoteReference"/>
          <w:rFonts w:ascii="Times" w:hAnsi="Times"/>
        </w:rPr>
        <w:footnoteReference w:id="23"/>
      </w:r>
      <w:r w:rsidR="009B601B">
        <w:rPr>
          <w:rFonts w:ascii="Times" w:hAnsi="Times"/>
        </w:rPr>
        <w:t xml:space="preserve"> </w:t>
      </w:r>
      <w:r w:rsidR="00B97D31">
        <w:rPr>
          <w:rFonts w:ascii="Times" w:hAnsi="Times"/>
        </w:rPr>
        <w:t xml:space="preserve">The </w:t>
      </w:r>
      <w:r w:rsidR="004454C7">
        <w:rPr>
          <w:rFonts w:ascii="Times" w:hAnsi="Times"/>
        </w:rPr>
        <w:t xml:space="preserve">justifications </w:t>
      </w:r>
      <w:r w:rsidR="00B97D31">
        <w:rPr>
          <w:rFonts w:ascii="Times" w:hAnsi="Times"/>
        </w:rPr>
        <w:t xml:space="preserve">do not </w:t>
      </w:r>
      <w:r w:rsidR="00AC1C13">
        <w:rPr>
          <w:rFonts w:ascii="Times" w:hAnsi="Times"/>
        </w:rPr>
        <w:t>apply to MALI</w:t>
      </w:r>
      <w:r w:rsidR="00521475">
        <w:rPr>
          <w:rFonts w:ascii="Times" w:hAnsi="Times"/>
        </w:rPr>
        <w:t xml:space="preserve"> either</w:t>
      </w:r>
      <w:r w:rsidR="00AC1C13">
        <w:rPr>
          <w:rFonts w:ascii="Times" w:hAnsi="Times"/>
        </w:rPr>
        <w:t xml:space="preserve">. </w:t>
      </w:r>
      <w:r w:rsidR="00AC1C13" w:rsidRPr="009B601B">
        <w:rPr>
          <w:rFonts w:ascii="Times" w:hAnsi="Times"/>
        </w:rPr>
        <w:t xml:space="preserve">Considering the first rationale, the majority in </w:t>
      </w:r>
      <w:r w:rsidR="00AC1C13" w:rsidRPr="009B601B">
        <w:rPr>
          <w:rFonts w:ascii="Times" w:hAnsi="Times"/>
          <w:i/>
          <w:iCs/>
        </w:rPr>
        <w:t>Carpenter</w:t>
      </w:r>
      <w:r w:rsidR="00AC1C13" w:rsidRPr="009B601B">
        <w:rPr>
          <w:rFonts w:ascii="Times" w:hAnsi="Times"/>
        </w:rPr>
        <w:t xml:space="preserve"> held that there is </w:t>
      </w:r>
      <w:r w:rsidR="00E16C23">
        <w:rPr>
          <w:rFonts w:ascii="Times" w:hAnsi="Times"/>
        </w:rPr>
        <w:t>no</w:t>
      </w:r>
      <w:r w:rsidR="00AC1C13" w:rsidRPr="009B601B">
        <w:rPr>
          <w:rFonts w:ascii="Times" w:hAnsi="Times"/>
        </w:rPr>
        <w:t xml:space="preserve"> reduced expectation of privacy in deeply revealing location information knowingly shared with a third</w:t>
      </w:r>
      <w:r w:rsidR="001E4E9F">
        <w:rPr>
          <w:rFonts w:ascii="Times" w:hAnsi="Times"/>
        </w:rPr>
        <w:t xml:space="preserve"> </w:t>
      </w:r>
      <w:r w:rsidR="00AC1C13" w:rsidRPr="009B601B">
        <w:rPr>
          <w:rFonts w:ascii="Times" w:hAnsi="Times"/>
        </w:rPr>
        <w:t>party.</w:t>
      </w:r>
      <w:r w:rsidR="00AC1C13" w:rsidRPr="009B601B">
        <w:rPr>
          <w:rStyle w:val="FootnoteReference"/>
          <w:rFonts w:ascii="Times" w:hAnsi="Times"/>
        </w:rPr>
        <w:footnoteReference w:id="24"/>
      </w:r>
      <w:r w:rsidR="00AC1C13" w:rsidRPr="009B601B">
        <w:rPr>
          <w:rFonts w:ascii="Times" w:hAnsi="Times"/>
        </w:rPr>
        <w:t xml:space="preserve"> Such pervasive tracking “implicates privacy concerns far beyond those considered” when the third-party doctrine was developed.</w:t>
      </w:r>
      <w:r w:rsidR="00AC1C13" w:rsidRPr="009B601B">
        <w:rPr>
          <w:rStyle w:val="FootnoteReference"/>
          <w:rFonts w:ascii="Times" w:hAnsi="Times"/>
        </w:rPr>
        <w:footnoteReference w:id="25"/>
      </w:r>
      <w:r w:rsidR="00AC1C13" w:rsidRPr="009B601B">
        <w:rPr>
          <w:rFonts w:ascii="Times" w:hAnsi="Times"/>
        </w:rPr>
        <w:t xml:space="preserve"> </w:t>
      </w:r>
      <w:r w:rsidR="009B601B">
        <w:rPr>
          <w:rFonts w:ascii="Times" w:hAnsi="Times"/>
        </w:rPr>
        <w:t xml:space="preserve">Since MALI is a form of </w:t>
      </w:r>
      <w:r w:rsidR="004454C7">
        <w:rPr>
          <w:rFonts w:ascii="Times" w:hAnsi="Times"/>
        </w:rPr>
        <w:t xml:space="preserve">profoundly </w:t>
      </w:r>
      <w:r w:rsidR="009B601B">
        <w:rPr>
          <w:rFonts w:ascii="Times" w:hAnsi="Times"/>
        </w:rPr>
        <w:t xml:space="preserve">revealing location information, it </w:t>
      </w:r>
      <w:r w:rsidR="00AC1C13" w:rsidRPr="009B601B">
        <w:rPr>
          <w:rFonts w:ascii="Times" w:hAnsi="Times"/>
        </w:rPr>
        <w:t>is not subject to a reduced expectation of privacy.</w:t>
      </w:r>
    </w:p>
    <w:p w14:paraId="2882888E" w14:textId="0E9C3230" w:rsidR="00AC1C13" w:rsidRDefault="00A936C7" w:rsidP="005236B8">
      <w:pPr>
        <w:spacing w:line="48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For the second rationale, t</w:t>
      </w:r>
      <w:r w:rsidR="00AC1C13" w:rsidRPr="00771FBC">
        <w:rPr>
          <w:rFonts w:ascii="Times" w:hAnsi="Times"/>
        </w:rPr>
        <w:t xml:space="preserve">he Court offered two </w:t>
      </w:r>
      <w:r w:rsidR="00AC1C13">
        <w:rPr>
          <w:rFonts w:ascii="Times" w:hAnsi="Times"/>
        </w:rPr>
        <w:t>reasons</w:t>
      </w:r>
      <w:r w:rsidR="00AC1C13" w:rsidRPr="00771FBC">
        <w:rPr>
          <w:rFonts w:ascii="Times" w:hAnsi="Times"/>
        </w:rPr>
        <w:t xml:space="preserve"> why CSLI is not truly shared</w:t>
      </w:r>
      <w:r w:rsidR="00AC1C13">
        <w:rPr>
          <w:rFonts w:ascii="Times" w:hAnsi="Times"/>
        </w:rPr>
        <w:t xml:space="preserve"> voluntarily. First, </w:t>
      </w:r>
      <w:r w:rsidR="00067E75">
        <w:rPr>
          <w:rFonts w:ascii="Times" w:hAnsi="Times"/>
        </w:rPr>
        <w:t>the Court reasoned that “</w:t>
      </w:r>
      <w:r w:rsidR="00067E75" w:rsidRPr="00FE4580">
        <w:rPr>
          <w:rFonts w:ascii="Times" w:hAnsi="Times"/>
        </w:rPr>
        <w:t xml:space="preserve">cell phones and the services they provide </w:t>
      </w:r>
      <w:r w:rsidR="00067E75">
        <w:rPr>
          <w:rFonts w:ascii="Times" w:hAnsi="Times"/>
        </w:rPr>
        <w:t xml:space="preserve">. . . [are] </w:t>
      </w:r>
      <w:r w:rsidR="00AC1C13" w:rsidRPr="00FE4580">
        <w:rPr>
          <w:rFonts w:ascii="Times" w:hAnsi="Times"/>
        </w:rPr>
        <w:t>indispensable to participation in modern society.”</w:t>
      </w:r>
      <w:r w:rsidR="00AC1C13" w:rsidRPr="00FE4580">
        <w:rPr>
          <w:rStyle w:val="FootnoteReference"/>
          <w:rFonts w:ascii="Times" w:hAnsi="Times"/>
        </w:rPr>
        <w:footnoteReference w:id="26"/>
      </w:r>
      <w:r w:rsidR="00AC1C13">
        <w:rPr>
          <w:rFonts w:ascii="Times" w:hAnsi="Times"/>
        </w:rPr>
        <w:t xml:space="preserve"> </w:t>
      </w:r>
      <w:r w:rsidR="00067E75">
        <w:rPr>
          <w:rFonts w:ascii="Times" w:hAnsi="Times"/>
        </w:rPr>
        <w:t xml:space="preserve">This </w:t>
      </w:r>
      <w:r w:rsidR="00543400">
        <w:rPr>
          <w:rFonts w:ascii="Times" w:hAnsi="Times"/>
        </w:rPr>
        <w:t>reason</w:t>
      </w:r>
      <w:r w:rsidR="00067E75">
        <w:rPr>
          <w:rFonts w:ascii="Times" w:hAnsi="Times"/>
        </w:rPr>
        <w:t xml:space="preserve"> applies directly to MALI.  </w:t>
      </w:r>
      <w:r w:rsidR="00067E75" w:rsidRPr="00067E75">
        <w:rPr>
          <w:rFonts w:ascii="Times" w:hAnsi="Times"/>
        </w:rPr>
        <w:t>Mobile apps are the primary “service” provided by cell phones—the average smartphone user spends 90% of the total time on their phone using mobile apps.</w:t>
      </w:r>
      <w:r w:rsidR="00067E75" w:rsidRPr="00067E75">
        <w:rPr>
          <w:rStyle w:val="FootnoteReference"/>
          <w:rFonts w:ascii="Times" w:hAnsi="Times"/>
        </w:rPr>
        <w:footnoteReference w:id="27"/>
      </w:r>
      <w:r w:rsidR="00067E75">
        <w:rPr>
          <w:rFonts w:ascii="Times" w:hAnsi="Times"/>
        </w:rPr>
        <w:t xml:space="preserve"> </w:t>
      </w:r>
      <w:r w:rsidR="00AC1C13">
        <w:rPr>
          <w:rFonts w:ascii="Times" w:hAnsi="Times"/>
        </w:rPr>
        <w:t xml:space="preserve">Second, the Court pointed to the </w:t>
      </w:r>
      <w:r w:rsidR="00386F52">
        <w:rPr>
          <w:rFonts w:ascii="Times" w:hAnsi="Times"/>
        </w:rPr>
        <w:t>“inescapable and automatic nature” that CSLI is collected.</w:t>
      </w:r>
      <w:r w:rsidR="00386F52">
        <w:rPr>
          <w:rStyle w:val="FootnoteReference"/>
          <w:rFonts w:ascii="Times" w:hAnsi="Times"/>
        </w:rPr>
        <w:footnoteReference w:id="28"/>
      </w:r>
      <w:r w:rsidR="00FB5391">
        <w:rPr>
          <w:rFonts w:ascii="Times" w:hAnsi="Times"/>
        </w:rPr>
        <w:t xml:space="preserve"> </w:t>
      </w:r>
      <w:r w:rsidR="00A65FA8">
        <w:rPr>
          <w:rFonts w:ascii="Times" w:hAnsi="Times"/>
        </w:rPr>
        <w:t>Likewise</w:t>
      </w:r>
      <w:r w:rsidR="00FB5391">
        <w:rPr>
          <w:rFonts w:ascii="Times" w:hAnsi="Times"/>
        </w:rPr>
        <w:t>, t</w:t>
      </w:r>
      <w:r w:rsidR="00AC1C13">
        <w:rPr>
          <w:rFonts w:ascii="Times" w:hAnsi="Times"/>
        </w:rPr>
        <w:t xml:space="preserve">he proliferation of location trackers in mobile apps makes it extremely difficult to avoid the creation of MALI. </w:t>
      </w:r>
      <w:r w:rsidR="00592283">
        <w:rPr>
          <w:rFonts w:ascii="Times" w:hAnsi="Times"/>
        </w:rPr>
        <w:t>O</w:t>
      </w:r>
      <w:r w:rsidR="00AC1C13">
        <w:rPr>
          <w:rFonts w:ascii="Times" w:hAnsi="Times"/>
        </w:rPr>
        <w:t>ver 55% of the top 160,000 Android apps contain location trackers.</w:t>
      </w:r>
      <w:r w:rsidR="00AC1C13">
        <w:rPr>
          <w:rStyle w:val="FootnoteReference"/>
          <w:rFonts w:ascii="Times" w:hAnsi="Times"/>
        </w:rPr>
        <w:footnoteReference w:id="29"/>
      </w:r>
      <w:r w:rsidR="00AC1C13">
        <w:rPr>
          <w:rFonts w:ascii="Times" w:hAnsi="Times"/>
        </w:rPr>
        <w:t xml:space="preserve"> </w:t>
      </w:r>
      <w:r w:rsidR="00FB5391">
        <w:rPr>
          <w:rFonts w:ascii="Times" w:hAnsi="Times"/>
        </w:rPr>
        <w:t>A</w:t>
      </w:r>
      <w:r w:rsidR="00AC1C13">
        <w:rPr>
          <w:rFonts w:ascii="Times" w:hAnsi="Times"/>
        </w:rPr>
        <w:t xml:space="preserve"> study </w:t>
      </w:r>
      <w:r w:rsidR="00757A26">
        <w:rPr>
          <w:rFonts w:ascii="Times" w:hAnsi="Times"/>
        </w:rPr>
        <w:t xml:space="preserve">that </w:t>
      </w:r>
      <w:r w:rsidR="00AC1C13">
        <w:rPr>
          <w:rFonts w:ascii="Times" w:hAnsi="Times"/>
        </w:rPr>
        <w:t>investigated 110 iOS apps found that 47% shared geolocation information with third parties.</w:t>
      </w:r>
      <w:r w:rsidR="00AC1C13">
        <w:rPr>
          <w:rStyle w:val="FootnoteReference"/>
          <w:rFonts w:ascii="Times" w:hAnsi="Times"/>
        </w:rPr>
        <w:footnoteReference w:id="30"/>
      </w:r>
      <w:r w:rsidR="00AC1C13">
        <w:rPr>
          <w:rFonts w:ascii="Times" w:hAnsi="Times"/>
        </w:rPr>
        <w:t xml:space="preserve"> </w:t>
      </w:r>
      <w:r w:rsidR="003A3AA4">
        <w:rPr>
          <w:rFonts w:ascii="Times" w:hAnsi="Times"/>
        </w:rPr>
        <w:t>And i</w:t>
      </w:r>
      <w:r w:rsidR="008D1C56">
        <w:rPr>
          <w:rFonts w:ascii="Times" w:hAnsi="Times"/>
        </w:rPr>
        <w:t xml:space="preserve">t is </w:t>
      </w:r>
      <w:r w:rsidR="00C02D4C">
        <w:rPr>
          <w:rFonts w:ascii="Times" w:hAnsi="Times"/>
        </w:rPr>
        <w:t>hard</w:t>
      </w:r>
      <w:r w:rsidR="00471333">
        <w:rPr>
          <w:rFonts w:ascii="Times" w:hAnsi="Times"/>
        </w:rPr>
        <w:t xml:space="preserve"> to </w:t>
      </w:r>
      <w:r w:rsidR="008D1C56">
        <w:rPr>
          <w:rFonts w:ascii="Times" w:hAnsi="Times"/>
        </w:rPr>
        <w:t xml:space="preserve">know </w:t>
      </w:r>
      <w:r w:rsidR="00471333">
        <w:rPr>
          <w:rFonts w:ascii="Times" w:hAnsi="Times"/>
        </w:rPr>
        <w:t xml:space="preserve">which apps </w:t>
      </w:r>
      <w:r w:rsidR="008D1C56">
        <w:rPr>
          <w:rFonts w:ascii="Times" w:hAnsi="Times"/>
        </w:rPr>
        <w:t>to avoid since</w:t>
      </w:r>
      <w:r w:rsidR="00471333">
        <w:rPr>
          <w:rFonts w:ascii="Times" w:hAnsi="Times"/>
        </w:rPr>
        <w:t xml:space="preserve"> terms of service often omit or obfuscate whether an app collects and sells your location </w:t>
      </w:r>
      <w:r w:rsidR="00471333">
        <w:rPr>
          <w:rFonts w:ascii="Times" w:hAnsi="Times"/>
        </w:rPr>
        <w:lastRenderedPageBreak/>
        <w:t>information.</w:t>
      </w:r>
      <w:r w:rsidR="004349A3">
        <w:rPr>
          <w:rStyle w:val="FootnoteReference"/>
          <w:rFonts w:ascii="Times" w:hAnsi="Times"/>
        </w:rPr>
        <w:footnoteReference w:id="31"/>
      </w:r>
      <w:r w:rsidR="00471333">
        <w:rPr>
          <w:rFonts w:ascii="Times" w:hAnsi="Times"/>
        </w:rPr>
        <w:t xml:space="preserve">  </w:t>
      </w:r>
      <w:r w:rsidR="00AC1C13">
        <w:rPr>
          <w:rFonts w:ascii="Times" w:hAnsi="Times"/>
        </w:rPr>
        <w:t xml:space="preserve">To </w:t>
      </w:r>
      <w:r w:rsidR="008F1ED5">
        <w:rPr>
          <w:rFonts w:ascii="Times" w:hAnsi="Times"/>
        </w:rPr>
        <w:t>prevent</w:t>
      </w:r>
      <w:r w:rsidR="00AC1C13">
        <w:rPr>
          <w:rFonts w:ascii="Times" w:hAnsi="Times"/>
        </w:rPr>
        <w:t xml:space="preserve"> </w:t>
      </w:r>
      <w:r w:rsidR="008F1ED5">
        <w:rPr>
          <w:rFonts w:ascii="Times" w:hAnsi="Times"/>
        </w:rPr>
        <w:t>MALI from being created</w:t>
      </w:r>
      <w:r w:rsidR="00AC1C13">
        <w:rPr>
          <w:rFonts w:ascii="Times" w:hAnsi="Times"/>
        </w:rPr>
        <w:t xml:space="preserve">, cell phone users have to disable location services for essentially all mobile apps. Doing so removes a </w:t>
      </w:r>
      <w:r w:rsidR="004454C7">
        <w:rPr>
          <w:rFonts w:ascii="Times" w:hAnsi="Times"/>
        </w:rPr>
        <w:t xml:space="preserve">significant </w:t>
      </w:r>
      <w:r w:rsidR="009015C2">
        <w:rPr>
          <w:rFonts w:ascii="Times" w:hAnsi="Times"/>
        </w:rPr>
        <w:t>part</w:t>
      </w:r>
      <w:r w:rsidR="00AC1C13">
        <w:rPr>
          <w:rFonts w:ascii="Times" w:hAnsi="Times"/>
        </w:rPr>
        <w:t xml:space="preserve"> of a cell phone’s usefulness and value. In </w:t>
      </w:r>
      <w:r w:rsidR="00AC1C13" w:rsidRPr="00CC7EB4">
        <w:rPr>
          <w:rFonts w:ascii="Times" w:hAnsi="Times"/>
          <w:i/>
          <w:iCs/>
        </w:rPr>
        <w:t>Carpenter</w:t>
      </w:r>
      <w:r w:rsidR="00AC1C13">
        <w:rPr>
          <w:rFonts w:ascii="Times" w:hAnsi="Times"/>
        </w:rPr>
        <w:t xml:space="preserve">, the Court did not demand that </w:t>
      </w:r>
      <w:r w:rsidR="00B35DA5">
        <w:rPr>
          <w:rFonts w:ascii="Times" w:hAnsi="Times"/>
        </w:rPr>
        <w:t>people</w:t>
      </w:r>
      <w:r w:rsidR="00AC1C13">
        <w:rPr>
          <w:rFonts w:ascii="Times" w:hAnsi="Times"/>
        </w:rPr>
        <w:t xml:space="preserve"> turn their cell phone off whenever they did not want to be tracked.  </w:t>
      </w:r>
      <w:r w:rsidR="004E7956">
        <w:rPr>
          <w:rFonts w:ascii="Times" w:hAnsi="Times"/>
        </w:rPr>
        <w:t>Similarly</w:t>
      </w:r>
      <w:r w:rsidR="00AC1C13">
        <w:rPr>
          <w:rFonts w:ascii="Times" w:hAnsi="Times"/>
        </w:rPr>
        <w:t xml:space="preserve">, the onus should not fall on </w:t>
      </w:r>
      <w:r w:rsidR="00B35DA5">
        <w:rPr>
          <w:rFonts w:ascii="Times" w:hAnsi="Times"/>
        </w:rPr>
        <w:t>the public</w:t>
      </w:r>
      <w:r w:rsidR="00AC1C13">
        <w:rPr>
          <w:rFonts w:ascii="Times" w:hAnsi="Times"/>
        </w:rPr>
        <w:t xml:space="preserve"> to disable location services </w:t>
      </w:r>
      <w:r w:rsidR="00E16C23">
        <w:rPr>
          <w:rFonts w:ascii="Times" w:hAnsi="Times"/>
        </w:rPr>
        <w:t>to</w:t>
      </w:r>
      <w:r w:rsidR="00AC1C13">
        <w:rPr>
          <w:rFonts w:ascii="Times" w:hAnsi="Times"/>
        </w:rPr>
        <w:t xml:space="preserve"> avoid intrusion from law enforcement.</w:t>
      </w:r>
    </w:p>
    <w:p w14:paraId="108A89E0" w14:textId="77777777" w:rsidR="001B4CC2" w:rsidRDefault="001B4CC2" w:rsidP="00CE5766">
      <w:pPr>
        <w:spacing w:line="480" w:lineRule="auto"/>
        <w:rPr>
          <w:rFonts w:ascii="Times" w:hAnsi="Times"/>
        </w:rPr>
      </w:pPr>
    </w:p>
    <w:p w14:paraId="28403B5A" w14:textId="395D10EE" w:rsidR="00AC1C13" w:rsidRDefault="001B4CC2" w:rsidP="001B4CC2">
      <w:pPr>
        <w:spacing w:line="480" w:lineRule="auto"/>
        <w:ind w:firstLine="720"/>
        <w:jc w:val="center"/>
        <w:rPr>
          <w:rFonts w:ascii="Times" w:hAnsi="Times"/>
          <w:b/>
          <w:bCs/>
          <w:smallCaps/>
        </w:rPr>
      </w:pPr>
      <w:r w:rsidRPr="00695734">
        <w:rPr>
          <w:rFonts w:ascii="Times" w:hAnsi="Times"/>
          <w:b/>
          <w:bCs/>
          <w:smallCaps/>
        </w:rPr>
        <w:t>Conclusion</w:t>
      </w:r>
    </w:p>
    <w:p w14:paraId="24F3F4C2" w14:textId="24CF3F46" w:rsidR="0065740A" w:rsidRPr="006769A8" w:rsidRDefault="007B4F88" w:rsidP="00510758">
      <w:pPr>
        <w:spacing w:line="480" w:lineRule="auto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Mobile application location information</w:t>
      </w:r>
      <w:r w:rsidR="008D5F24">
        <w:rPr>
          <w:rFonts w:ascii="Times" w:hAnsi="Times"/>
        </w:rPr>
        <w:t xml:space="preserve"> offers law enforcement unprecedented surveillance power</w:t>
      </w:r>
      <w:r w:rsidR="004274FA">
        <w:rPr>
          <w:rFonts w:ascii="Times" w:hAnsi="Times"/>
        </w:rPr>
        <w:t xml:space="preserve"> of the type t</w:t>
      </w:r>
      <w:r w:rsidR="00510758">
        <w:rPr>
          <w:rFonts w:ascii="Times" w:hAnsi="Times"/>
        </w:rPr>
        <w:t xml:space="preserve">he Fourth Amendment was designed to protect against. </w:t>
      </w:r>
      <w:r w:rsidR="0065740A">
        <w:rPr>
          <w:rFonts w:ascii="Times" w:hAnsi="Times"/>
        </w:rPr>
        <w:t>If law enforcement agen</w:t>
      </w:r>
      <w:r w:rsidR="00320532">
        <w:rPr>
          <w:rFonts w:ascii="Times" w:hAnsi="Times"/>
        </w:rPr>
        <w:t>cies</w:t>
      </w:r>
      <w:r w:rsidR="0065740A">
        <w:rPr>
          <w:rFonts w:ascii="Times" w:hAnsi="Times"/>
        </w:rPr>
        <w:t xml:space="preserve"> want to purchase MALI, the Fourth Amendment demands they get a warrant first.</w:t>
      </w:r>
    </w:p>
    <w:p w14:paraId="425F42D8" w14:textId="3E016A07" w:rsidR="00695734" w:rsidRPr="00695734" w:rsidRDefault="00695734" w:rsidP="00695734">
      <w:pPr>
        <w:spacing w:line="480" w:lineRule="auto"/>
        <w:ind w:firstLine="720"/>
        <w:rPr>
          <w:rFonts w:ascii="Times" w:hAnsi="Times"/>
        </w:rPr>
      </w:pPr>
    </w:p>
    <w:sectPr w:rsidR="00695734" w:rsidRPr="00695734" w:rsidSect="00D34E0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0D47" w14:textId="77777777" w:rsidR="0009075F" w:rsidRDefault="0009075F" w:rsidP="00093498">
      <w:r>
        <w:separator/>
      </w:r>
    </w:p>
  </w:endnote>
  <w:endnote w:type="continuationSeparator" w:id="0">
    <w:p w14:paraId="4FBFC407" w14:textId="77777777" w:rsidR="0009075F" w:rsidRDefault="0009075F" w:rsidP="000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9962536"/>
      <w:docPartObj>
        <w:docPartGallery w:val="Page Numbers (Bottom of Page)"/>
        <w:docPartUnique/>
      </w:docPartObj>
    </w:sdtPr>
    <w:sdtContent>
      <w:p w14:paraId="0198800F" w14:textId="77777777" w:rsidR="00A04EC3" w:rsidRDefault="008A222A" w:rsidP="00A04E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57B3E" w14:textId="77777777" w:rsidR="00A04EC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3167040"/>
      <w:docPartObj>
        <w:docPartGallery w:val="Page Numbers (Bottom of Page)"/>
        <w:docPartUnique/>
      </w:docPartObj>
    </w:sdtPr>
    <w:sdtContent>
      <w:p w14:paraId="7A3FB748" w14:textId="77777777" w:rsidR="00A04EC3" w:rsidRDefault="008A222A" w:rsidP="00A04E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6734F3" w14:textId="77777777" w:rsidR="00A04EC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4AB4" w14:textId="77777777" w:rsidR="0009075F" w:rsidRDefault="0009075F" w:rsidP="00093498">
      <w:r>
        <w:separator/>
      </w:r>
    </w:p>
  </w:footnote>
  <w:footnote w:type="continuationSeparator" w:id="0">
    <w:p w14:paraId="77596E72" w14:textId="77777777" w:rsidR="0009075F" w:rsidRDefault="0009075F" w:rsidP="00093498">
      <w:r>
        <w:continuationSeparator/>
      </w:r>
    </w:p>
  </w:footnote>
  <w:footnote w:id="1">
    <w:p w14:paraId="3584633D" w14:textId="77777777" w:rsidR="00093498" w:rsidRPr="00E26858" w:rsidRDefault="00093498" w:rsidP="00093498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Stuart A. Thompson &amp; Charlie </w:t>
      </w:r>
      <w:proofErr w:type="spellStart"/>
      <w:r w:rsidRPr="00E26858">
        <w:rPr>
          <w:rFonts w:ascii="Times" w:hAnsi="Times"/>
        </w:rPr>
        <w:t>Warzel</w:t>
      </w:r>
      <w:proofErr w:type="spellEnd"/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i/>
          <w:iCs/>
        </w:rPr>
        <w:t>Twelve Million Phones, One Dataset, Zero Privacy</w:t>
      </w:r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smallCaps/>
        </w:rPr>
        <w:t>N.Y. Times</w:t>
      </w:r>
      <w:r w:rsidRPr="00E26858">
        <w:rPr>
          <w:rFonts w:ascii="Times" w:hAnsi="Times"/>
        </w:rPr>
        <w:t xml:space="preserve"> (Dec. 20, 2019), https://www.nytimes.com/interactive/2019/12/19/opinion/location-tracking-cell-phone.html.</w:t>
      </w:r>
    </w:p>
  </w:footnote>
  <w:footnote w:id="2">
    <w:p w14:paraId="32DFFDD8" w14:textId="77777777" w:rsidR="00093498" w:rsidRPr="00E26858" w:rsidRDefault="00093498" w:rsidP="00093498">
      <w:pPr>
        <w:jc w:val="both"/>
        <w:rPr>
          <w:rFonts w:ascii="Times" w:hAnsi="Times"/>
          <w:sz w:val="20"/>
          <w:szCs w:val="20"/>
        </w:rPr>
      </w:pPr>
      <w:r w:rsidRPr="00E26858">
        <w:rPr>
          <w:rStyle w:val="FootnoteReference"/>
          <w:rFonts w:ascii="Times" w:hAnsi="Times"/>
          <w:sz w:val="20"/>
          <w:szCs w:val="20"/>
        </w:rPr>
        <w:footnoteRef/>
      </w:r>
      <w:r w:rsidRPr="00E26858">
        <w:rPr>
          <w:rFonts w:ascii="Times" w:hAnsi="Times"/>
          <w:sz w:val="20"/>
          <w:szCs w:val="20"/>
        </w:rPr>
        <w:fldChar w:fldCharType="begin"/>
      </w:r>
      <w:r w:rsidRPr="00E26858">
        <w:rPr>
          <w:rFonts w:ascii="Times" w:hAnsi="Times"/>
          <w:sz w:val="20"/>
          <w:szCs w:val="20"/>
        </w:rPr>
        <w:instrText xml:space="preserve"> ADVANCE \r5 \* MERGEFORMAT </w:instrText>
      </w:r>
      <w:r w:rsidRPr="00E26858">
        <w:rPr>
          <w:rFonts w:ascii="Times" w:hAnsi="Times"/>
          <w:sz w:val="20"/>
          <w:szCs w:val="20"/>
        </w:rPr>
        <w:fldChar w:fldCharType="end"/>
      </w:r>
      <w:r w:rsidRPr="00E26858">
        <w:rPr>
          <w:rFonts w:ascii="Times" w:hAnsi="Times"/>
          <w:sz w:val="20"/>
          <w:szCs w:val="20"/>
        </w:rPr>
        <w:t xml:space="preserve">Jennifer Valentino-DeVries et al., </w:t>
      </w:r>
      <w:r w:rsidRPr="00E26858">
        <w:rPr>
          <w:rFonts w:ascii="Times" w:hAnsi="Times"/>
          <w:i/>
          <w:iCs/>
          <w:sz w:val="20"/>
          <w:szCs w:val="20"/>
        </w:rPr>
        <w:t>Your Apps Know Where You Were Last Night, and They’re Not Keeping It Secret</w:t>
      </w:r>
      <w:r w:rsidRPr="00E26858">
        <w:rPr>
          <w:rFonts w:ascii="Times" w:hAnsi="Times"/>
          <w:sz w:val="20"/>
          <w:szCs w:val="20"/>
        </w:rPr>
        <w:t xml:space="preserve">, </w:t>
      </w:r>
      <w:r w:rsidRPr="00E26858">
        <w:rPr>
          <w:rFonts w:ascii="Times" w:hAnsi="Times"/>
          <w:smallCaps/>
          <w:sz w:val="20"/>
          <w:szCs w:val="20"/>
        </w:rPr>
        <w:t>N.Y. Times</w:t>
      </w:r>
      <w:r w:rsidRPr="00E26858">
        <w:rPr>
          <w:rFonts w:ascii="Times" w:hAnsi="Times"/>
          <w:sz w:val="20"/>
          <w:szCs w:val="20"/>
        </w:rPr>
        <w:t xml:space="preserve"> (Dec. 10, 2018), https://www.nytimes.com/interactive/2018/12/10/business/location-data-privacy-apps.html?mod=article_inline.</w:t>
      </w:r>
    </w:p>
  </w:footnote>
  <w:footnote w:id="3">
    <w:p w14:paraId="561A0369" w14:textId="77777777" w:rsidR="00093498" w:rsidRPr="00E26858" w:rsidRDefault="00093498" w:rsidP="00093498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Thompson &amp; </w:t>
      </w:r>
      <w:proofErr w:type="spellStart"/>
      <w:r w:rsidRPr="00E26858">
        <w:rPr>
          <w:rFonts w:ascii="Times" w:hAnsi="Times"/>
        </w:rPr>
        <w:t>Warzel</w:t>
      </w:r>
      <w:proofErr w:type="spellEnd"/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i/>
          <w:iCs/>
        </w:rPr>
        <w:t>supra</w:t>
      </w:r>
      <w:r w:rsidRPr="00E26858">
        <w:rPr>
          <w:rFonts w:ascii="Times" w:hAnsi="Times"/>
        </w:rPr>
        <w:t xml:space="preserve"> note </w:t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NOTEREF Twelve_Million_Phones \* MERGEFORMAT </w:instrText>
      </w:r>
      <w:r w:rsidRPr="00E26858">
        <w:rPr>
          <w:rFonts w:ascii="Times" w:hAnsi="Times"/>
        </w:rPr>
        <w:fldChar w:fldCharType="separate"/>
      </w:r>
      <w:r>
        <w:rPr>
          <w:rFonts w:ascii="Times" w:hAnsi="Times"/>
        </w:rPr>
        <w:t>1</w: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>.</w:t>
      </w:r>
    </w:p>
  </w:footnote>
  <w:footnote w:id="4">
    <w:p w14:paraId="3F01B8F9" w14:textId="77777777" w:rsidR="00093498" w:rsidRPr="00E26858" w:rsidRDefault="00093498" w:rsidP="00093498">
      <w:pPr>
        <w:jc w:val="both"/>
        <w:rPr>
          <w:rFonts w:ascii="Times" w:hAnsi="Times"/>
          <w:sz w:val="20"/>
          <w:szCs w:val="20"/>
        </w:rPr>
      </w:pPr>
      <w:r w:rsidRPr="00E26858">
        <w:rPr>
          <w:rStyle w:val="FootnoteReference"/>
          <w:rFonts w:ascii="Times" w:hAnsi="Times"/>
          <w:sz w:val="20"/>
          <w:szCs w:val="20"/>
        </w:rPr>
        <w:footnoteRef/>
      </w:r>
      <w:r w:rsidRPr="00E26858">
        <w:rPr>
          <w:rFonts w:ascii="Times" w:hAnsi="Times"/>
          <w:sz w:val="20"/>
          <w:szCs w:val="20"/>
        </w:rPr>
        <w:fldChar w:fldCharType="begin"/>
      </w:r>
      <w:r w:rsidRPr="00E26858">
        <w:rPr>
          <w:rFonts w:ascii="Times" w:hAnsi="Times"/>
          <w:sz w:val="20"/>
          <w:szCs w:val="20"/>
        </w:rPr>
        <w:instrText xml:space="preserve"> ADVANCE \r5 \* MERGEFORMAT </w:instrText>
      </w:r>
      <w:r w:rsidRPr="00E26858">
        <w:rPr>
          <w:rFonts w:ascii="Times" w:hAnsi="Times"/>
          <w:sz w:val="20"/>
          <w:szCs w:val="20"/>
        </w:rPr>
        <w:fldChar w:fldCharType="end"/>
      </w:r>
      <w:r w:rsidRPr="00E26858">
        <w:rPr>
          <w:rFonts w:ascii="Times" w:hAnsi="Times"/>
          <w:sz w:val="20"/>
          <w:szCs w:val="20"/>
        </w:rPr>
        <w:t xml:space="preserve">Charles Levinson, </w:t>
      </w:r>
      <w:r w:rsidRPr="00E26858">
        <w:rPr>
          <w:rFonts w:ascii="Times" w:hAnsi="Times"/>
          <w:i/>
          <w:iCs/>
          <w:sz w:val="20"/>
          <w:szCs w:val="20"/>
        </w:rPr>
        <w:t>Through Apps, Not Warrants, ‘Locate X’ Allows Federal Law Enforcement to Track Phones</w:t>
      </w:r>
      <w:r w:rsidRPr="00E26858">
        <w:rPr>
          <w:rFonts w:ascii="Times" w:hAnsi="Times"/>
          <w:sz w:val="20"/>
          <w:szCs w:val="20"/>
        </w:rPr>
        <w:t xml:space="preserve">, </w:t>
      </w:r>
      <w:r w:rsidRPr="00E26858">
        <w:rPr>
          <w:rFonts w:ascii="Times" w:hAnsi="Times"/>
          <w:smallCaps/>
          <w:sz w:val="20"/>
          <w:szCs w:val="20"/>
        </w:rPr>
        <w:t>Protocol</w:t>
      </w:r>
      <w:r w:rsidRPr="00E26858">
        <w:rPr>
          <w:rFonts w:ascii="Times" w:hAnsi="Times"/>
          <w:sz w:val="20"/>
          <w:szCs w:val="20"/>
        </w:rPr>
        <w:t xml:space="preserve"> (Mar. 5, 2020), https://www.protocol.com/government-buying-location-data; Byron Tau &amp; Michelle Hackman, </w:t>
      </w:r>
      <w:r w:rsidRPr="00E26858">
        <w:rPr>
          <w:rFonts w:ascii="Times" w:hAnsi="Times"/>
          <w:i/>
          <w:iCs/>
          <w:sz w:val="20"/>
          <w:szCs w:val="20"/>
        </w:rPr>
        <w:t>Federal Agencies Use Cellphone Location Data for Immigration Enforcement</w:t>
      </w:r>
      <w:r w:rsidRPr="00E26858">
        <w:rPr>
          <w:rFonts w:ascii="Times" w:hAnsi="Times"/>
          <w:sz w:val="20"/>
          <w:szCs w:val="20"/>
        </w:rPr>
        <w:t xml:space="preserve">, </w:t>
      </w:r>
      <w:r w:rsidRPr="00E26858">
        <w:rPr>
          <w:rFonts w:ascii="Times" w:hAnsi="Times"/>
          <w:smallCaps/>
          <w:sz w:val="20"/>
          <w:szCs w:val="20"/>
        </w:rPr>
        <w:t>Wall Street J.</w:t>
      </w:r>
      <w:r w:rsidRPr="00E26858">
        <w:rPr>
          <w:rFonts w:ascii="Times" w:hAnsi="Times"/>
          <w:sz w:val="20"/>
          <w:szCs w:val="20"/>
        </w:rPr>
        <w:t xml:space="preserve"> (Feb. 7, 2020, 7:30 AM), https://www.wsj.com/articles/federal-agencies-use-cellphone-location-data-for-immigration-enforcement-11581078600.</w:t>
      </w:r>
    </w:p>
  </w:footnote>
  <w:footnote w:id="5">
    <w:p w14:paraId="72E1993D" w14:textId="77777777" w:rsidR="00093498" w:rsidRPr="00E26858" w:rsidRDefault="00093498" w:rsidP="00093498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>Carpenter v. United States, 138 S. Ct. 2206, 2218 (2018).</w:t>
      </w:r>
    </w:p>
  </w:footnote>
  <w:footnote w:id="6">
    <w:p w14:paraId="53C09CF7" w14:textId="77777777" w:rsidR="00093498" w:rsidRPr="00E26858" w:rsidRDefault="00093498" w:rsidP="00093498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The holding was limited to police access of seven or more days of </w:t>
      </w:r>
      <w:r>
        <w:rPr>
          <w:rFonts w:ascii="Times" w:hAnsi="Times"/>
        </w:rPr>
        <w:t>CSLI</w:t>
      </w:r>
      <w:r w:rsidRPr="00E26858">
        <w:rPr>
          <w:rFonts w:ascii="Times" w:hAnsi="Times"/>
        </w:rPr>
        <w:t xml:space="preserve">. </w:t>
      </w:r>
      <w:r w:rsidRPr="00E26858">
        <w:rPr>
          <w:rFonts w:ascii="Times" w:hAnsi="Times"/>
          <w:i/>
          <w:iCs/>
        </w:rPr>
        <w:t xml:space="preserve">Id. </w:t>
      </w:r>
      <w:r w:rsidRPr="00E26858">
        <w:rPr>
          <w:rFonts w:ascii="Times" w:hAnsi="Times"/>
        </w:rPr>
        <w:t>at 2217, 2217 n.3.</w:t>
      </w:r>
    </w:p>
  </w:footnote>
  <w:footnote w:id="7">
    <w:p w14:paraId="1F528779" w14:textId="77777777" w:rsidR="00093498" w:rsidRPr="00E26858" w:rsidRDefault="00093498" w:rsidP="00093498">
      <w:pPr>
        <w:jc w:val="both"/>
        <w:rPr>
          <w:rFonts w:ascii="Times" w:hAnsi="Times"/>
          <w:sz w:val="20"/>
          <w:szCs w:val="20"/>
        </w:rPr>
      </w:pPr>
      <w:r w:rsidRPr="00E26858">
        <w:rPr>
          <w:rStyle w:val="FootnoteReference"/>
          <w:rFonts w:ascii="Times" w:hAnsi="Times"/>
          <w:sz w:val="20"/>
          <w:szCs w:val="20"/>
        </w:rPr>
        <w:footnoteRef/>
      </w:r>
      <w:r w:rsidRPr="00E26858">
        <w:rPr>
          <w:rFonts w:ascii="Times" w:hAnsi="Times"/>
          <w:sz w:val="20"/>
          <w:szCs w:val="20"/>
        </w:rPr>
        <w:fldChar w:fldCharType="begin"/>
      </w:r>
      <w:r w:rsidRPr="00E26858">
        <w:rPr>
          <w:rFonts w:ascii="Times" w:hAnsi="Times"/>
          <w:sz w:val="20"/>
          <w:szCs w:val="20"/>
        </w:rPr>
        <w:instrText xml:space="preserve"> ADVANCE \r5 \* MERGEFORMAT </w:instrText>
      </w:r>
      <w:r w:rsidRPr="00E26858">
        <w:rPr>
          <w:rFonts w:ascii="Times" w:hAnsi="Times"/>
          <w:sz w:val="20"/>
          <w:szCs w:val="20"/>
        </w:rPr>
        <w:fldChar w:fldCharType="end"/>
      </w:r>
      <w:r>
        <w:rPr>
          <w:rFonts w:ascii="Times" w:hAnsi="Times"/>
          <w:i/>
          <w:iCs/>
          <w:sz w:val="20"/>
          <w:szCs w:val="20"/>
        </w:rPr>
        <w:t>Id.</w:t>
      </w:r>
      <w:r w:rsidRPr="00E26858">
        <w:rPr>
          <w:rFonts w:ascii="Times" w:hAnsi="Times"/>
          <w:sz w:val="20"/>
          <w:szCs w:val="20"/>
        </w:rPr>
        <w:t xml:space="preserve"> at 2223</w:t>
      </w:r>
      <w:r w:rsidRPr="00E26858">
        <w:rPr>
          <w:rFonts w:ascii="Times" w:hAnsi="Times"/>
          <w:color w:val="000000"/>
          <w:sz w:val="20"/>
          <w:szCs w:val="20"/>
        </w:rPr>
        <w:t>.</w:t>
      </w:r>
    </w:p>
  </w:footnote>
  <w:footnote w:id="8">
    <w:p w14:paraId="3C23FB55" w14:textId="02DF4CFA" w:rsidR="00093498" w:rsidRPr="00E26858" w:rsidRDefault="00093498" w:rsidP="00093498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="00C3400E" w:rsidRPr="00C3400E">
        <w:rPr>
          <w:rFonts w:ascii="Times" w:hAnsi="Times"/>
          <w:i/>
          <w:iCs/>
        </w:rPr>
        <w:t>See</w:t>
      </w:r>
      <w:r w:rsidR="00C3400E">
        <w:rPr>
          <w:rFonts w:ascii="Times" w:hAnsi="Times"/>
        </w:rPr>
        <w:t xml:space="preserve"> </w:t>
      </w:r>
      <w:r w:rsidRPr="00E26858">
        <w:rPr>
          <w:rFonts w:ascii="Times" w:hAnsi="Times"/>
        </w:rPr>
        <w:t xml:space="preserve">Paul Ohm, </w:t>
      </w:r>
      <w:r w:rsidRPr="00E26858">
        <w:rPr>
          <w:rFonts w:ascii="Times" w:hAnsi="Times"/>
          <w:i/>
          <w:iCs/>
        </w:rPr>
        <w:t>The Many Revolutions of Carpenter</w:t>
      </w:r>
      <w:r w:rsidRPr="00E26858">
        <w:rPr>
          <w:rFonts w:ascii="Times" w:hAnsi="Times"/>
        </w:rPr>
        <w:t xml:space="preserve">, 32 </w:t>
      </w:r>
      <w:r w:rsidRPr="00E26858">
        <w:rPr>
          <w:rFonts w:ascii="Times" w:hAnsi="Times"/>
          <w:smallCaps/>
        </w:rPr>
        <w:t>Harv. J.L. &amp; Tech.</w:t>
      </w:r>
      <w:r w:rsidRPr="00E26858">
        <w:rPr>
          <w:rFonts w:ascii="Times" w:hAnsi="Times"/>
        </w:rPr>
        <w:t xml:space="preserve"> 357, </w:t>
      </w:r>
      <w:r w:rsidR="00C3400E">
        <w:rPr>
          <w:rFonts w:ascii="Times" w:hAnsi="Times"/>
        </w:rPr>
        <w:t xml:space="preserve">359, </w:t>
      </w:r>
      <w:r w:rsidRPr="00E26858">
        <w:rPr>
          <w:rFonts w:ascii="Times" w:hAnsi="Times"/>
        </w:rPr>
        <w:t>364 (2019)</w:t>
      </w:r>
      <w:r w:rsidR="00C3400E">
        <w:rPr>
          <w:rFonts w:ascii="Times" w:hAnsi="Times"/>
        </w:rPr>
        <w:t>.</w:t>
      </w:r>
    </w:p>
  </w:footnote>
  <w:footnote w:id="9">
    <w:p w14:paraId="5E3C96EA" w14:textId="37288435" w:rsidR="00121341" w:rsidRPr="00E26858" w:rsidRDefault="00121341" w:rsidP="00121341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  <w:i/>
          <w:iCs/>
        </w:rPr>
        <w:t>Carpenter</w:t>
      </w:r>
      <w:r w:rsidRPr="00E26858">
        <w:rPr>
          <w:rFonts w:ascii="Times" w:hAnsi="Times"/>
        </w:rPr>
        <w:t xml:space="preserve">, 138 S. Ct. at 2217 (citing United States v. Jones, 565 U.S. 400, </w:t>
      </w:r>
      <w:r>
        <w:rPr>
          <w:rFonts w:ascii="Times" w:hAnsi="Times"/>
        </w:rPr>
        <w:t xml:space="preserve">415, </w:t>
      </w:r>
      <w:r w:rsidRPr="00E26858">
        <w:rPr>
          <w:rFonts w:ascii="Times" w:hAnsi="Times"/>
        </w:rPr>
        <w:t>430 (2012) (Sotomayor, J., concurring) (Alito, J., concurring)).</w:t>
      </w:r>
      <w:r w:rsidR="008F62AA">
        <w:rPr>
          <w:rFonts w:ascii="Times" w:hAnsi="Times"/>
        </w:rPr>
        <w:t xml:space="preserve"> </w:t>
      </w:r>
      <w:r w:rsidR="008F62AA" w:rsidRPr="008F62AA">
        <w:rPr>
          <w:rFonts w:ascii="Times" w:hAnsi="Times"/>
        </w:rPr>
        <w:t xml:space="preserve">The majority focused on the </w:t>
      </w:r>
      <w:r w:rsidR="003D47C6">
        <w:rPr>
          <w:rFonts w:ascii="Times" w:hAnsi="Times"/>
        </w:rPr>
        <w:t>nature of historical cell phone tracking data</w:t>
      </w:r>
      <w:r w:rsidR="008F62AA" w:rsidRPr="008F62AA">
        <w:rPr>
          <w:rFonts w:ascii="Times" w:hAnsi="Times"/>
        </w:rPr>
        <w:t xml:space="preserve"> </w:t>
      </w:r>
      <w:r w:rsidR="003D47C6">
        <w:rPr>
          <w:rFonts w:ascii="Times" w:hAnsi="Times"/>
        </w:rPr>
        <w:t xml:space="preserve">in general, </w:t>
      </w:r>
      <w:r w:rsidR="008F62AA" w:rsidRPr="008F62AA">
        <w:rPr>
          <w:rFonts w:ascii="Times" w:hAnsi="Times"/>
        </w:rPr>
        <w:t xml:space="preserve">rather than the way </w:t>
      </w:r>
      <w:r w:rsidR="003D47C6">
        <w:rPr>
          <w:rFonts w:ascii="Times" w:hAnsi="Times"/>
        </w:rPr>
        <w:t xml:space="preserve">CSLI </w:t>
      </w:r>
      <w:r w:rsidR="008F62AA" w:rsidRPr="008F62AA">
        <w:rPr>
          <w:rFonts w:ascii="Times" w:hAnsi="Times"/>
        </w:rPr>
        <w:t>was generated or collected by the government.</w:t>
      </w:r>
      <w:r w:rsidR="008F62AA">
        <w:rPr>
          <w:rFonts w:ascii="Times" w:hAnsi="Times"/>
        </w:rPr>
        <w:t xml:space="preserve"> </w:t>
      </w:r>
      <w:r w:rsidR="008F62AA" w:rsidRPr="00E26858">
        <w:rPr>
          <w:rFonts w:ascii="Times" w:hAnsi="Times"/>
        </w:rPr>
        <w:t xml:space="preserve">Ohm, </w:t>
      </w:r>
      <w:r w:rsidR="008F62AA" w:rsidRPr="00E26858">
        <w:rPr>
          <w:rFonts w:ascii="Times" w:hAnsi="Times"/>
          <w:i/>
          <w:iCs/>
        </w:rPr>
        <w:t>supra</w:t>
      </w:r>
      <w:r w:rsidR="008F62AA" w:rsidRPr="00E26858">
        <w:rPr>
          <w:rFonts w:ascii="Times" w:hAnsi="Times"/>
        </w:rPr>
        <w:t xml:space="preserve"> note </w:t>
      </w:r>
      <w:r w:rsidR="008F62AA" w:rsidRPr="00E26858">
        <w:rPr>
          <w:rFonts w:ascii="Times" w:hAnsi="Times"/>
        </w:rPr>
        <w:fldChar w:fldCharType="begin"/>
      </w:r>
      <w:r w:rsidR="008F62AA" w:rsidRPr="00E26858">
        <w:rPr>
          <w:rFonts w:ascii="Times" w:hAnsi="Times"/>
        </w:rPr>
        <w:instrText xml:space="preserve"> NOTEREF Ohm \* MERGEFORMAT </w:instrText>
      </w:r>
      <w:r w:rsidR="008F62AA" w:rsidRPr="00E26858">
        <w:rPr>
          <w:rFonts w:ascii="Times" w:hAnsi="Times"/>
        </w:rPr>
        <w:fldChar w:fldCharType="separate"/>
      </w:r>
      <w:r w:rsidR="008F62AA">
        <w:rPr>
          <w:rFonts w:ascii="Times" w:hAnsi="Times"/>
        </w:rPr>
        <w:t>9</w:t>
      </w:r>
      <w:r w:rsidR="008F62AA" w:rsidRPr="00E26858">
        <w:rPr>
          <w:rFonts w:ascii="Times" w:hAnsi="Times"/>
        </w:rPr>
        <w:fldChar w:fldCharType="end"/>
      </w:r>
      <w:r w:rsidR="008F62AA" w:rsidRPr="00E26858">
        <w:rPr>
          <w:rFonts w:ascii="Times" w:hAnsi="Times"/>
        </w:rPr>
        <w:t xml:space="preserve">, at 363.  </w:t>
      </w:r>
      <w:r w:rsidR="008F62AA">
        <w:rPr>
          <w:rFonts w:ascii="Times" w:hAnsi="Times"/>
        </w:rPr>
        <w:t>As a result</w:t>
      </w:r>
      <w:r w:rsidR="008F62AA" w:rsidRPr="00E26858">
        <w:rPr>
          <w:rFonts w:ascii="Times" w:hAnsi="Times"/>
        </w:rPr>
        <w:t xml:space="preserve">, the commercial availability of the location information is not a factor in the reasonable expectation of privacy analysis.  </w:t>
      </w:r>
      <w:r w:rsidR="008F62AA" w:rsidRPr="00E26858">
        <w:rPr>
          <w:rFonts w:ascii="Times" w:hAnsi="Times"/>
          <w:i/>
          <w:iCs/>
        </w:rPr>
        <w:t>See Carpenter</w:t>
      </w:r>
      <w:r w:rsidR="008F62AA" w:rsidRPr="00E26858">
        <w:rPr>
          <w:rFonts w:ascii="Times" w:hAnsi="Times"/>
        </w:rPr>
        <w:t>, 138 S. Ct. at 2217 (“Although such records are generated for commercial purposes, that distinction does not negate Carpenter’s anticipation of privacy in his physical location.”).</w:t>
      </w:r>
    </w:p>
  </w:footnote>
  <w:footnote w:id="10">
    <w:p w14:paraId="20E98C92" w14:textId="7CB12F11" w:rsidR="00525F20" w:rsidRPr="00E26858" w:rsidRDefault="00525F20" w:rsidP="00525F20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525F20">
        <w:rPr>
          <w:rFonts w:ascii="Times" w:hAnsi="Times"/>
          <w:i/>
          <w:iCs/>
        </w:rPr>
        <w:t xml:space="preserve">See </w:t>
      </w:r>
      <w:r w:rsidR="008C2271">
        <w:rPr>
          <w:rFonts w:ascii="Times" w:hAnsi="Times"/>
          <w:i/>
          <w:iCs/>
        </w:rPr>
        <w:t>Carpenter</w:t>
      </w:r>
      <w:r w:rsidR="008C2271">
        <w:rPr>
          <w:rFonts w:ascii="Times" w:hAnsi="Times"/>
        </w:rPr>
        <w:t>, 138 S. Ct.</w:t>
      </w:r>
      <w:r w:rsidRPr="00E26858">
        <w:rPr>
          <w:rFonts w:ascii="Times" w:hAnsi="Times"/>
        </w:rPr>
        <w:t xml:space="preserve"> at 2217–18, 2223.  </w:t>
      </w:r>
    </w:p>
  </w:footnote>
  <w:footnote w:id="11">
    <w:p w14:paraId="58FBC159" w14:textId="41A57CA3" w:rsidR="001853DD" w:rsidRPr="00E26858" w:rsidRDefault="001853DD" w:rsidP="001853DD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="00E95E3A" w:rsidRPr="00E95E3A">
        <w:rPr>
          <w:rFonts w:ascii="Times" w:hAnsi="Times"/>
          <w:i/>
          <w:iCs/>
        </w:rPr>
        <w:t>See</w:t>
      </w:r>
      <w:r w:rsidR="00E95E3A">
        <w:rPr>
          <w:rFonts w:ascii="Times" w:hAnsi="Times"/>
        </w:rPr>
        <w:t xml:space="preserve"> </w:t>
      </w:r>
      <w:r w:rsidR="00E95E3A">
        <w:rPr>
          <w:rFonts w:ascii="Times" w:hAnsi="Times"/>
          <w:i/>
          <w:iCs/>
        </w:rPr>
        <w:t>id</w:t>
      </w:r>
      <w:r w:rsidR="0077116C">
        <w:rPr>
          <w:rFonts w:ascii="Times" w:hAnsi="Times"/>
        </w:rPr>
        <w:t>.</w:t>
      </w:r>
      <w:r w:rsidRPr="00E26858">
        <w:rPr>
          <w:rFonts w:ascii="Times" w:hAnsi="Times"/>
        </w:rPr>
        <w:t xml:space="preserve"> at 2218</w:t>
      </w:r>
      <w:r w:rsidR="00932358">
        <w:rPr>
          <w:rFonts w:ascii="Times" w:hAnsi="Times"/>
        </w:rPr>
        <w:t xml:space="preserve"> (describing the retrospective nature of historical location information).</w:t>
      </w:r>
    </w:p>
  </w:footnote>
  <w:footnote w:id="12">
    <w:p w14:paraId="77B506A0" w14:textId="77777777" w:rsidR="00CA0635" w:rsidRPr="00E26858" w:rsidRDefault="00CA0635" w:rsidP="00CA0635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  <w:i/>
          <w:iCs/>
        </w:rPr>
        <w:t>GPS Accuracy</w:t>
      </w:r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smallCaps/>
        </w:rPr>
        <w:t>GPS.gov</w:t>
      </w:r>
      <w:r w:rsidRPr="00E26858">
        <w:rPr>
          <w:rFonts w:ascii="Times" w:hAnsi="Times"/>
        </w:rPr>
        <w:t>, https://www.gps.gov/systems/gps/performance/accuracy/</w:t>
      </w:r>
      <w:r>
        <w:rPr>
          <w:rFonts w:ascii="Times" w:hAnsi="Times"/>
        </w:rPr>
        <w:t xml:space="preserve">; </w:t>
      </w:r>
      <w:r w:rsidRPr="00E26858">
        <w:rPr>
          <w:rFonts w:ascii="Times" w:hAnsi="Times"/>
        </w:rPr>
        <w:t xml:space="preserve">Ahmed </w:t>
      </w:r>
      <w:proofErr w:type="spellStart"/>
      <w:r w:rsidRPr="00E26858">
        <w:rPr>
          <w:rFonts w:ascii="Times" w:hAnsi="Times"/>
        </w:rPr>
        <w:t>Makki</w:t>
      </w:r>
      <w:proofErr w:type="spellEnd"/>
      <w:r w:rsidRPr="00E26858">
        <w:rPr>
          <w:rFonts w:ascii="Times" w:hAnsi="Times"/>
        </w:rPr>
        <w:t xml:space="preserve"> et al., </w:t>
      </w:r>
      <w:r w:rsidRPr="00E26858">
        <w:rPr>
          <w:rFonts w:ascii="Times" w:hAnsi="Times"/>
          <w:i/>
          <w:iCs/>
        </w:rPr>
        <w:t xml:space="preserve">Survey of </w:t>
      </w:r>
      <w:proofErr w:type="spellStart"/>
      <w:r w:rsidRPr="00E26858">
        <w:rPr>
          <w:rFonts w:ascii="Times" w:hAnsi="Times"/>
          <w:i/>
          <w:iCs/>
        </w:rPr>
        <w:t>WiFi</w:t>
      </w:r>
      <w:proofErr w:type="spellEnd"/>
      <w:r w:rsidRPr="00E26858">
        <w:rPr>
          <w:rFonts w:ascii="Times" w:hAnsi="Times"/>
          <w:i/>
          <w:iCs/>
        </w:rPr>
        <w:t xml:space="preserve"> Positioning Using Time-Based Techniques</w:t>
      </w:r>
      <w:r w:rsidRPr="00E26858">
        <w:rPr>
          <w:rFonts w:ascii="Times" w:hAnsi="Times"/>
        </w:rPr>
        <w:t xml:space="preserve">, 88 </w:t>
      </w:r>
      <w:r w:rsidRPr="00E26858">
        <w:rPr>
          <w:rFonts w:ascii="Times" w:hAnsi="Times"/>
          <w:smallCaps/>
        </w:rPr>
        <w:t>Computer Networks</w:t>
      </w:r>
      <w:r w:rsidRPr="00E26858">
        <w:rPr>
          <w:rFonts w:ascii="Times" w:hAnsi="Times"/>
        </w:rPr>
        <w:t xml:space="preserve"> 218, 219 (2015)</w:t>
      </w:r>
      <w:r>
        <w:rPr>
          <w:rFonts w:ascii="Times" w:hAnsi="Times"/>
        </w:rPr>
        <w:t>.</w:t>
      </w:r>
    </w:p>
  </w:footnote>
  <w:footnote w:id="13">
    <w:p w14:paraId="790B1546" w14:textId="77777777" w:rsidR="00CA0635" w:rsidRPr="00E26858" w:rsidRDefault="00CA0635" w:rsidP="00CA0635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  <w:i/>
          <w:iCs/>
        </w:rPr>
        <w:t>Carpenter</w:t>
      </w:r>
      <w:r w:rsidRPr="00E26858">
        <w:rPr>
          <w:rFonts w:ascii="Times" w:hAnsi="Times"/>
        </w:rPr>
        <w:t>, 138 S. Ct. at 2218.</w:t>
      </w:r>
    </w:p>
  </w:footnote>
  <w:footnote w:id="14">
    <w:p w14:paraId="419CDAC4" w14:textId="77777777" w:rsidR="003750F5" w:rsidRPr="00E26858" w:rsidRDefault="003750F5" w:rsidP="003750F5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  <w:i/>
          <w:iCs/>
        </w:rPr>
        <w:t>See</w:t>
      </w:r>
      <w:r w:rsidRPr="00E26858">
        <w:rPr>
          <w:rFonts w:ascii="Times" w:hAnsi="Times"/>
        </w:rPr>
        <w:t xml:space="preserve"> Jennifer Valentino-DeVries et al., </w:t>
      </w:r>
      <w:r w:rsidRPr="00E26858">
        <w:rPr>
          <w:rFonts w:ascii="Times" w:hAnsi="Times"/>
          <w:i/>
          <w:iCs/>
        </w:rPr>
        <w:t>supra</w:t>
      </w:r>
      <w:r w:rsidRPr="00E26858">
        <w:rPr>
          <w:rFonts w:ascii="Times" w:hAnsi="Times"/>
        </w:rPr>
        <w:t xml:space="preserve"> note </w:t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NOTEREF Valentino \* MERGEFORMAT </w:instrText>
      </w:r>
      <w:r w:rsidRPr="00E26858">
        <w:rPr>
          <w:rFonts w:ascii="Times" w:hAnsi="Times"/>
        </w:rPr>
        <w:fldChar w:fldCharType="separate"/>
      </w:r>
      <w:r>
        <w:rPr>
          <w:rFonts w:ascii="Times" w:hAnsi="Times"/>
        </w:rPr>
        <w:t>2</w: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 (investigating a</w:t>
      </w:r>
      <w:r>
        <w:rPr>
          <w:rFonts w:ascii="Times" w:hAnsi="Times"/>
        </w:rPr>
        <w:t>n</w:t>
      </w:r>
      <w:r w:rsidRPr="00E26858">
        <w:rPr>
          <w:rFonts w:ascii="Times" w:hAnsi="Times"/>
        </w:rPr>
        <w:t xml:space="preserve"> app that tracked a user’s location “as often as every two seconds”).</w:t>
      </w:r>
    </w:p>
  </w:footnote>
  <w:footnote w:id="15">
    <w:p w14:paraId="39815769" w14:textId="77777777" w:rsidR="003750F5" w:rsidRPr="00E26858" w:rsidRDefault="003750F5" w:rsidP="003750F5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8A6E3D">
        <w:rPr>
          <w:rFonts w:ascii="Times" w:hAnsi="Times"/>
          <w:i/>
          <w:iCs/>
        </w:rPr>
        <w:t>See, e.g.</w:t>
      </w:r>
      <w:r>
        <w:rPr>
          <w:rFonts w:ascii="Times" w:hAnsi="Times"/>
        </w:rPr>
        <w:t xml:space="preserve">, </w:t>
      </w:r>
      <w:r w:rsidRPr="00E26858">
        <w:rPr>
          <w:rFonts w:ascii="Times" w:hAnsi="Times"/>
          <w:i/>
          <w:iCs/>
        </w:rPr>
        <w:t xml:space="preserve">Access </w:t>
      </w:r>
      <w:r>
        <w:rPr>
          <w:rFonts w:ascii="Times" w:hAnsi="Times"/>
          <w:i/>
          <w:iCs/>
        </w:rPr>
        <w:t>L</w:t>
      </w:r>
      <w:r w:rsidRPr="00E26858">
        <w:rPr>
          <w:rFonts w:ascii="Times" w:hAnsi="Times"/>
          <w:i/>
          <w:iCs/>
        </w:rPr>
        <w:t xml:space="preserve">ocation in the </w:t>
      </w:r>
      <w:r>
        <w:rPr>
          <w:rFonts w:ascii="Times" w:hAnsi="Times"/>
          <w:i/>
          <w:iCs/>
        </w:rPr>
        <w:t>B</w:t>
      </w:r>
      <w:r w:rsidRPr="00E26858">
        <w:rPr>
          <w:rFonts w:ascii="Times" w:hAnsi="Times"/>
          <w:i/>
          <w:iCs/>
        </w:rPr>
        <w:t>ackground</w:t>
      </w:r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smallCaps/>
        </w:rPr>
        <w:t>Android Developers</w:t>
      </w:r>
      <w:r w:rsidRPr="00E26858">
        <w:rPr>
          <w:rFonts w:ascii="Times" w:hAnsi="Times"/>
        </w:rPr>
        <w:t>, https://developer.android.com/training/location/background</w:t>
      </w:r>
      <w:r>
        <w:rPr>
          <w:rFonts w:ascii="Times" w:hAnsi="Times"/>
        </w:rPr>
        <w:t>.</w:t>
      </w:r>
    </w:p>
  </w:footnote>
  <w:footnote w:id="16">
    <w:p w14:paraId="3203388D" w14:textId="77777777" w:rsidR="003750F5" w:rsidRPr="00E26858" w:rsidRDefault="003750F5" w:rsidP="003750F5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Jennifer Valentino-DeVries et al., </w:t>
      </w:r>
      <w:r w:rsidRPr="00E26858">
        <w:rPr>
          <w:rFonts w:ascii="Times" w:hAnsi="Times"/>
          <w:i/>
          <w:iCs/>
        </w:rPr>
        <w:t>supra</w:t>
      </w:r>
      <w:r w:rsidRPr="00E26858">
        <w:rPr>
          <w:rFonts w:ascii="Times" w:hAnsi="Times"/>
        </w:rPr>
        <w:t xml:space="preserve"> note </w:t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NOTEREF Valentino \* MERGEFORMAT </w:instrText>
      </w:r>
      <w:r w:rsidRPr="00E26858">
        <w:rPr>
          <w:rFonts w:ascii="Times" w:hAnsi="Times"/>
        </w:rPr>
        <w:fldChar w:fldCharType="separate"/>
      </w:r>
      <w:r>
        <w:rPr>
          <w:rFonts w:ascii="Times" w:hAnsi="Times"/>
        </w:rPr>
        <w:t>2</w: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>.</w:t>
      </w:r>
    </w:p>
  </w:footnote>
  <w:footnote w:id="17">
    <w:p w14:paraId="100A24BF" w14:textId="77777777" w:rsidR="00E82A1A" w:rsidRPr="00E26858" w:rsidRDefault="00E82A1A" w:rsidP="00E82A1A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Tau &amp; Hackman, </w:t>
      </w:r>
      <w:r w:rsidRPr="00E26858">
        <w:rPr>
          <w:rFonts w:ascii="Times" w:hAnsi="Times"/>
          <w:i/>
          <w:iCs/>
        </w:rPr>
        <w:t>supra</w:t>
      </w:r>
      <w:r w:rsidRPr="00E26858">
        <w:rPr>
          <w:rFonts w:ascii="Times" w:hAnsi="Times"/>
        </w:rPr>
        <w:t xml:space="preserve"> note </w:t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NOTEREF Tau_Hackman \* MERGEFORMAT </w:instrText>
      </w:r>
      <w:r w:rsidRPr="00E26858">
        <w:rPr>
          <w:rFonts w:ascii="Times" w:hAnsi="Times"/>
        </w:rPr>
        <w:fldChar w:fldCharType="separate"/>
      </w:r>
      <w:r>
        <w:rPr>
          <w:rFonts w:ascii="Times" w:hAnsi="Times"/>
        </w:rPr>
        <w:t>4</w: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>.</w:t>
      </w:r>
    </w:p>
  </w:footnote>
  <w:footnote w:id="18">
    <w:p w14:paraId="5DB9FBBC" w14:textId="14DCD370" w:rsidR="00E82A1A" w:rsidRPr="00E26858" w:rsidRDefault="00E82A1A" w:rsidP="00E82A1A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>
        <w:rPr>
          <w:rFonts w:ascii="Times" w:hAnsi="Times"/>
        </w:rPr>
        <w:t>He</w:t>
      </w:r>
      <w:r w:rsidRPr="00E26858">
        <w:rPr>
          <w:rFonts w:ascii="Times" w:hAnsi="Times"/>
        </w:rPr>
        <w:t>len</w:t>
      </w:r>
      <w:r>
        <w:rPr>
          <w:rFonts w:ascii="Times" w:hAnsi="Times"/>
        </w:rPr>
        <w:t xml:space="preserve"> </w:t>
      </w:r>
      <w:proofErr w:type="spellStart"/>
      <w:r w:rsidRPr="00E26858">
        <w:rPr>
          <w:rFonts w:ascii="Times" w:hAnsi="Times"/>
        </w:rPr>
        <w:t>Nissenbaum</w:t>
      </w:r>
      <w:proofErr w:type="spellEnd"/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i/>
          <w:iCs/>
        </w:rPr>
        <w:t>The Meaning of Anonymity in an Information Age</w:t>
      </w:r>
      <w:r w:rsidRPr="00E26858">
        <w:rPr>
          <w:rFonts w:ascii="Times" w:hAnsi="Times"/>
        </w:rPr>
        <w:t xml:space="preserve">, 15 </w:t>
      </w:r>
      <w:r w:rsidRPr="00E26858">
        <w:rPr>
          <w:rFonts w:ascii="Times" w:hAnsi="Times"/>
          <w:smallCaps/>
        </w:rPr>
        <w:t>Info. Soc’y</w:t>
      </w:r>
      <w:r w:rsidRPr="00E26858">
        <w:rPr>
          <w:rFonts w:ascii="Times" w:hAnsi="Times"/>
        </w:rPr>
        <w:t xml:space="preserve"> 141, 142 (1999)</w:t>
      </w:r>
      <w:r w:rsidR="001F1BF0">
        <w:rPr>
          <w:rFonts w:ascii="Times" w:hAnsi="Times"/>
        </w:rPr>
        <w:t xml:space="preserve">; </w:t>
      </w:r>
      <w:r w:rsidR="006564A4">
        <w:rPr>
          <w:rFonts w:ascii="Times" w:hAnsi="Times"/>
          <w:i/>
          <w:iCs/>
        </w:rPr>
        <w:t>s</w:t>
      </w:r>
      <w:r w:rsidR="001F1BF0" w:rsidRPr="00207DAB">
        <w:rPr>
          <w:rFonts w:ascii="Times" w:hAnsi="Times"/>
          <w:i/>
          <w:iCs/>
        </w:rPr>
        <w:t>ee generally</w:t>
      </w:r>
      <w:r w:rsidR="001F1BF0">
        <w:rPr>
          <w:rFonts w:ascii="Times" w:hAnsi="Times"/>
        </w:rPr>
        <w:t xml:space="preserve"> Paul Ohm, </w:t>
      </w:r>
      <w:r w:rsidR="001F1BF0" w:rsidRPr="006D0B53">
        <w:rPr>
          <w:rFonts w:ascii="Times" w:hAnsi="Times"/>
          <w:i/>
          <w:iCs/>
        </w:rPr>
        <w:t>Broken Promises of Privacy: Responding to the Surprising Failure of Anonymization</w:t>
      </w:r>
      <w:r w:rsidR="001F1BF0">
        <w:rPr>
          <w:rFonts w:ascii="Times" w:hAnsi="Times"/>
        </w:rPr>
        <w:t xml:space="preserve">, 57 </w:t>
      </w:r>
      <w:r w:rsidR="001F1BF0" w:rsidRPr="001C183F">
        <w:rPr>
          <w:rFonts w:ascii="Times" w:hAnsi="Times"/>
          <w:smallCaps/>
        </w:rPr>
        <w:t>UCLA L. Rev.</w:t>
      </w:r>
      <w:r w:rsidR="001F1BF0">
        <w:rPr>
          <w:rFonts w:ascii="Times" w:hAnsi="Times"/>
        </w:rPr>
        <w:t xml:space="preserve"> 1701 (2010).</w:t>
      </w:r>
    </w:p>
  </w:footnote>
  <w:footnote w:id="19">
    <w:p w14:paraId="3E00C58C" w14:textId="77777777" w:rsidR="00E82A1A" w:rsidRPr="00E26858" w:rsidRDefault="00E82A1A" w:rsidP="00E82A1A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  <w:i/>
          <w:iCs/>
        </w:rPr>
        <w:t>See</w:t>
      </w:r>
      <w:r w:rsidRPr="00E26858">
        <w:rPr>
          <w:rFonts w:ascii="Times" w:hAnsi="Times"/>
        </w:rPr>
        <w:t xml:space="preserve"> Valentino-DeVries et al., </w:t>
      </w:r>
      <w:r w:rsidRPr="00E26858">
        <w:rPr>
          <w:rFonts w:ascii="Times" w:hAnsi="Times"/>
          <w:i/>
          <w:iCs/>
        </w:rPr>
        <w:t>supra</w:t>
      </w:r>
      <w:r w:rsidRPr="00E26858">
        <w:rPr>
          <w:rFonts w:ascii="Times" w:hAnsi="Times"/>
        </w:rPr>
        <w:t xml:space="preserve"> note </w:t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NOTEREF Valentino \* MERGEFORMAT </w:instrText>
      </w:r>
      <w:r w:rsidRPr="00E26858">
        <w:rPr>
          <w:rFonts w:ascii="Times" w:hAnsi="Times"/>
        </w:rPr>
        <w:fldChar w:fldCharType="separate"/>
      </w:r>
      <w:r>
        <w:rPr>
          <w:rFonts w:ascii="Times" w:hAnsi="Times"/>
        </w:rPr>
        <w:t>2</w: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>.</w:t>
      </w:r>
    </w:p>
  </w:footnote>
  <w:footnote w:id="20">
    <w:p w14:paraId="3EA7554A" w14:textId="77777777" w:rsidR="00E82A1A" w:rsidRPr="00E26858" w:rsidRDefault="00E82A1A" w:rsidP="00E82A1A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Yves-Alexandre de </w:t>
      </w:r>
      <w:proofErr w:type="spellStart"/>
      <w:r w:rsidRPr="00E26858">
        <w:rPr>
          <w:rFonts w:ascii="Times" w:hAnsi="Times"/>
        </w:rPr>
        <w:t>Montjoye</w:t>
      </w:r>
      <w:proofErr w:type="spellEnd"/>
      <w:r w:rsidRPr="00E26858">
        <w:rPr>
          <w:rFonts w:ascii="Times" w:hAnsi="Times"/>
        </w:rPr>
        <w:t xml:space="preserve"> et al., </w:t>
      </w:r>
      <w:r w:rsidRPr="00E26858">
        <w:rPr>
          <w:rFonts w:ascii="Times" w:hAnsi="Times"/>
          <w:i/>
          <w:iCs/>
        </w:rPr>
        <w:t>Unique in the Crowd: The Privacy Bounds of Human Mobility</w:t>
      </w:r>
      <w:r w:rsidRPr="00E26858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Pr="00E26858">
        <w:rPr>
          <w:rFonts w:ascii="Times" w:hAnsi="Times"/>
          <w:smallCaps/>
        </w:rPr>
        <w:t>Nature</w:t>
      </w:r>
      <w:r w:rsidRPr="00E26858">
        <w:rPr>
          <w:rFonts w:ascii="Times" w:hAnsi="Times"/>
        </w:rPr>
        <w:t xml:space="preserve"> (Mar. 25, 2013), http://www.nature.com/articles/srep01376.</w:t>
      </w:r>
    </w:p>
  </w:footnote>
  <w:footnote w:id="21">
    <w:p w14:paraId="6C19B923" w14:textId="1B2C009F" w:rsidR="002E62CB" w:rsidRDefault="002E62CB">
      <w:pPr>
        <w:pStyle w:val="FootnoteText"/>
      </w:pPr>
      <w:r>
        <w:rPr>
          <w:rStyle w:val="FootnoteReference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>
        <w:rPr>
          <w:rFonts w:ascii="Times" w:hAnsi="Times"/>
          <w:i/>
          <w:iCs/>
        </w:rPr>
        <w:t>Carpenter</w:t>
      </w:r>
      <w:r>
        <w:rPr>
          <w:rFonts w:ascii="Times" w:hAnsi="Times"/>
        </w:rPr>
        <w:t>, 138 S. Ct.</w:t>
      </w:r>
      <w:r w:rsidRPr="00E26858">
        <w:rPr>
          <w:rFonts w:ascii="Times" w:hAnsi="Times"/>
        </w:rPr>
        <w:t xml:space="preserve"> at 22</w:t>
      </w:r>
      <w:r w:rsidR="00EA521D">
        <w:rPr>
          <w:rFonts w:ascii="Times" w:hAnsi="Times"/>
        </w:rPr>
        <w:t>20.</w:t>
      </w:r>
    </w:p>
  </w:footnote>
  <w:footnote w:id="22">
    <w:p w14:paraId="31FF02BA" w14:textId="2308C12C" w:rsidR="00775FE4" w:rsidRPr="00E26858" w:rsidRDefault="00775FE4" w:rsidP="00775FE4">
      <w:pPr>
        <w:pStyle w:val="FootnoteText"/>
        <w:jc w:val="both"/>
        <w:rPr>
          <w:rFonts w:ascii="Times" w:hAnsi="Times"/>
        </w:rPr>
      </w:pPr>
      <w:r w:rsidRPr="00E26858">
        <w:rPr>
          <w:rStyle w:val="FootnoteReference"/>
          <w:rFonts w:ascii="Times" w:hAnsi="Times"/>
        </w:rPr>
        <w:footnoteRef/>
      </w:r>
      <w:r w:rsidRPr="00E26858">
        <w:rPr>
          <w:rFonts w:ascii="Times" w:hAnsi="Times"/>
        </w:rPr>
        <w:fldChar w:fldCharType="begin"/>
      </w:r>
      <w:r w:rsidRPr="00E26858">
        <w:rPr>
          <w:rFonts w:ascii="Times" w:hAnsi="Times"/>
        </w:rPr>
        <w:instrText xml:space="preserve"> ADVANCE \r5 \* MERGEFORMAT </w:instrText>
      </w:r>
      <w:r w:rsidRPr="00E26858">
        <w:rPr>
          <w:rFonts w:ascii="Times" w:hAnsi="Times"/>
        </w:rPr>
        <w:fldChar w:fldCharType="end"/>
      </w:r>
      <w:r w:rsidR="00F13A22">
        <w:rPr>
          <w:rFonts w:ascii="Times" w:hAnsi="Times"/>
          <w:i/>
          <w:iCs/>
        </w:rPr>
        <w:t>Id.</w:t>
      </w:r>
      <w:r w:rsidRPr="00E26858">
        <w:rPr>
          <w:rFonts w:ascii="Times" w:hAnsi="Times"/>
        </w:rPr>
        <w:t xml:space="preserve"> at 2216–19; Smith v. Maryland, 442 U.S. 735, 743–44 (1979)</w:t>
      </w:r>
      <w:r w:rsidR="00AF35A7">
        <w:rPr>
          <w:rFonts w:ascii="Times" w:hAnsi="Times"/>
        </w:rPr>
        <w:t>.</w:t>
      </w:r>
    </w:p>
  </w:footnote>
  <w:footnote w:id="23">
    <w:p w14:paraId="67451C10" w14:textId="46334AE2" w:rsidR="004A40CB" w:rsidRDefault="004A40CB">
      <w:pPr>
        <w:pStyle w:val="FootnoteText"/>
      </w:pPr>
      <w:r>
        <w:rPr>
          <w:rStyle w:val="FootnoteReference"/>
        </w:rPr>
        <w:footnoteRef/>
      </w:r>
      <w:r w:rsidR="00862ECC" w:rsidRPr="008F0F24">
        <w:rPr>
          <w:rFonts w:ascii="Times" w:hAnsi="Times"/>
        </w:rPr>
        <w:fldChar w:fldCharType="begin"/>
      </w:r>
      <w:r w:rsidR="00862ECC" w:rsidRPr="008F0F24">
        <w:rPr>
          <w:rFonts w:ascii="Times" w:hAnsi="Times"/>
        </w:rPr>
        <w:instrText xml:space="preserve"> ADVANCE \r5 \* MERGEFORMAT </w:instrText>
      </w:r>
      <w:r w:rsidR="00862ECC" w:rsidRPr="008F0F24">
        <w:rPr>
          <w:rFonts w:ascii="Times" w:hAnsi="Times"/>
        </w:rPr>
        <w:fldChar w:fldCharType="end"/>
      </w:r>
      <w:r>
        <w:rPr>
          <w:rFonts w:ascii="Times" w:hAnsi="Times"/>
          <w:i/>
          <w:iCs/>
        </w:rPr>
        <w:t>Carpenter</w:t>
      </w:r>
      <w:r>
        <w:rPr>
          <w:rFonts w:ascii="Times" w:hAnsi="Times"/>
        </w:rPr>
        <w:t>, 138 S. Ct.</w:t>
      </w:r>
      <w:r w:rsidRPr="00E26858">
        <w:rPr>
          <w:rFonts w:ascii="Times" w:hAnsi="Times"/>
        </w:rPr>
        <w:t xml:space="preserve"> </w:t>
      </w:r>
      <w:r w:rsidRPr="008F0F24">
        <w:rPr>
          <w:rFonts w:ascii="Times" w:hAnsi="Times"/>
        </w:rPr>
        <w:t>at</w:t>
      </w:r>
      <w:r w:rsidR="00FC7592">
        <w:rPr>
          <w:rFonts w:ascii="Times" w:hAnsi="Times"/>
        </w:rPr>
        <w:t xml:space="preserve"> 221</w:t>
      </w:r>
      <w:r w:rsidR="009129A5">
        <w:rPr>
          <w:rFonts w:ascii="Times" w:hAnsi="Times"/>
        </w:rPr>
        <w:t>9</w:t>
      </w:r>
      <w:r w:rsidR="00FC7592">
        <w:rPr>
          <w:rFonts w:ascii="Times" w:hAnsi="Times"/>
        </w:rPr>
        <w:t>–20.</w:t>
      </w:r>
    </w:p>
  </w:footnote>
  <w:footnote w:id="24">
    <w:p w14:paraId="2DB2911C" w14:textId="5D4FAF05" w:rsidR="00AC1C13" w:rsidRPr="008F0F24" w:rsidRDefault="00AC1C13" w:rsidP="00AC1C13">
      <w:pPr>
        <w:pStyle w:val="FootnoteText"/>
        <w:jc w:val="both"/>
        <w:rPr>
          <w:rFonts w:ascii="Times" w:hAnsi="Times"/>
        </w:rPr>
      </w:pPr>
      <w:r w:rsidRPr="008F0F24">
        <w:rPr>
          <w:rStyle w:val="FootnoteReference"/>
          <w:rFonts w:ascii="Times" w:hAnsi="Times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r w:rsidR="007D56B2">
        <w:rPr>
          <w:rFonts w:ascii="Times" w:hAnsi="Times"/>
          <w:i/>
          <w:iCs/>
        </w:rPr>
        <w:t>Id.</w:t>
      </w:r>
      <w:r w:rsidR="00713A6B">
        <w:rPr>
          <w:rFonts w:ascii="Times" w:hAnsi="Times"/>
        </w:rPr>
        <w:t xml:space="preserve"> </w:t>
      </w:r>
      <w:r w:rsidRPr="008F0F24">
        <w:rPr>
          <w:rFonts w:ascii="Times" w:hAnsi="Times"/>
        </w:rPr>
        <w:t>at 2219.</w:t>
      </w:r>
    </w:p>
  </w:footnote>
  <w:footnote w:id="25">
    <w:p w14:paraId="59A423A9" w14:textId="246463BA" w:rsidR="00AC1C13" w:rsidRPr="00225320" w:rsidRDefault="00AC1C13" w:rsidP="00AC1C13">
      <w:pPr>
        <w:pStyle w:val="FootnoteText"/>
        <w:jc w:val="both"/>
        <w:rPr>
          <w:rFonts w:ascii="Times" w:hAnsi="Times"/>
        </w:rPr>
      </w:pPr>
      <w:r w:rsidRPr="008F0F24">
        <w:rPr>
          <w:rStyle w:val="FootnoteReference"/>
          <w:rFonts w:ascii="Times" w:hAnsi="Times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r>
        <w:rPr>
          <w:rFonts w:ascii="Times" w:hAnsi="Times"/>
          <w:i/>
          <w:iCs/>
        </w:rPr>
        <w:t>Id.</w:t>
      </w:r>
      <w:r w:rsidR="00225320">
        <w:rPr>
          <w:rFonts w:ascii="Times" w:hAnsi="Times"/>
          <w:i/>
          <w:iCs/>
        </w:rPr>
        <w:t xml:space="preserve"> </w:t>
      </w:r>
      <w:r w:rsidR="00225320">
        <w:rPr>
          <w:rFonts w:ascii="Times" w:hAnsi="Times"/>
        </w:rPr>
        <w:t>at 2220.</w:t>
      </w:r>
    </w:p>
  </w:footnote>
  <w:footnote w:id="26">
    <w:p w14:paraId="08F902A8" w14:textId="77777777" w:rsidR="00AC1C13" w:rsidRPr="008F0F24" w:rsidRDefault="00AC1C13" w:rsidP="00AC1C13">
      <w:pPr>
        <w:pStyle w:val="FootnoteText"/>
        <w:jc w:val="both"/>
        <w:rPr>
          <w:rFonts w:ascii="Times" w:hAnsi="Times"/>
        </w:rPr>
      </w:pPr>
      <w:r w:rsidRPr="008F0F24">
        <w:rPr>
          <w:rStyle w:val="FootnoteReference"/>
          <w:rFonts w:ascii="Times" w:hAnsi="Times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r>
        <w:rPr>
          <w:rFonts w:ascii="Times" w:hAnsi="Times"/>
          <w:i/>
          <w:iCs/>
        </w:rPr>
        <w:t>Id.</w:t>
      </w:r>
      <w:r w:rsidRPr="008F0F24">
        <w:rPr>
          <w:rFonts w:ascii="Times" w:hAnsi="Times"/>
        </w:rPr>
        <w:t xml:space="preserve"> (quoting Riley v. California, 573 U.S. 373, 385 (2014)).</w:t>
      </w:r>
    </w:p>
  </w:footnote>
  <w:footnote w:id="27">
    <w:p w14:paraId="4FE55951" w14:textId="77777777" w:rsidR="00067E75" w:rsidRPr="008F0F24" w:rsidRDefault="00067E75" w:rsidP="00067E75">
      <w:pPr>
        <w:pStyle w:val="FootnoteText"/>
        <w:jc w:val="both"/>
        <w:rPr>
          <w:rFonts w:ascii="Times" w:hAnsi="Times"/>
        </w:rPr>
      </w:pPr>
      <w:r w:rsidRPr="008F0F24">
        <w:rPr>
          <w:rStyle w:val="FootnoteReference"/>
          <w:rFonts w:ascii="Times" w:hAnsi="Times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r w:rsidRPr="00E26858">
        <w:rPr>
          <w:rFonts w:ascii="Times" w:hAnsi="Times"/>
        </w:rPr>
        <w:t xml:space="preserve">Yoram </w:t>
      </w:r>
      <w:proofErr w:type="spellStart"/>
      <w:r w:rsidRPr="00E26858">
        <w:rPr>
          <w:rFonts w:ascii="Times" w:hAnsi="Times"/>
        </w:rPr>
        <w:t>Wurmser</w:t>
      </w:r>
      <w:proofErr w:type="spellEnd"/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i/>
          <w:iCs/>
        </w:rPr>
        <w:t>US Time Spent with Mobile 2019</w:t>
      </w:r>
      <w:r w:rsidRPr="00E26858">
        <w:rPr>
          <w:rFonts w:ascii="Times" w:hAnsi="Times"/>
        </w:rPr>
        <w:t xml:space="preserve">, </w:t>
      </w:r>
      <w:r w:rsidRPr="00E26858">
        <w:rPr>
          <w:rFonts w:ascii="Times" w:hAnsi="Times"/>
          <w:smallCaps/>
        </w:rPr>
        <w:t>eMarketer</w:t>
      </w:r>
      <w:r w:rsidRPr="00E26858">
        <w:rPr>
          <w:rFonts w:ascii="Times" w:hAnsi="Times"/>
        </w:rPr>
        <w:t xml:space="preserve"> (May 30, 2019), https://www.emarketer.com/content/us-time-spent-with-mobile-2019.</w:t>
      </w:r>
    </w:p>
  </w:footnote>
  <w:footnote w:id="28">
    <w:p w14:paraId="40BA2E62" w14:textId="113944EE" w:rsidR="00386F52" w:rsidRDefault="00386F52">
      <w:pPr>
        <w:pStyle w:val="FootnoteText"/>
      </w:pPr>
      <w:r>
        <w:rPr>
          <w:rStyle w:val="FootnoteReference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r w:rsidRPr="00386F52">
        <w:rPr>
          <w:i/>
          <w:iCs/>
        </w:rPr>
        <w:t>Carpenter</w:t>
      </w:r>
      <w:r>
        <w:t>, 138 S. Ct. at 2223.</w:t>
      </w:r>
    </w:p>
  </w:footnote>
  <w:footnote w:id="29">
    <w:p w14:paraId="3833A499" w14:textId="77777777" w:rsidR="00AC1C13" w:rsidRPr="008F0F24" w:rsidRDefault="00AC1C13" w:rsidP="00AC1C13">
      <w:pPr>
        <w:pStyle w:val="FootnoteText"/>
        <w:jc w:val="both"/>
        <w:rPr>
          <w:rFonts w:ascii="Times" w:hAnsi="Times"/>
        </w:rPr>
      </w:pPr>
      <w:r w:rsidRPr="008F0F24">
        <w:rPr>
          <w:rStyle w:val="FootnoteReference"/>
          <w:rFonts w:ascii="Times" w:hAnsi="Times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proofErr w:type="spellStart"/>
      <w:r w:rsidRPr="0052102E">
        <w:rPr>
          <w:rFonts w:ascii="Times" w:hAnsi="Times"/>
          <w:smallCaps/>
        </w:rPr>
        <w:t>SafeDK</w:t>
      </w:r>
      <w:proofErr w:type="spellEnd"/>
      <w:r>
        <w:rPr>
          <w:rFonts w:ascii="Times" w:hAnsi="Times"/>
        </w:rPr>
        <w:t xml:space="preserve">, </w:t>
      </w:r>
      <w:r w:rsidRPr="0052102E">
        <w:rPr>
          <w:rFonts w:ascii="Times" w:hAnsi="Times"/>
          <w:i/>
          <w:iCs/>
        </w:rPr>
        <w:t xml:space="preserve">Mobile SDK Data Trends in the Android Market </w:t>
      </w:r>
      <w:r>
        <w:rPr>
          <w:rFonts w:ascii="Times" w:hAnsi="Times"/>
        </w:rPr>
        <w:t xml:space="preserve">(Mar. 2018), </w:t>
      </w:r>
      <w:r w:rsidRPr="0052102E">
        <w:rPr>
          <w:rFonts w:ascii="Times" w:hAnsi="Times"/>
          <w:i/>
          <w:iCs/>
        </w:rPr>
        <w:t>available at</w:t>
      </w:r>
      <w:r>
        <w:rPr>
          <w:rFonts w:ascii="Times" w:hAnsi="Times"/>
        </w:rPr>
        <w:t xml:space="preserve"> </w:t>
      </w:r>
      <w:r w:rsidRPr="0052102E">
        <w:rPr>
          <w:rFonts w:ascii="Times" w:hAnsi="Times"/>
        </w:rPr>
        <w:t>http://mobile-sdk-data-trends.safedk.com/full-report-Mar-2018</w:t>
      </w:r>
      <w:r>
        <w:rPr>
          <w:rFonts w:ascii="Times" w:hAnsi="Times"/>
        </w:rPr>
        <w:t>.</w:t>
      </w:r>
    </w:p>
  </w:footnote>
  <w:footnote w:id="30">
    <w:p w14:paraId="303E4984" w14:textId="77777777" w:rsidR="00AC1C13" w:rsidRPr="00EB0711" w:rsidRDefault="00AC1C13" w:rsidP="00AC1C13">
      <w:pPr>
        <w:pStyle w:val="FootnoteText"/>
      </w:pPr>
      <w:r>
        <w:rPr>
          <w:rStyle w:val="FootnoteReference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proofErr w:type="spellStart"/>
      <w:r w:rsidRPr="00EB0711">
        <w:rPr>
          <w:rFonts w:ascii="Times" w:hAnsi="Times"/>
        </w:rPr>
        <w:t>Jinyan</w:t>
      </w:r>
      <w:proofErr w:type="spellEnd"/>
      <w:r w:rsidRPr="00EB0711">
        <w:rPr>
          <w:rFonts w:ascii="Times" w:hAnsi="Times"/>
        </w:rPr>
        <w:t xml:space="preserve"> Zang</w:t>
      </w:r>
      <w:r>
        <w:rPr>
          <w:rFonts w:ascii="Times" w:hAnsi="Times"/>
        </w:rPr>
        <w:t xml:space="preserve"> et al., </w:t>
      </w:r>
      <w:r w:rsidRPr="00EB0711">
        <w:rPr>
          <w:rFonts w:ascii="Times" w:hAnsi="Times"/>
          <w:i/>
          <w:iCs/>
        </w:rPr>
        <w:t>Who Knows What About Me? A Survey of Behind the Scenes Personal Data Sharing to Third Parties by Mobile Apps</w:t>
      </w:r>
      <w:r>
        <w:rPr>
          <w:rFonts w:ascii="Times" w:hAnsi="Times"/>
        </w:rPr>
        <w:t xml:space="preserve">, </w:t>
      </w:r>
      <w:r w:rsidRPr="00EB0711">
        <w:rPr>
          <w:rFonts w:ascii="Times" w:hAnsi="Times"/>
          <w:smallCaps/>
        </w:rPr>
        <w:t>Tech. Sci.</w:t>
      </w:r>
      <w:r>
        <w:rPr>
          <w:rFonts w:ascii="Times" w:hAnsi="Times"/>
        </w:rPr>
        <w:t xml:space="preserve"> (Oct. 30, 2015), </w:t>
      </w:r>
      <w:r w:rsidRPr="00EB0711">
        <w:rPr>
          <w:rFonts w:ascii="Times" w:hAnsi="Times"/>
        </w:rPr>
        <w:t>https://techscience.org/a/2015103001/</w:t>
      </w:r>
      <w:r>
        <w:rPr>
          <w:rFonts w:ascii="Times" w:hAnsi="Times"/>
        </w:rPr>
        <w:t>.</w:t>
      </w:r>
    </w:p>
  </w:footnote>
  <w:footnote w:id="31">
    <w:p w14:paraId="403BDD04" w14:textId="7A702F25" w:rsidR="004349A3" w:rsidRDefault="004349A3" w:rsidP="00A72DCF">
      <w:pPr>
        <w:pStyle w:val="FootnoteText"/>
        <w:jc w:val="both"/>
      </w:pPr>
      <w:r>
        <w:rPr>
          <w:rStyle w:val="FootnoteReference"/>
        </w:rPr>
        <w:footnoteRef/>
      </w:r>
      <w:r w:rsidRPr="008F0F24">
        <w:rPr>
          <w:rFonts w:ascii="Times" w:hAnsi="Times"/>
        </w:rPr>
        <w:fldChar w:fldCharType="begin"/>
      </w:r>
      <w:r w:rsidRPr="008F0F24">
        <w:rPr>
          <w:rFonts w:ascii="Times" w:hAnsi="Times"/>
        </w:rPr>
        <w:instrText xml:space="preserve"> ADVANCE \r5 \* MERGEFORMAT </w:instrText>
      </w:r>
      <w:r w:rsidRPr="008F0F24">
        <w:rPr>
          <w:rFonts w:ascii="Times" w:hAnsi="Times"/>
        </w:rPr>
        <w:fldChar w:fldCharType="end"/>
      </w:r>
      <w:r w:rsidRPr="004349A3">
        <w:t>Nicole Nguyen</w:t>
      </w:r>
      <w:r>
        <w:t xml:space="preserve">, </w:t>
      </w:r>
      <w:r w:rsidRPr="004349A3">
        <w:rPr>
          <w:i/>
          <w:iCs/>
        </w:rPr>
        <w:t xml:space="preserve">A Lot </w:t>
      </w:r>
      <w:proofErr w:type="gramStart"/>
      <w:r w:rsidRPr="004349A3">
        <w:rPr>
          <w:i/>
          <w:iCs/>
        </w:rPr>
        <w:t>Of</w:t>
      </w:r>
      <w:proofErr w:type="gramEnd"/>
      <w:r w:rsidRPr="004349A3">
        <w:rPr>
          <w:i/>
          <w:iCs/>
        </w:rPr>
        <w:t xml:space="preserve"> Apps Sell Your Data. Here's What You Can Do About It.</w:t>
      </w:r>
      <w:r>
        <w:t xml:space="preserve">, </w:t>
      </w:r>
      <w:r w:rsidRPr="004349A3">
        <w:rPr>
          <w:smallCaps/>
        </w:rPr>
        <w:t>BuzzFeed News</w:t>
      </w:r>
      <w:r>
        <w:t xml:space="preserve"> (May 1, 2018, 11:19 AM), </w:t>
      </w:r>
      <w:r w:rsidRPr="004349A3">
        <w:t>https://www.buzzfeednews.com/article/nicolenguyen/how-apps-take-your-data-and-sell-it-without-you-even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98"/>
    <w:rsid w:val="00027823"/>
    <w:rsid w:val="00027CA6"/>
    <w:rsid w:val="00067E75"/>
    <w:rsid w:val="0009075F"/>
    <w:rsid w:val="00093498"/>
    <w:rsid w:val="000B60E1"/>
    <w:rsid w:val="000B70C1"/>
    <w:rsid w:val="000C4FFB"/>
    <w:rsid w:val="000E3842"/>
    <w:rsid w:val="000F21AF"/>
    <w:rsid w:val="000F3AAF"/>
    <w:rsid w:val="001113B7"/>
    <w:rsid w:val="00121341"/>
    <w:rsid w:val="00144002"/>
    <w:rsid w:val="00157054"/>
    <w:rsid w:val="001815FA"/>
    <w:rsid w:val="001853DD"/>
    <w:rsid w:val="001A79CC"/>
    <w:rsid w:val="001B4CC2"/>
    <w:rsid w:val="001B5A56"/>
    <w:rsid w:val="001C6DDA"/>
    <w:rsid w:val="001D01C6"/>
    <w:rsid w:val="001D64E0"/>
    <w:rsid w:val="001E4E9F"/>
    <w:rsid w:val="001F1BF0"/>
    <w:rsid w:val="0020733D"/>
    <w:rsid w:val="00215B47"/>
    <w:rsid w:val="002222D4"/>
    <w:rsid w:val="00222ACD"/>
    <w:rsid w:val="00225320"/>
    <w:rsid w:val="00230B2F"/>
    <w:rsid w:val="00232D5E"/>
    <w:rsid w:val="00241B77"/>
    <w:rsid w:val="002475BA"/>
    <w:rsid w:val="0025503F"/>
    <w:rsid w:val="00271072"/>
    <w:rsid w:val="00277719"/>
    <w:rsid w:val="002A323F"/>
    <w:rsid w:val="002B1254"/>
    <w:rsid w:val="002C4D7E"/>
    <w:rsid w:val="002D7A36"/>
    <w:rsid w:val="002E62CB"/>
    <w:rsid w:val="002E654A"/>
    <w:rsid w:val="002F1C67"/>
    <w:rsid w:val="00316440"/>
    <w:rsid w:val="003177AD"/>
    <w:rsid w:val="00320532"/>
    <w:rsid w:val="003213C6"/>
    <w:rsid w:val="00324A15"/>
    <w:rsid w:val="00334DEB"/>
    <w:rsid w:val="00355487"/>
    <w:rsid w:val="00356B7F"/>
    <w:rsid w:val="00363223"/>
    <w:rsid w:val="00365A92"/>
    <w:rsid w:val="003750F5"/>
    <w:rsid w:val="00376016"/>
    <w:rsid w:val="0037796A"/>
    <w:rsid w:val="00386F52"/>
    <w:rsid w:val="003871DE"/>
    <w:rsid w:val="003A27E1"/>
    <w:rsid w:val="003A3AA4"/>
    <w:rsid w:val="003B035B"/>
    <w:rsid w:val="003D47C6"/>
    <w:rsid w:val="00401DA2"/>
    <w:rsid w:val="00404C40"/>
    <w:rsid w:val="0040759B"/>
    <w:rsid w:val="004274FA"/>
    <w:rsid w:val="00431D83"/>
    <w:rsid w:val="00432B76"/>
    <w:rsid w:val="004349A3"/>
    <w:rsid w:val="00437884"/>
    <w:rsid w:val="004454C7"/>
    <w:rsid w:val="00446F84"/>
    <w:rsid w:val="00450EF5"/>
    <w:rsid w:val="00471333"/>
    <w:rsid w:val="00473878"/>
    <w:rsid w:val="00480A3C"/>
    <w:rsid w:val="004A40CB"/>
    <w:rsid w:val="004B23F2"/>
    <w:rsid w:val="004B371A"/>
    <w:rsid w:val="004B4AC1"/>
    <w:rsid w:val="004C5051"/>
    <w:rsid w:val="004E68A5"/>
    <w:rsid w:val="004E7956"/>
    <w:rsid w:val="004E7EC6"/>
    <w:rsid w:val="00505B7B"/>
    <w:rsid w:val="00510758"/>
    <w:rsid w:val="00521475"/>
    <w:rsid w:val="005236B8"/>
    <w:rsid w:val="00525F20"/>
    <w:rsid w:val="00535DF4"/>
    <w:rsid w:val="00543400"/>
    <w:rsid w:val="00547B26"/>
    <w:rsid w:val="0057451D"/>
    <w:rsid w:val="00590A84"/>
    <w:rsid w:val="00592283"/>
    <w:rsid w:val="00597EA5"/>
    <w:rsid w:val="005A1783"/>
    <w:rsid w:val="005A314B"/>
    <w:rsid w:val="005A6C3C"/>
    <w:rsid w:val="005C1938"/>
    <w:rsid w:val="005C2428"/>
    <w:rsid w:val="005C43B5"/>
    <w:rsid w:val="005D2DDE"/>
    <w:rsid w:val="005D625C"/>
    <w:rsid w:val="005F7166"/>
    <w:rsid w:val="006008DD"/>
    <w:rsid w:val="00605D14"/>
    <w:rsid w:val="00654677"/>
    <w:rsid w:val="006564A4"/>
    <w:rsid w:val="0065740A"/>
    <w:rsid w:val="00695734"/>
    <w:rsid w:val="006A4309"/>
    <w:rsid w:val="006B1FA2"/>
    <w:rsid w:val="006B69BD"/>
    <w:rsid w:val="006B7A45"/>
    <w:rsid w:val="006C74F2"/>
    <w:rsid w:val="006D0B95"/>
    <w:rsid w:val="006D3DA7"/>
    <w:rsid w:val="006E5CD7"/>
    <w:rsid w:val="006F694B"/>
    <w:rsid w:val="007032BE"/>
    <w:rsid w:val="00713A6B"/>
    <w:rsid w:val="0071773D"/>
    <w:rsid w:val="00720C0E"/>
    <w:rsid w:val="007316B8"/>
    <w:rsid w:val="007503F8"/>
    <w:rsid w:val="00757A26"/>
    <w:rsid w:val="0077116C"/>
    <w:rsid w:val="00775FE4"/>
    <w:rsid w:val="007B29FE"/>
    <w:rsid w:val="007B4F88"/>
    <w:rsid w:val="007D56B2"/>
    <w:rsid w:val="007D62E6"/>
    <w:rsid w:val="007D7354"/>
    <w:rsid w:val="007E13F4"/>
    <w:rsid w:val="007F2D78"/>
    <w:rsid w:val="00801447"/>
    <w:rsid w:val="008137CA"/>
    <w:rsid w:val="0082452E"/>
    <w:rsid w:val="00826AD4"/>
    <w:rsid w:val="00862ECC"/>
    <w:rsid w:val="008A103E"/>
    <w:rsid w:val="008A222A"/>
    <w:rsid w:val="008C2271"/>
    <w:rsid w:val="008C39A2"/>
    <w:rsid w:val="008D1C56"/>
    <w:rsid w:val="008D5F24"/>
    <w:rsid w:val="008D7742"/>
    <w:rsid w:val="008E153E"/>
    <w:rsid w:val="008E15D9"/>
    <w:rsid w:val="008F0713"/>
    <w:rsid w:val="008F1ED5"/>
    <w:rsid w:val="008F2077"/>
    <w:rsid w:val="008F62AA"/>
    <w:rsid w:val="009015C2"/>
    <w:rsid w:val="00902DD4"/>
    <w:rsid w:val="0090342B"/>
    <w:rsid w:val="0090763F"/>
    <w:rsid w:val="009129A5"/>
    <w:rsid w:val="0091395E"/>
    <w:rsid w:val="00926C02"/>
    <w:rsid w:val="00927A1A"/>
    <w:rsid w:val="00932358"/>
    <w:rsid w:val="00932383"/>
    <w:rsid w:val="00946DF9"/>
    <w:rsid w:val="009526CC"/>
    <w:rsid w:val="00957700"/>
    <w:rsid w:val="00982DBB"/>
    <w:rsid w:val="009878E0"/>
    <w:rsid w:val="009A113E"/>
    <w:rsid w:val="009A1437"/>
    <w:rsid w:val="009A1B4C"/>
    <w:rsid w:val="009B601B"/>
    <w:rsid w:val="009D4923"/>
    <w:rsid w:val="009F2292"/>
    <w:rsid w:val="009F4E4A"/>
    <w:rsid w:val="009F6CE9"/>
    <w:rsid w:val="00A1478A"/>
    <w:rsid w:val="00A3469B"/>
    <w:rsid w:val="00A3484D"/>
    <w:rsid w:val="00A65FA8"/>
    <w:rsid w:val="00A72DCF"/>
    <w:rsid w:val="00A936C7"/>
    <w:rsid w:val="00AA2ADC"/>
    <w:rsid w:val="00AA515B"/>
    <w:rsid w:val="00AB7A31"/>
    <w:rsid w:val="00AC096D"/>
    <w:rsid w:val="00AC1C13"/>
    <w:rsid w:val="00AD350D"/>
    <w:rsid w:val="00AE5AAC"/>
    <w:rsid w:val="00AF35A7"/>
    <w:rsid w:val="00AF37D2"/>
    <w:rsid w:val="00B168D0"/>
    <w:rsid w:val="00B27EBD"/>
    <w:rsid w:val="00B31016"/>
    <w:rsid w:val="00B3511D"/>
    <w:rsid w:val="00B35DA5"/>
    <w:rsid w:val="00B7494A"/>
    <w:rsid w:val="00B97D31"/>
    <w:rsid w:val="00BA04A7"/>
    <w:rsid w:val="00BA4CAB"/>
    <w:rsid w:val="00BA5DF7"/>
    <w:rsid w:val="00BD16E8"/>
    <w:rsid w:val="00BF19C7"/>
    <w:rsid w:val="00BF4EDA"/>
    <w:rsid w:val="00C02D4C"/>
    <w:rsid w:val="00C0735C"/>
    <w:rsid w:val="00C1499C"/>
    <w:rsid w:val="00C21663"/>
    <w:rsid w:val="00C2220B"/>
    <w:rsid w:val="00C3400E"/>
    <w:rsid w:val="00C44848"/>
    <w:rsid w:val="00C45557"/>
    <w:rsid w:val="00C51C16"/>
    <w:rsid w:val="00C51C5E"/>
    <w:rsid w:val="00C5783C"/>
    <w:rsid w:val="00C65A4A"/>
    <w:rsid w:val="00C81044"/>
    <w:rsid w:val="00C82B1E"/>
    <w:rsid w:val="00C972E3"/>
    <w:rsid w:val="00C9751E"/>
    <w:rsid w:val="00CA0635"/>
    <w:rsid w:val="00CB1BF7"/>
    <w:rsid w:val="00CE53FF"/>
    <w:rsid w:val="00CE5766"/>
    <w:rsid w:val="00D04F7E"/>
    <w:rsid w:val="00D20042"/>
    <w:rsid w:val="00D21F5D"/>
    <w:rsid w:val="00D24B47"/>
    <w:rsid w:val="00D34E0A"/>
    <w:rsid w:val="00D359C1"/>
    <w:rsid w:val="00D41224"/>
    <w:rsid w:val="00D41910"/>
    <w:rsid w:val="00D52461"/>
    <w:rsid w:val="00D60BAA"/>
    <w:rsid w:val="00D71E45"/>
    <w:rsid w:val="00D84F23"/>
    <w:rsid w:val="00DA0350"/>
    <w:rsid w:val="00DA1E73"/>
    <w:rsid w:val="00DB0BEF"/>
    <w:rsid w:val="00DC577A"/>
    <w:rsid w:val="00DC6231"/>
    <w:rsid w:val="00DD277B"/>
    <w:rsid w:val="00DD535A"/>
    <w:rsid w:val="00DE6B27"/>
    <w:rsid w:val="00DF18D9"/>
    <w:rsid w:val="00E04158"/>
    <w:rsid w:val="00E16C23"/>
    <w:rsid w:val="00E34B09"/>
    <w:rsid w:val="00E5451E"/>
    <w:rsid w:val="00E706C1"/>
    <w:rsid w:val="00E727A2"/>
    <w:rsid w:val="00E827B8"/>
    <w:rsid w:val="00E82A1A"/>
    <w:rsid w:val="00E95E3A"/>
    <w:rsid w:val="00EA0115"/>
    <w:rsid w:val="00EA521D"/>
    <w:rsid w:val="00EA7F54"/>
    <w:rsid w:val="00EB3043"/>
    <w:rsid w:val="00EB6F54"/>
    <w:rsid w:val="00EC0918"/>
    <w:rsid w:val="00EC78EB"/>
    <w:rsid w:val="00EF2DB8"/>
    <w:rsid w:val="00EF47D2"/>
    <w:rsid w:val="00F006EE"/>
    <w:rsid w:val="00F066D2"/>
    <w:rsid w:val="00F066DA"/>
    <w:rsid w:val="00F12B36"/>
    <w:rsid w:val="00F13A22"/>
    <w:rsid w:val="00F25F6C"/>
    <w:rsid w:val="00F34BC9"/>
    <w:rsid w:val="00F43553"/>
    <w:rsid w:val="00F43860"/>
    <w:rsid w:val="00F444E5"/>
    <w:rsid w:val="00F504EE"/>
    <w:rsid w:val="00F55893"/>
    <w:rsid w:val="00F91398"/>
    <w:rsid w:val="00F94AD3"/>
    <w:rsid w:val="00F977B1"/>
    <w:rsid w:val="00FA7345"/>
    <w:rsid w:val="00FB12A8"/>
    <w:rsid w:val="00FB5391"/>
    <w:rsid w:val="00FC0107"/>
    <w:rsid w:val="00FC7592"/>
    <w:rsid w:val="00FD0EAC"/>
    <w:rsid w:val="00FD5DA0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BFA8D4"/>
  <w15:chartTrackingRefBased/>
  <w15:docId w15:val="{D61D87EC-F366-FD4F-8103-4606FD0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4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49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93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3498"/>
  </w:style>
  <w:style w:type="character" w:styleId="CommentReference">
    <w:name w:val="annotation reference"/>
    <w:basedOn w:val="DefaultParagraphFont"/>
    <w:uiPriority w:val="99"/>
    <w:semiHidden/>
    <w:unhideWhenUsed/>
    <w:rsid w:val="00121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4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79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B1E842-D342-5D4F-8AF6-FF7DC99F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Kyle</dc:creator>
  <cp:keywords/>
  <dc:description/>
  <cp:lastModifiedBy>Nakash, Stephanie</cp:lastModifiedBy>
  <cp:revision>2</cp:revision>
  <dcterms:created xsi:type="dcterms:W3CDTF">2022-09-07T14:48:00Z</dcterms:created>
  <dcterms:modified xsi:type="dcterms:W3CDTF">2022-09-07T14:48:00Z</dcterms:modified>
</cp:coreProperties>
</file>