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2242" w14:textId="77777777" w:rsidR="00753491" w:rsidRPr="00753491" w:rsidRDefault="00753491" w:rsidP="00753491">
      <w:pPr>
        <w:pBdr>
          <w:bottom w:val="dotted" w:sz="6" w:space="0" w:color="AAAAAA"/>
        </w:pBdr>
        <w:shd w:val="clear" w:color="auto" w:fill="FFFFFF"/>
        <w:spacing w:before="450" w:after="450" w:line="288" w:lineRule="atLeast"/>
        <w:outlineLvl w:val="0"/>
        <w:rPr>
          <w:rFonts w:ascii="Source Sans Pro" w:eastAsia="Times New Roman" w:hAnsi="Source Sans Pro" w:cs="Times New Roman"/>
          <w:color w:val="333333"/>
          <w:spacing w:val="-8"/>
          <w:kern w:val="36"/>
          <w:sz w:val="48"/>
          <w:szCs w:val="48"/>
        </w:rPr>
      </w:pPr>
      <w:r w:rsidRPr="00753491">
        <w:rPr>
          <w:rFonts w:ascii="Source Sans Pro" w:eastAsia="Times New Roman" w:hAnsi="Source Sans Pro" w:cs="Times New Roman"/>
          <w:color w:val="333333"/>
          <w:spacing w:val="-8"/>
          <w:kern w:val="36"/>
          <w:sz w:val="48"/>
          <w:szCs w:val="48"/>
        </w:rPr>
        <w:t>Prizes and Awards to Nonresident Aliens (NRAs)</w:t>
      </w:r>
    </w:p>
    <w:p w14:paraId="7507F64B" w14:textId="4A4A61B4" w:rsidR="00E01CFB" w:rsidRDefault="00753491" w:rsidP="00753491">
      <w:pPr>
        <w:rPr>
          <w:rFonts w:ascii="Arial" w:eastAsia="Times New Roman" w:hAnsi="Arial" w:cs="Arial"/>
          <w:color w:val="222222"/>
          <w:sz w:val="29"/>
          <w:szCs w:val="29"/>
          <w:shd w:val="clear" w:color="auto" w:fill="FFFFFF"/>
        </w:rPr>
      </w:pPr>
      <w:r w:rsidRPr="00753491">
        <w:rPr>
          <w:rFonts w:ascii="Arial" w:eastAsia="Times New Roman" w:hAnsi="Arial" w:cs="Arial"/>
          <w:color w:val="222222"/>
          <w:sz w:val="29"/>
          <w:szCs w:val="29"/>
          <w:shd w:val="clear" w:color="auto" w:fill="FFFFFF"/>
        </w:rPr>
        <w:t xml:space="preserve">IRS regulations require that Nonresident Aliens who are receiving a prize/award are subject to 30% federal withholding on the payment. Prizes/awards are amounts received by an individual primarily in recognition of religious, charitable, scientific, educational, artistic, literary or civic achievement or received as a result of entering a contest. Generally, tax treaty provisions are not available to exempt a prize/award from the 30% tax withholding. If you are giving a prize/award to an NRA, Vanderbilt is required to withhold 30% from the amount and remit it to the IRS. The NRA will receive the balance. The individual will need to create a profile in </w:t>
      </w:r>
      <w:proofErr w:type="gramStart"/>
      <w:r w:rsidRPr="00753491">
        <w:rPr>
          <w:rFonts w:ascii="Arial" w:eastAsia="Times New Roman" w:hAnsi="Arial" w:cs="Arial"/>
          <w:color w:val="222222"/>
          <w:sz w:val="29"/>
          <w:szCs w:val="29"/>
          <w:shd w:val="clear" w:color="auto" w:fill="FFFFFF"/>
        </w:rPr>
        <w:t>GLACIER</w:t>
      </w:r>
      <w:proofErr w:type="gramEnd"/>
      <w:r w:rsidRPr="00753491">
        <w:rPr>
          <w:rFonts w:ascii="Arial" w:eastAsia="Times New Roman" w:hAnsi="Arial" w:cs="Arial"/>
          <w:color w:val="222222"/>
          <w:sz w:val="29"/>
          <w:szCs w:val="29"/>
          <w:shd w:val="clear" w:color="auto" w:fill="FFFFFF"/>
        </w:rPr>
        <w:t xml:space="preserve"> and they will receive a 1042S tax reporting form by March 15 of the next calendar year reflecting the amount award, taxes withheld, and amount netted.</w:t>
      </w:r>
    </w:p>
    <w:p w14:paraId="2293146E" w14:textId="7F8371DC" w:rsidR="00753491" w:rsidRDefault="00753491" w:rsidP="00753491">
      <w:pPr>
        <w:rPr>
          <w:rFonts w:ascii="Arial" w:eastAsia="Times New Roman" w:hAnsi="Arial" w:cs="Arial"/>
          <w:color w:val="222222"/>
          <w:sz w:val="29"/>
          <w:szCs w:val="29"/>
          <w:shd w:val="clear" w:color="auto" w:fill="FFFFFF"/>
        </w:rPr>
      </w:pPr>
    </w:p>
    <w:p w14:paraId="64241DF8" w14:textId="77777777" w:rsidR="00753491" w:rsidRPr="00753491" w:rsidRDefault="00753491" w:rsidP="00753491">
      <w:pPr>
        <w:pBdr>
          <w:bottom w:val="dotted" w:sz="6" w:space="0" w:color="AAAAAA"/>
        </w:pBdr>
        <w:shd w:val="clear" w:color="auto" w:fill="FFFFFF"/>
        <w:spacing w:before="450" w:after="450" w:line="288" w:lineRule="atLeast"/>
        <w:outlineLvl w:val="0"/>
        <w:rPr>
          <w:rFonts w:ascii="Source Sans Pro" w:eastAsia="Times New Roman" w:hAnsi="Source Sans Pro" w:cs="Times New Roman"/>
          <w:color w:val="333333"/>
          <w:spacing w:val="-8"/>
          <w:kern w:val="36"/>
          <w:sz w:val="48"/>
          <w:szCs w:val="48"/>
        </w:rPr>
      </w:pPr>
      <w:r w:rsidRPr="00753491">
        <w:rPr>
          <w:rFonts w:ascii="Source Sans Pro" w:eastAsia="Times New Roman" w:hAnsi="Source Sans Pro" w:cs="Times New Roman"/>
          <w:color w:val="333333"/>
          <w:spacing w:val="-8"/>
          <w:kern w:val="36"/>
          <w:sz w:val="48"/>
          <w:szCs w:val="48"/>
        </w:rPr>
        <w:t>Reporting of Taxable Gifts, Awards, Prizes and Other “Perks”</w:t>
      </w:r>
    </w:p>
    <w:p w14:paraId="589E95C6" w14:textId="77777777" w:rsidR="00753491" w:rsidRPr="00753491" w:rsidRDefault="00753491" w:rsidP="00753491">
      <w:pPr>
        <w:shd w:val="clear" w:color="auto" w:fill="FFFFFF"/>
        <w:spacing w:before="225" w:after="225" w:line="408" w:lineRule="atLeast"/>
        <w:rPr>
          <w:rFonts w:ascii="Arial" w:eastAsia="Times New Roman" w:hAnsi="Arial" w:cs="Arial"/>
          <w:color w:val="222222"/>
          <w:sz w:val="29"/>
          <w:szCs w:val="29"/>
        </w:rPr>
      </w:pPr>
      <w:r w:rsidRPr="00753491">
        <w:rPr>
          <w:rFonts w:ascii="Arial" w:eastAsia="Times New Roman" w:hAnsi="Arial" w:cs="Arial"/>
          <w:color w:val="222222"/>
          <w:sz w:val="29"/>
          <w:szCs w:val="29"/>
        </w:rPr>
        <w:t>Certain gifts, awards, and prizes given to faculty, staff members, or student employees must be reported to Human Resources so the value can be added to the employees' taxable income and the appropriate taxes (Federal withholding, Social Security and Medicare) collected from the employees' pay.</w:t>
      </w:r>
    </w:p>
    <w:p w14:paraId="56E4AF3C" w14:textId="77777777" w:rsidR="00753491" w:rsidRPr="00753491" w:rsidRDefault="00753491" w:rsidP="00753491">
      <w:pPr>
        <w:shd w:val="clear" w:color="auto" w:fill="FFFFFF"/>
        <w:spacing w:before="225" w:after="225" w:line="408" w:lineRule="atLeast"/>
        <w:rPr>
          <w:rFonts w:ascii="Arial" w:eastAsia="Times New Roman" w:hAnsi="Arial" w:cs="Arial"/>
          <w:color w:val="222222"/>
          <w:sz w:val="29"/>
          <w:szCs w:val="29"/>
        </w:rPr>
      </w:pPr>
      <w:r w:rsidRPr="00753491">
        <w:rPr>
          <w:rFonts w:ascii="Arial" w:eastAsia="Times New Roman" w:hAnsi="Arial" w:cs="Arial"/>
          <w:b/>
          <w:bCs/>
          <w:color w:val="222222"/>
          <w:sz w:val="29"/>
          <w:szCs w:val="29"/>
        </w:rPr>
        <w:t>Cash awards, gift cards, and gift certificates </w:t>
      </w:r>
      <w:r w:rsidRPr="00753491">
        <w:rPr>
          <w:rFonts w:ascii="Arial" w:eastAsia="Times New Roman" w:hAnsi="Arial" w:cs="Arial"/>
          <w:b/>
          <w:bCs/>
          <w:i/>
          <w:iCs/>
          <w:color w:val="222222"/>
          <w:sz w:val="29"/>
          <w:szCs w:val="29"/>
        </w:rPr>
        <w:t>of any value</w:t>
      </w:r>
      <w:r w:rsidRPr="00753491">
        <w:rPr>
          <w:rFonts w:ascii="Arial" w:eastAsia="Times New Roman" w:hAnsi="Arial" w:cs="Arial"/>
          <w:b/>
          <w:bCs/>
          <w:color w:val="222222"/>
          <w:sz w:val="29"/>
          <w:szCs w:val="29"/>
        </w:rPr>
        <w:t> are </w:t>
      </w:r>
      <w:r w:rsidRPr="00753491">
        <w:rPr>
          <w:rFonts w:ascii="Arial" w:eastAsia="Times New Roman" w:hAnsi="Arial" w:cs="Arial"/>
          <w:b/>
          <w:bCs/>
          <w:i/>
          <w:iCs/>
          <w:color w:val="222222"/>
          <w:sz w:val="29"/>
          <w:szCs w:val="29"/>
        </w:rPr>
        <w:t>always taxable</w:t>
      </w:r>
      <w:r w:rsidRPr="00753491">
        <w:rPr>
          <w:rFonts w:ascii="Arial" w:eastAsia="Times New Roman" w:hAnsi="Arial" w:cs="Arial"/>
          <w:b/>
          <w:bCs/>
          <w:color w:val="222222"/>
          <w:sz w:val="29"/>
          <w:szCs w:val="29"/>
        </w:rPr>
        <w:t> to the employee and must be reported at the time the gift or award is given.</w:t>
      </w:r>
    </w:p>
    <w:p w14:paraId="1E2376A0" w14:textId="77777777" w:rsidR="00753491" w:rsidRPr="00753491" w:rsidRDefault="00753491" w:rsidP="00753491">
      <w:pPr>
        <w:shd w:val="clear" w:color="auto" w:fill="FFFFFF"/>
        <w:spacing w:before="225" w:after="30" w:line="408" w:lineRule="atLeast"/>
        <w:rPr>
          <w:rFonts w:ascii="Arial" w:eastAsia="Times New Roman" w:hAnsi="Arial" w:cs="Arial"/>
          <w:color w:val="222222"/>
          <w:sz w:val="29"/>
          <w:szCs w:val="29"/>
        </w:rPr>
      </w:pPr>
      <w:r w:rsidRPr="00753491">
        <w:rPr>
          <w:rFonts w:ascii="Arial" w:eastAsia="Times New Roman" w:hAnsi="Arial" w:cs="Arial"/>
          <w:color w:val="222222"/>
          <w:sz w:val="29"/>
          <w:szCs w:val="29"/>
        </w:rPr>
        <w:lastRenderedPageBreak/>
        <w:t>Some </w:t>
      </w:r>
      <w:r w:rsidRPr="00753491">
        <w:rPr>
          <w:rFonts w:ascii="Arial" w:eastAsia="Times New Roman" w:hAnsi="Arial" w:cs="Arial"/>
          <w:i/>
          <w:iCs/>
          <w:color w:val="222222"/>
          <w:sz w:val="29"/>
          <w:szCs w:val="29"/>
        </w:rPr>
        <w:t>non-cash</w:t>
      </w:r>
      <w:r w:rsidRPr="00753491">
        <w:rPr>
          <w:rFonts w:ascii="Arial" w:eastAsia="Times New Roman" w:hAnsi="Arial" w:cs="Arial"/>
          <w:color w:val="222222"/>
          <w:sz w:val="29"/>
          <w:szCs w:val="29"/>
        </w:rPr>
        <w:t> gifts of nominal value may be </w:t>
      </w:r>
      <w:r w:rsidRPr="00753491">
        <w:rPr>
          <w:rFonts w:ascii="Arial" w:eastAsia="Times New Roman" w:hAnsi="Arial" w:cs="Arial"/>
          <w:i/>
          <w:iCs/>
          <w:color w:val="222222"/>
          <w:sz w:val="29"/>
          <w:szCs w:val="29"/>
        </w:rPr>
        <w:t>excluded</w:t>
      </w:r>
      <w:r w:rsidRPr="00753491">
        <w:rPr>
          <w:rFonts w:ascii="Arial" w:eastAsia="Times New Roman" w:hAnsi="Arial" w:cs="Arial"/>
          <w:color w:val="222222"/>
          <w:sz w:val="29"/>
          <w:szCs w:val="29"/>
        </w:rPr>
        <w:t> from the reporting requirements if the value of the award is so small that accounting for it would be difficult. The Internal Revenue Service has not set a specific dollar maximum at which an item becomes taxable. Examples of such "perks" would be:</w:t>
      </w:r>
    </w:p>
    <w:p w14:paraId="518AAC32" w14:textId="77777777" w:rsidR="00753491" w:rsidRPr="00753491" w:rsidRDefault="00753491" w:rsidP="00753491">
      <w:pPr>
        <w:numPr>
          <w:ilvl w:val="0"/>
          <w:numId w:val="1"/>
        </w:numPr>
        <w:shd w:val="clear" w:color="auto" w:fill="FFFFFF"/>
        <w:spacing w:before="100" w:beforeAutospacing="1" w:after="100" w:afterAutospacing="1" w:line="408" w:lineRule="atLeast"/>
        <w:rPr>
          <w:rFonts w:ascii="Arial" w:eastAsia="Times New Roman" w:hAnsi="Arial" w:cs="Arial"/>
          <w:color w:val="222222"/>
          <w:sz w:val="29"/>
          <w:szCs w:val="29"/>
        </w:rPr>
      </w:pPr>
      <w:r w:rsidRPr="00753491">
        <w:rPr>
          <w:rFonts w:ascii="Arial" w:eastAsia="Times New Roman" w:hAnsi="Arial" w:cs="Arial"/>
          <w:color w:val="222222"/>
          <w:sz w:val="29"/>
          <w:szCs w:val="29"/>
        </w:rPr>
        <w:t>Coffee and doughnuts provided to employees.</w:t>
      </w:r>
    </w:p>
    <w:p w14:paraId="4FFCCC5C" w14:textId="77777777" w:rsidR="00753491" w:rsidRPr="00753491" w:rsidRDefault="00753491" w:rsidP="00753491">
      <w:pPr>
        <w:numPr>
          <w:ilvl w:val="0"/>
          <w:numId w:val="1"/>
        </w:numPr>
        <w:shd w:val="clear" w:color="auto" w:fill="FFFFFF"/>
        <w:spacing w:before="100" w:beforeAutospacing="1" w:after="100" w:afterAutospacing="1" w:line="408" w:lineRule="atLeast"/>
        <w:rPr>
          <w:rFonts w:ascii="Arial" w:eastAsia="Times New Roman" w:hAnsi="Arial" w:cs="Arial"/>
          <w:color w:val="222222"/>
          <w:sz w:val="29"/>
          <w:szCs w:val="29"/>
        </w:rPr>
      </w:pPr>
      <w:r w:rsidRPr="00753491">
        <w:rPr>
          <w:rFonts w:ascii="Arial" w:eastAsia="Times New Roman" w:hAnsi="Arial" w:cs="Arial"/>
          <w:color w:val="222222"/>
          <w:sz w:val="29"/>
          <w:szCs w:val="29"/>
        </w:rPr>
        <w:t xml:space="preserve">Traditional holiday gifts (candy, turkey, </w:t>
      </w:r>
      <w:proofErr w:type="spellStart"/>
      <w:r w:rsidRPr="00753491">
        <w:rPr>
          <w:rFonts w:ascii="Arial" w:eastAsia="Times New Roman" w:hAnsi="Arial" w:cs="Arial"/>
          <w:color w:val="222222"/>
          <w:sz w:val="29"/>
          <w:szCs w:val="29"/>
        </w:rPr>
        <w:t>etc</w:t>
      </w:r>
      <w:proofErr w:type="spellEnd"/>
      <w:r w:rsidRPr="00753491">
        <w:rPr>
          <w:rFonts w:ascii="Arial" w:eastAsia="Times New Roman" w:hAnsi="Arial" w:cs="Arial"/>
          <w:color w:val="222222"/>
          <w:sz w:val="29"/>
          <w:szCs w:val="29"/>
        </w:rPr>
        <w:t>) of a relatively small value.</w:t>
      </w:r>
    </w:p>
    <w:p w14:paraId="3038C93A" w14:textId="77777777" w:rsidR="00753491" w:rsidRPr="00753491" w:rsidRDefault="00753491" w:rsidP="00753491">
      <w:pPr>
        <w:numPr>
          <w:ilvl w:val="0"/>
          <w:numId w:val="1"/>
        </w:numPr>
        <w:shd w:val="clear" w:color="auto" w:fill="FFFFFF"/>
        <w:spacing w:before="100" w:beforeAutospacing="1" w:after="100" w:afterAutospacing="1" w:line="408" w:lineRule="atLeast"/>
        <w:rPr>
          <w:rFonts w:ascii="Arial" w:eastAsia="Times New Roman" w:hAnsi="Arial" w:cs="Arial"/>
          <w:color w:val="222222"/>
          <w:sz w:val="29"/>
          <w:szCs w:val="29"/>
        </w:rPr>
      </w:pPr>
      <w:r w:rsidRPr="00753491">
        <w:rPr>
          <w:rFonts w:ascii="Arial" w:eastAsia="Times New Roman" w:hAnsi="Arial" w:cs="Arial"/>
          <w:i/>
          <w:iCs/>
          <w:color w:val="222222"/>
          <w:sz w:val="29"/>
          <w:szCs w:val="29"/>
        </w:rPr>
        <w:t>Occasional</w:t>
      </w:r>
      <w:r w:rsidRPr="00753491">
        <w:rPr>
          <w:rFonts w:ascii="Arial" w:eastAsia="Times New Roman" w:hAnsi="Arial" w:cs="Arial"/>
          <w:color w:val="222222"/>
          <w:sz w:val="29"/>
          <w:szCs w:val="29"/>
        </w:rPr>
        <w:t> T-shirts or other apparel of small value for special events.</w:t>
      </w:r>
    </w:p>
    <w:p w14:paraId="0D8C8DD1" w14:textId="77777777" w:rsidR="00753491" w:rsidRPr="00753491" w:rsidRDefault="00753491" w:rsidP="00753491">
      <w:pPr>
        <w:numPr>
          <w:ilvl w:val="0"/>
          <w:numId w:val="1"/>
        </w:numPr>
        <w:shd w:val="clear" w:color="auto" w:fill="FFFFFF"/>
        <w:spacing w:before="100" w:beforeAutospacing="1" w:after="100" w:afterAutospacing="1" w:line="408" w:lineRule="atLeast"/>
        <w:rPr>
          <w:rFonts w:ascii="Arial" w:eastAsia="Times New Roman" w:hAnsi="Arial" w:cs="Arial"/>
          <w:color w:val="222222"/>
          <w:sz w:val="29"/>
          <w:szCs w:val="29"/>
        </w:rPr>
      </w:pPr>
      <w:r w:rsidRPr="00753491">
        <w:rPr>
          <w:rFonts w:ascii="Arial" w:eastAsia="Times New Roman" w:hAnsi="Arial" w:cs="Arial"/>
          <w:i/>
          <w:iCs/>
          <w:color w:val="222222"/>
          <w:sz w:val="29"/>
          <w:szCs w:val="29"/>
        </w:rPr>
        <w:t>Occasional</w:t>
      </w:r>
      <w:r w:rsidRPr="00753491">
        <w:rPr>
          <w:rFonts w:ascii="Arial" w:eastAsia="Times New Roman" w:hAnsi="Arial" w:cs="Arial"/>
          <w:color w:val="222222"/>
          <w:sz w:val="29"/>
          <w:szCs w:val="29"/>
        </w:rPr>
        <w:t> tickets for entertainment or sporting events.</w:t>
      </w:r>
    </w:p>
    <w:p w14:paraId="642932F0" w14:textId="77777777" w:rsidR="00753491" w:rsidRPr="00753491" w:rsidRDefault="00753491" w:rsidP="00753491">
      <w:pPr>
        <w:numPr>
          <w:ilvl w:val="0"/>
          <w:numId w:val="1"/>
        </w:numPr>
        <w:shd w:val="clear" w:color="auto" w:fill="FFFFFF"/>
        <w:spacing w:before="100" w:beforeAutospacing="1" w:after="100" w:afterAutospacing="1" w:line="408" w:lineRule="atLeast"/>
        <w:rPr>
          <w:rFonts w:ascii="Arial" w:eastAsia="Times New Roman" w:hAnsi="Arial" w:cs="Arial"/>
          <w:color w:val="222222"/>
          <w:sz w:val="29"/>
          <w:szCs w:val="29"/>
        </w:rPr>
      </w:pPr>
      <w:r w:rsidRPr="00753491">
        <w:rPr>
          <w:rFonts w:ascii="Arial" w:eastAsia="Times New Roman" w:hAnsi="Arial" w:cs="Arial"/>
          <w:i/>
          <w:iCs/>
          <w:color w:val="222222"/>
          <w:sz w:val="29"/>
          <w:szCs w:val="29"/>
        </w:rPr>
        <w:t>Occasional</w:t>
      </w:r>
      <w:r w:rsidRPr="00753491">
        <w:rPr>
          <w:rFonts w:ascii="Arial" w:eastAsia="Times New Roman" w:hAnsi="Arial" w:cs="Arial"/>
          <w:color w:val="222222"/>
          <w:sz w:val="29"/>
          <w:szCs w:val="29"/>
        </w:rPr>
        <w:t> parties or picnics for employees.</w:t>
      </w:r>
    </w:p>
    <w:p w14:paraId="1B93FAE1" w14:textId="77777777" w:rsidR="00753491" w:rsidRPr="00753491" w:rsidRDefault="00753491" w:rsidP="00753491">
      <w:pPr>
        <w:shd w:val="clear" w:color="auto" w:fill="FFFFFF"/>
        <w:spacing w:before="225" w:after="225" w:line="408" w:lineRule="atLeast"/>
        <w:rPr>
          <w:rFonts w:ascii="Arial" w:eastAsia="Times New Roman" w:hAnsi="Arial" w:cs="Arial"/>
          <w:color w:val="222222"/>
          <w:sz w:val="29"/>
          <w:szCs w:val="29"/>
        </w:rPr>
      </w:pPr>
      <w:r w:rsidRPr="00753491">
        <w:rPr>
          <w:rFonts w:ascii="Arial" w:eastAsia="Times New Roman" w:hAnsi="Arial" w:cs="Arial"/>
          <w:color w:val="222222"/>
          <w:sz w:val="29"/>
          <w:szCs w:val="29"/>
        </w:rPr>
        <w:t>Taxable gifts are reported to Human Resources using the </w:t>
      </w:r>
      <w:hyperlink r:id="rId5" w:tgtFrame="_blank" w:history="1">
        <w:r w:rsidRPr="00753491">
          <w:rPr>
            <w:rFonts w:ascii="Arial" w:eastAsia="Times New Roman" w:hAnsi="Arial" w:cs="Arial"/>
            <w:color w:val="006682"/>
            <w:sz w:val="29"/>
            <w:szCs w:val="29"/>
            <w:u w:val="single"/>
          </w:rPr>
          <w:t>Taxable Fringe Reporting Form</w:t>
        </w:r>
      </w:hyperlink>
      <w:r w:rsidRPr="00753491">
        <w:rPr>
          <w:rFonts w:ascii="Arial" w:eastAsia="Times New Roman" w:hAnsi="Arial" w:cs="Arial"/>
          <w:color w:val="222222"/>
          <w:sz w:val="29"/>
          <w:szCs w:val="29"/>
        </w:rPr>
        <w:t> Excel worksheet.</w:t>
      </w:r>
    </w:p>
    <w:p w14:paraId="70B40413" w14:textId="4A425580" w:rsidR="00753491" w:rsidRDefault="00753491" w:rsidP="00011E16">
      <w:pPr>
        <w:shd w:val="clear" w:color="auto" w:fill="FFFFFF"/>
        <w:spacing w:before="225" w:after="225" w:line="408" w:lineRule="atLeast"/>
      </w:pPr>
      <w:r w:rsidRPr="00753491">
        <w:rPr>
          <w:rFonts w:ascii="Arial" w:eastAsia="Times New Roman" w:hAnsi="Arial" w:cs="Arial"/>
          <w:color w:val="222222"/>
          <w:sz w:val="29"/>
          <w:szCs w:val="29"/>
        </w:rPr>
        <w:t>A corresponding transaction listed as "Taxable Gift,” "Taxable Award," or "Taxable Miscellaneous" will appear in the Earnings section of one the faculty or staff members' future paychecks.</w:t>
      </w:r>
      <w:bookmarkStart w:id="0" w:name="_GoBack"/>
      <w:bookmarkEnd w:id="0"/>
    </w:p>
    <w:sectPr w:rsidR="0075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5A22"/>
    <w:multiLevelType w:val="multilevel"/>
    <w:tmpl w:val="2FB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91"/>
    <w:rsid w:val="00011E16"/>
    <w:rsid w:val="00753491"/>
    <w:rsid w:val="00E0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EFA"/>
  <w15:chartTrackingRefBased/>
  <w15:docId w15:val="{51A4883A-705D-48EB-A50F-98634021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62748">
      <w:bodyDiv w:val="1"/>
      <w:marLeft w:val="0"/>
      <w:marRight w:val="0"/>
      <w:marTop w:val="0"/>
      <w:marBottom w:val="0"/>
      <w:divBdr>
        <w:top w:val="none" w:sz="0" w:space="0" w:color="auto"/>
        <w:left w:val="none" w:sz="0" w:space="0" w:color="auto"/>
        <w:bottom w:val="none" w:sz="0" w:space="0" w:color="auto"/>
        <w:right w:val="none" w:sz="0" w:space="0" w:color="auto"/>
      </w:divBdr>
    </w:div>
    <w:div w:id="21291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vanderbilt.edu/compensation/payroll/TaxableFringeReporting.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Gregory R</dc:creator>
  <cp:keywords/>
  <dc:description/>
  <cp:lastModifiedBy>Swanson, Gregory R</cp:lastModifiedBy>
  <cp:revision>2</cp:revision>
  <cp:lastPrinted>2020-09-15T18:41:00Z</cp:lastPrinted>
  <dcterms:created xsi:type="dcterms:W3CDTF">2020-09-15T18:35:00Z</dcterms:created>
  <dcterms:modified xsi:type="dcterms:W3CDTF">2020-09-16T14:53:00Z</dcterms:modified>
</cp:coreProperties>
</file>