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85" w:rsidRDefault="00106885" w:rsidP="00106885">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There are two errors in the published version of the paper that should be noted. First, in Figure 2 the top two histograms are incorrectly labeled as reflecting “FY 2050” Data rather than FY 2005 data.</w:t>
      </w:r>
    </w:p>
    <w:p w:rsidR="00106885" w:rsidRDefault="00106885" w:rsidP="00106885">
      <w:pPr>
        <w:pStyle w:val="NormalWeb"/>
        <w:shd w:val="clear" w:color="auto" w:fill="FFFFFF"/>
        <w:spacing w:before="0" w:beforeAutospacing="0" w:after="270" w:afterAutospacing="0"/>
        <w:textAlignment w:val="baseline"/>
        <w:rPr>
          <w:rFonts w:ascii="Arial" w:hAnsi="Arial" w:cs="Arial"/>
          <w:color w:val="222222"/>
        </w:rPr>
      </w:pPr>
      <w:r>
        <w:rPr>
          <w:rFonts w:ascii="Arial" w:hAnsi="Arial" w:cs="Arial"/>
          <w:color w:val="222222"/>
        </w:rPr>
        <w:t>Second, the estimates from first model in Table 3 are for a percentage change in the budget from FY 2003 to FY 2004 rather than FY 2004 to FY 2005 as suggested by the table’s title. Commands to estimate models both for the FY 2003 to FY 2004 and FY 2004 to FY 2005 data are included in the batch file below.</w:t>
      </w:r>
    </w:p>
    <w:p w:rsidR="00381C1F" w:rsidRDefault="00106885">
      <w:bookmarkStart w:id="0" w:name="_GoBack"/>
      <w:bookmarkEnd w:id="0"/>
    </w:p>
    <w:sectPr w:rsidR="0038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85"/>
    <w:rsid w:val="00106885"/>
    <w:rsid w:val="00193A52"/>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18FC1-DA19-4F80-A6C4-213B0D2C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Eric</dc:creator>
  <cp:keywords/>
  <dc:description/>
  <cp:lastModifiedBy>Lewis, David Eric</cp:lastModifiedBy>
  <cp:revision>1</cp:revision>
  <dcterms:created xsi:type="dcterms:W3CDTF">2018-07-12T21:58:00Z</dcterms:created>
  <dcterms:modified xsi:type="dcterms:W3CDTF">2018-07-12T21:59:00Z</dcterms:modified>
</cp:coreProperties>
</file>