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2C872" w14:textId="77777777" w:rsidR="0093768E" w:rsidRDefault="0093768E" w:rsidP="00390137">
      <w:pPr>
        <w:jc w:val="center"/>
        <w:rPr>
          <w:b/>
        </w:rPr>
      </w:pPr>
      <w:r w:rsidRPr="0093768E">
        <w:rPr>
          <w:b/>
        </w:rPr>
        <w:t>FOIA Measurement Project Codebook</w:t>
      </w:r>
    </w:p>
    <w:p w14:paraId="4210B8BF" w14:textId="77777777" w:rsidR="0093768E" w:rsidRDefault="0093768E" w:rsidP="00390137">
      <w:pPr>
        <w:jc w:val="center"/>
        <w:rPr>
          <w:b/>
        </w:rPr>
      </w:pPr>
      <w:r>
        <w:rPr>
          <w:b/>
        </w:rPr>
        <w:t>David E. Lewis</w:t>
      </w:r>
    </w:p>
    <w:p w14:paraId="168C507B" w14:textId="77777777" w:rsidR="0093768E" w:rsidRDefault="0093768E" w:rsidP="00390137">
      <w:pPr>
        <w:jc w:val="center"/>
        <w:rPr>
          <w:b/>
        </w:rPr>
      </w:pPr>
      <w:r>
        <w:rPr>
          <w:b/>
        </w:rPr>
        <w:t>Abby K. Wood</w:t>
      </w:r>
    </w:p>
    <w:p w14:paraId="1FF8310A" w14:textId="77777777" w:rsidR="0093768E" w:rsidRDefault="0093768E" w:rsidP="009F6FEE">
      <w:pPr>
        <w:jc w:val="both"/>
      </w:pPr>
    </w:p>
    <w:p w14:paraId="0F7E0282" w14:textId="2F35AAB7" w:rsidR="00BF4365" w:rsidRDefault="0093768E" w:rsidP="009F6FEE">
      <w:pPr>
        <w:spacing w:line="480" w:lineRule="auto"/>
        <w:ind w:firstLine="720"/>
        <w:jc w:val="both"/>
      </w:pPr>
      <w:r>
        <w:t xml:space="preserve">This codebook describes the data collected as part of the FOIA Measurement Project. This was a collaborative project between David E. Lewis at Vanderbilt University and Abby K. Wood at </w:t>
      </w:r>
      <w:r w:rsidR="00FB4375">
        <w:t xml:space="preserve">the University of Southern California (formerly </w:t>
      </w:r>
      <w:r>
        <w:t>UC Berkeley</w:t>
      </w:r>
      <w:r w:rsidR="00FB4375">
        <w:t>)</w:t>
      </w:r>
      <w:r>
        <w:t xml:space="preserve">. The project data was collected by the principal investigators and a research team comprised of Gbemende Johnson, Evan Haglund, John Hudak, </w:t>
      </w:r>
      <w:proofErr w:type="spellStart"/>
      <w:r>
        <w:t>Saskia</w:t>
      </w:r>
      <w:proofErr w:type="spellEnd"/>
      <w:r>
        <w:t xml:space="preserve"> Lewis, and Jennifer Selin during 2011. </w:t>
      </w:r>
    </w:p>
    <w:p w14:paraId="7032FFB4" w14:textId="77777777" w:rsidR="00BF4365" w:rsidRDefault="0093768E" w:rsidP="009F6FEE">
      <w:pPr>
        <w:spacing w:line="480" w:lineRule="auto"/>
        <w:ind w:firstLine="720"/>
        <w:jc w:val="both"/>
      </w:pPr>
      <w:r>
        <w:t xml:space="preserve">The dataset is comprised of </w:t>
      </w:r>
      <w:r w:rsidR="0007196E">
        <w:t xml:space="preserve">1) </w:t>
      </w:r>
      <w:r>
        <w:t xml:space="preserve">data stemming from </w:t>
      </w:r>
      <w:r w:rsidR="0007196E">
        <w:t xml:space="preserve">multiple </w:t>
      </w:r>
      <w:r>
        <w:t xml:space="preserve">Freedom of Information Act requests </w:t>
      </w:r>
      <w:r w:rsidR="0007196E">
        <w:t xml:space="preserve">sent by the research team </w:t>
      </w:r>
      <w:r>
        <w:t xml:space="preserve">to 132 agencies during the month of May, 2011 and </w:t>
      </w:r>
      <w:r w:rsidR="0007196E">
        <w:t xml:space="preserve">2) </w:t>
      </w:r>
      <w:r>
        <w:t xml:space="preserve">data on the agencies, FOIA offices, and FOIA officers that were the </w:t>
      </w:r>
      <w:r w:rsidR="0007196E">
        <w:t>respondents targeted in</w:t>
      </w:r>
      <w:r>
        <w:t xml:space="preserve"> these FOIA requests. </w:t>
      </w:r>
      <w:r w:rsidR="00053B92">
        <w:t xml:space="preserve">The FOIA requests </w:t>
      </w:r>
      <w:r w:rsidR="00BF4365">
        <w:t xml:space="preserve">asked agencies for information useful for several ongoing research projects for the team. Specifically we asked for data about FOIA offices themselves (Lewis), appointed personnel (Lewis), political oversight of agencies (Selin), and whistleblower complaints (Wood). </w:t>
      </w:r>
    </w:p>
    <w:p w14:paraId="6F888B5B" w14:textId="5764E0D8" w:rsidR="00BF4365" w:rsidRDefault="00BF4365" w:rsidP="009F6FEE">
      <w:pPr>
        <w:spacing w:line="480" w:lineRule="auto"/>
        <w:ind w:firstLine="720"/>
        <w:jc w:val="both"/>
      </w:pPr>
      <w:r>
        <w:t xml:space="preserve">We organized the content and timing of these requests to also be able to use the responses themselves as a data-generating process. This dataset includes information about the FOIA responses, including whether or not agencies responded, how long it took agencies to respond, and the quality of their responses. Notably, we organized our requests as </w:t>
      </w:r>
      <w:r w:rsidR="005C2200">
        <w:t>an audit study to develop a measurement of responsiveness</w:t>
      </w:r>
      <w:r>
        <w:t xml:space="preserve">. </w:t>
      </w:r>
      <w:r w:rsidR="005C2200">
        <w:t xml:space="preserve"> </w:t>
      </w:r>
      <w:r w:rsidRPr="00C95DAC">
        <w:t xml:space="preserve">We conduct a census of the entire list of federal </w:t>
      </w:r>
      <w:proofErr w:type="gramStart"/>
      <w:r w:rsidRPr="00C95DAC">
        <w:t>agencies</w:t>
      </w:r>
      <w:proofErr w:type="gramEnd"/>
      <w:r w:rsidRPr="00C95DAC">
        <w:t xml:space="preserve"> with a FOIA office</w:t>
      </w:r>
      <w:r w:rsidR="005C2200">
        <w:t xml:space="preserve">, save a few that we omitted due to centralized FOIA processing (meaning they probably should not have been listed independently by the DOJ, the source of our list of FOIA offices) or core mission overlap with another agency on the list.  </w:t>
      </w:r>
      <w:r w:rsidRPr="00C95DAC">
        <w:t xml:space="preserve"> </w:t>
      </w:r>
    </w:p>
    <w:p w14:paraId="54129F5A" w14:textId="77777777" w:rsidR="00A41B6D" w:rsidRDefault="00A41B6D" w:rsidP="009F6FEE">
      <w:pPr>
        <w:spacing w:line="480" w:lineRule="auto"/>
        <w:ind w:firstLine="720"/>
        <w:jc w:val="both"/>
      </w:pPr>
    </w:p>
    <w:p w14:paraId="645722B5" w14:textId="77777777" w:rsidR="00FF74F4" w:rsidRDefault="00FF74F4" w:rsidP="009F6FEE">
      <w:pPr>
        <w:spacing w:line="480" w:lineRule="auto"/>
        <w:jc w:val="both"/>
        <w:rPr>
          <w:i/>
        </w:rPr>
      </w:pPr>
      <w:r w:rsidRPr="00FF74F4">
        <w:rPr>
          <w:i/>
        </w:rPr>
        <w:lastRenderedPageBreak/>
        <w:t>Agency Data</w:t>
      </w:r>
    </w:p>
    <w:p w14:paraId="3BACE675" w14:textId="2FB36A3E" w:rsidR="009075E9" w:rsidRDefault="009075E9" w:rsidP="009F6FEE">
      <w:pPr>
        <w:spacing w:line="480" w:lineRule="auto"/>
        <w:jc w:val="both"/>
      </w:pPr>
      <w:r>
        <w:rPr>
          <w:b/>
        </w:rPr>
        <w:t>Case#</w:t>
      </w:r>
      <w:r>
        <w:t>--Unique case identifier that varies from 1 to 264.</w:t>
      </w:r>
    </w:p>
    <w:p w14:paraId="130FC7B3" w14:textId="77777777" w:rsidR="001D4919" w:rsidRDefault="001D4919" w:rsidP="009F6FEE">
      <w:pPr>
        <w:spacing w:line="480" w:lineRule="auto"/>
        <w:jc w:val="both"/>
      </w:pPr>
      <w:proofErr w:type="spellStart"/>
      <w:r w:rsidRPr="00EC6140">
        <w:rPr>
          <w:b/>
        </w:rPr>
        <w:t>AgencyName</w:t>
      </w:r>
      <w:proofErr w:type="spellEnd"/>
      <w:r>
        <w:t>—Name of the agency.</w:t>
      </w:r>
    </w:p>
    <w:p w14:paraId="7DDB754F" w14:textId="79FEB684" w:rsidR="008D45E6" w:rsidRDefault="008D45E6" w:rsidP="009F6FEE">
      <w:pPr>
        <w:spacing w:line="480" w:lineRule="auto"/>
        <w:jc w:val="both"/>
      </w:pPr>
      <w:proofErr w:type="spellStart"/>
      <w:r w:rsidRPr="00EC6140">
        <w:rPr>
          <w:b/>
        </w:rPr>
        <w:t>AgencyID</w:t>
      </w:r>
      <w:proofErr w:type="spellEnd"/>
      <w:r>
        <w:t>—Unique agency identifier that varies from 1 to 132.</w:t>
      </w:r>
    </w:p>
    <w:p w14:paraId="673045B1" w14:textId="77777777" w:rsidR="008D45E6" w:rsidRDefault="008D45E6" w:rsidP="009F6FEE">
      <w:pPr>
        <w:spacing w:line="480" w:lineRule="auto"/>
        <w:jc w:val="both"/>
      </w:pPr>
      <w:r w:rsidRPr="00EC6140">
        <w:rPr>
          <w:b/>
        </w:rPr>
        <w:t>EOP (0</w:t>
      </w:r>
      <w:proofErr w:type="gramStart"/>
      <w:r w:rsidRPr="00EC6140">
        <w:rPr>
          <w:b/>
        </w:rPr>
        <w:t>,1</w:t>
      </w:r>
      <w:proofErr w:type="gramEnd"/>
      <w:r w:rsidRPr="00EC6140">
        <w:rPr>
          <w:b/>
        </w:rPr>
        <w:t>)</w:t>
      </w:r>
      <w:r>
        <w:t>—Indicator for whether the agency is located in the Executive Office of the President.</w:t>
      </w:r>
    </w:p>
    <w:p w14:paraId="41EE8A04" w14:textId="77777777" w:rsidR="008D45E6" w:rsidRDefault="008D45E6" w:rsidP="009F6FEE">
      <w:pPr>
        <w:spacing w:line="480" w:lineRule="auto"/>
        <w:jc w:val="both"/>
      </w:pPr>
      <w:r w:rsidRPr="00EC6140">
        <w:rPr>
          <w:b/>
        </w:rPr>
        <w:t>Cabinet (0</w:t>
      </w:r>
      <w:proofErr w:type="gramStart"/>
      <w:r w:rsidRPr="00EC6140">
        <w:rPr>
          <w:b/>
        </w:rPr>
        <w:t>,1</w:t>
      </w:r>
      <w:proofErr w:type="gramEnd"/>
      <w:r w:rsidRPr="00EC6140">
        <w:rPr>
          <w:b/>
        </w:rPr>
        <w:t>)</w:t>
      </w:r>
      <w:r>
        <w:t xml:space="preserve">—Indicator for whether the agency is or is located within a Cabinet Department. </w:t>
      </w:r>
    </w:p>
    <w:p w14:paraId="773198D0" w14:textId="77777777" w:rsidR="008D45E6" w:rsidRDefault="008D45E6" w:rsidP="009F6FEE">
      <w:pPr>
        <w:spacing w:line="480" w:lineRule="auto"/>
        <w:jc w:val="both"/>
      </w:pPr>
      <w:r w:rsidRPr="00EC6140">
        <w:rPr>
          <w:b/>
        </w:rPr>
        <w:t>Independent (0</w:t>
      </w:r>
      <w:proofErr w:type="gramStart"/>
      <w:r w:rsidRPr="00EC6140">
        <w:rPr>
          <w:b/>
        </w:rPr>
        <w:t>,1</w:t>
      </w:r>
      <w:proofErr w:type="gramEnd"/>
      <w:r w:rsidRPr="00EC6140">
        <w:rPr>
          <w:b/>
        </w:rPr>
        <w:t>)</w:t>
      </w:r>
      <w:r>
        <w:t xml:space="preserve">—Indicator for whether the agency is or is located </w:t>
      </w:r>
      <w:r w:rsidR="00C65A81">
        <w:t>outside</w:t>
      </w:r>
      <w:r>
        <w:t xml:space="preserve"> a Cabinet Department</w:t>
      </w:r>
      <w:r w:rsidR="00C65A81">
        <w:t xml:space="preserve"> or the Executive Office of the President</w:t>
      </w:r>
      <w:r>
        <w:t>.</w:t>
      </w:r>
    </w:p>
    <w:p w14:paraId="44C049D7" w14:textId="77777777" w:rsidR="008D45E6" w:rsidRDefault="008D45E6" w:rsidP="009F6FEE">
      <w:pPr>
        <w:spacing w:line="480" w:lineRule="auto"/>
        <w:jc w:val="both"/>
      </w:pPr>
      <w:r w:rsidRPr="00EC6140">
        <w:rPr>
          <w:b/>
        </w:rPr>
        <w:t>Department</w:t>
      </w:r>
      <w:r w:rsidR="00C65A81">
        <w:t xml:space="preserve">—Denotes the name of the cabinet department the agency is located within. Those not in the cabinet are coded with either “Independent” or “Executive Office of the President”. </w:t>
      </w:r>
    </w:p>
    <w:p w14:paraId="1FDD94B3" w14:textId="77777777" w:rsidR="008D45E6" w:rsidRDefault="008D45E6" w:rsidP="009F6FEE">
      <w:pPr>
        <w:spacing w:line="480" w:lineRule="auto"/>
        <w:jc w:val="both"/>
      </w:pPr>
      <w:proofErr w:type="spellStart"/>
      <w:r w:rsidRPr="00EC6140">
        <w:rPr>
          <w:b/>
        </w:rPr>
        <w:t>DepartmentID</w:t>
      </w:r>
      <w:proofErr w:type="spellEnd"/>
      <w:r w:rsidR="00C65A81">
        <w:t>—Unique department identifier that varies from 1 to 16. Agencies that are not part of the cabinet are coded with a 0 if they are an independent agency and a 5 if they are part of the Executive Office of the President.</w:t>
      </w:r>
    </w:p>
    <w:p w14:paraId="129E5778" w14:textId="77777777" w:rsidR="001A0A2E" w:rsidRDefault="009C72EF" w:rsidP="009F6FEE">
      <w:pPr>
        <w:spacing w:line="480" w:lineRule="auto"/>
        <w:jc w:val="both"/>
      </w:pPr>
      <w:r w:rsidRPr="009C72EF">
        <w:rPr>
          <w:b/>
        </w:rPr>
        <w:t>Commission (0</w:t>
      </w:r>
      <w:proofErr w:type="gramStart"/>
      <w:r w:rsidRPr="009C72EF">
        <w:rPr>
          <w:b/>
        </w:rPr>
        <w:t>,1</w:t>
      </w:r>
      <w:proofErr w:type="gramEnd"/>
      <w:r w:rsidRPr="009C72EF">
        <w:rPr>
          <w:b/>
        </w:rPr>
        <w:t>)</w:t>
      </w:r>
      <w:r>
        <w:t>—Indicator for whether or not the agency is run by a board or commission. This can sometimes be difficult to disentangle, particularly for government corporations and foundations. For example, if a government corporation has a part-time, unpaid board and a full-time CEO is it a commission? For coding purposes, all agencies with the word board, committee, or commission in the name are coded with a 1. In other cases where there was a question (i.e., agencies not called a commission, committee, or board), agencies with full time board members were coded with a 1. Agencies without full-time paid boards were coded with a 0.</w:t>
      </w:r>
      <w:r w:rsidR="00D2699F">
        <w:rPr>
          <w:rStyle w:val="FootnoteReference"/>
        </w:rPr>
        <w:footnoteReference w:id="1"/>
      </w:r>
      <w:r w:rsidR="001A0A2E">
        <w:t xml:space="preserve"> </w:t>
      </w:r>
    </w:p>
    <w:p w14:paraId="5F8E5229" w14:textId="77777777" w:rsidR="008D45E6" w:rsidRDefault="008D45E6" w:rsidP="009F6FEE">
      <w:pPr>
        <w:spacing w:line="480" w:lineRule="auto"/>
        <w:jc w:val="both"/>
      </w:pPr>
      <w:r w:rsidRPr="00EC6140">
        <w:rPr>
          <w:b/>
        </w:rPr>
        <w:t>Bureau</w:t>
      </w:r>
      <w:r w:rsidR="00C65A81" w:rsidRPr="00EC6140">
        <w:rPr>
          <w:b/>
        </w:rPr>
        <w:t xml:space="preserve"> (0</w:t>
      </w:r>
      <w:proofErr w:type="gramStart"/>
      <w:r w:rsidR="00C65A81" w:rsidRPr="00EC6140">
        <w:rPr>
          <w:b/>
        </w:rPr>
        <w:t>,1</w:t>
      </w:r>
      <w:proofErr w:type="gramEnd"/>
      <w:r w:rsidR="00C65A81" w:rsidRPr="00EC6140">
        <w:rPr>
          <w:b/>
        </w:rPr>
        <w:t>)</w:t>
      </w:r>
      <w:r w:rsidR="00C65A81">
        <w:t>—Indicator for whether the agency is a sub-cabinet agency.</w:t>
      </w:r>
    </w:p>
    <w:p w14:paraId="0C5EAB34" w14:textId="77777777" w:rsidR="00FF74F4" w:rsidRDefault="00FF74F4" w:rsidP="009F6FEE">
      <w:pPr>
        <w:spacing w:line="480" w:lineRule="auto"/>
        <w:jc w:val="both"/>
        <w:rPr>
          <w:i/>
        </w:rPr>
      </w:pPr>
      <w:r w:rsidRPr="00FF74F4">
        <w:rPr>
          <w:i/>
        </w:rPr>
        <w:lastRenderedPageBreak/>
        <w:t>FOIA Request Data</w:t>
      </w:r>
    </w:p>
    <w:p w14:paraId="26DA93ED" w14:textId="3F83D9E0" w:rsidR="00C03E2B" w:rsidRDefault="00C03E2B" w:rsidP="009F6FEE">
      <w:pPr>
        <w:spacing w:line="480" w:lineRule="auto"/>
        <w:ind w:firstLine="720"/>
        <w:jc w:val="both"/>
      </w:pPr>
      <w:r w:rsidRPr="00C95DAC">
        <w:t xml:space="preserve">Over the course of three weeks in May 2011, we submitted </w:t>
      </w:r>
      <w:r w:rsidR="00914627">
        <w:t>2</w:t>
      </w:r>
      <w:r>
        <w:t xml:space="preserve"> sets</w:t>
      </w:r>
      <w:r w:rsidRPr="00C95DAC">
        <w:t xml:space="preserve"> of </w:t>
      </w:r>
      <w:r>
        <w:t>FOIA</w:t>
      </w:r>
      <w:r w:rsidRPr="00C95DAC">
        <w:t xml:space="preserve"> requests to almost all agencies in the federal government.</w:t>
      </w:r>
      <w:r>
        <w:rPr>
          <w:rStyle w:val="FootnoteReference"/>
        </w:rPr>
        <w:footnoteReference w:id="2"/>
      </w:r>
      <w:r>
        <w:t xml:space="preserve"> </w:t>
      </w:r>
      <w:r w:rsidRPr="00C95DAC">
        <w:t xml:space="preserve">We </w:t>
      </w:r>
      <w:r>
        <w:t xml:space="preserve">sent </w:t>
      </w:r>
      <w:r w:rsidRPr="00C95DAC">
        <w:t>baseline</w:t>
      </w:r>
      <w:r w:rsidR="00FA1349">
        <w:t xml:space="preserve"> </w:t>
      </w:r>
      <w:r w:rsidRPr="00C95DAC">
        <w:t xml:space="preserve">and </w:t>
      </w:r>
      <w:r w:rsidR="00FA1349">
        <w:t xml:space="preserve">politically </w:t>
      </w:r>
      <w:r w:rsidR="00914627">
        <w:t xml:space="preserve">sensitive requests. </w:t>
      </w:r>
      <w:r w:rsidRPr="00C95DAC">
        <w:t xml:space="preserve">We sent the requests in </w:t>
      </w:r>
      <w:r w:rsidR="00914627">
        <w:t xml:space="preserve">on May 9 2011 </w:t>
      </w:r>
      <w:r w:rsidRPr="00C95DAC">
        <w:t>(132 of each type)</w:t>
      </w:r>
      <w:r w:rsidR="00914627">
        <w:t xml:space="preserve">. </w:t>
      </w:r>
      <w:r w:rsidRPr="00C95DAC">
        <w:t>The full set of requests is in Appendix B.</w:t>
      </w:r>
      <w:r w:rsidR="00FA1349">
        <w:t xml:space="preserve"> The letters did ask for an educational classification for fee purposes but no other information indicated anything about the requester. Letters were printed on plain white paper and placed into plain white envelopes (typed) and stamps were placed on the letters.</w:t>
      </w:r>
    </w:p>
    <w:p w14:paraId="2A69C11E" w14:textId="1448CFD7" w:rsidR="008D45E6" w:rsidRDefault="00FB4375" w:rsidP="009F6FEE">
      <w:pPr>
        <w:spacing w:line="480" w:lineRule="auto"/>
        <w:jc w:val="both"/>
      </w:pPr>
      <w:r>
        <w:rPr>
          <w:b/>
          <w:noProof/>
        </w:rPr>
        <mc:AlternateContent>
          <mc:Choice Requires="wps">
            <w:drawing>
              <wp:anchor distT="0" distB="0" distL="114300" distR="114300" simplePos="0" relativeHeight="251671552" behindDoc="0" locked="0" layoutInCell="1" allowOverlap="1" wp14:anchorId="009C8847" wp14:editId="2C7517EC">
                <wp:simplePos x="0" y="0"/>
                <wp:positionH relativeFrom="column">
                  <wp:posOffset>-7620</wp:posOffset>
                </wp:positionH>
                <wp:positionV relativeFrom="paragraph">
                  <wp:posOffset>-83820</wp:posOffset>
                </wp:positionV>
                <wp:extent cx="6064885" cy="6985"/>
                <wp:effectExtent l="11430" t="12700" r="10160" b="889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94F65" id="_x0000_t32" coordsize="21600,21600" o:spt="32" o:oned="t" path="m,l21600,21600e" filled="f">
                <v:path arrowok="t" fillok="f" o:connecttype="none"/>
                <o:lock v:ext="edit" shapetype="t"/>
              </v:shapetype>
              <v:shape id="AutoShape 12" o:spid="_x0000_s1026" type="#_x0000_t32" style="position:absolute;margin-left:-.6pt;margin-top:-6.6pt;width:477.55pt;height:.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"/>
            </w:pict>
          </mc:Fallback>
        </mc:AlternateContent>
      </w:r>
      <w:r w:rsidR="008D45E6" w:rsidRPr="00EC6140">
        <w:rPr>
          <w:b/>
        </w:rPr>
        <w:t>Request</w:t>
      </w:r>
      <w:r w:rsidR="00EC6140">
        <w:t xml:space="preserve"> (Baseline, Politically Sensitive)</w:t>
      </w:r>
      <w:r w:rsidR="00C65A81">
        <w:t>—Indicates whether the request sent to the</w:t>
      </w:r>
      <w:r w:rsidR="00914627">
        <w:t xml:space="preserve"> agency was a </w:t>
      </w:r>
      <w:r w:rsidR="00914627" w:rsidRPr="00914627">
        <w:rPr>
          <w:u w:val="single"/>
        </w:rPr>
        <w:t>baseline</w:t>
      </w:r>
      <w:r w:rsidR="00C65A81">
        <w:t xml:space="preserve"> or po</w:t>
      </w:r>
      <w:r w:rsidR="00914627">
        <w:t xml:space="preserve">litically </w:t>
      </w:r>
      <w:r w:rsidR="00914627" w:rsidRPr="00914627">
        <w:rPr>
          <w:u w:val="single"/>
        </w:rPr>
        <w:t>sensitive</w:t>
      </w:r>
      <w:r w:rsidR="00914627">
        <w:t xml:space="preserve"> </w:t>
      </w:r>
      <w:r w:rsidR="00C65A81">
        <w:t>request.</w:t>
      </w:r>
    </w:p>
    <w:p w14:paraId="36226375" w14:textId="77777777" w:rsidR="008D45E6" w:rsidRDefault="008D45E6" w:rsidP="009F6FEE">
      <w:pPr>
        <w:spacing w:line="480" w:lineRule="auto"/>
        <w:jc w:val="both"/>
      </w:pPr>
      <w:proofErr w:type="spellStart"/>
      <w:r w:rsidRPr="00EC6140">
        <w:rPr>
          <w:b/>
        </w:rPr>
        <w:t>SendDate</w:t>
      </w:r>
      <w:proofErr w:type="spellEnd"/>
      <w:r w:rsidR="00C65A81">
        <w:t>—The date that the request was sent to the agency.</w:t>
      </w:r>
      <w:r w:rsidR="001951B3">
        <w:t xml:space="preserve"> We placed t</w:t>
      </w:r>
      <w:r w:rsidR="00FA1349">
        <w:t>he first wave of requests</w:t>
      </w:r>
      <w:r w:rsidR="001951B3">
        <w:t>,</w:t>
      </w:r>
      <w:r w:rsidR="00FA1349">
        <w:t xml:space="preserve"> which included requests concerning the FOIA office itself</w:t>
      </w:r>
      <w:r w:rsidR="001951B3">
        <w:t>,</w:t>
      </w:r>
      <w:r w:rsidR="00FA1349">
        <w:t xml:space="preserve"> in the mail on May 9, 2011. </w:t>
      </w:r>
      <w:r w:rsidR="001951B3">
        <w:t>We placed the</w:t>
      </w:r>
      <w:r w:rsidR="00EC6140">
        <w:t xml:space="preserve"> second wave of requests in the mail on May 25, 2011.</w:t>
      </w:r>
    </w:p>
    <w:p w14:paraId="604E44E3" w14:textId="5D983F43" w:rsidR="008D45E6" w:rsidRDefault="008D45E6" w:rsidP="009F6FEE">
      <w:pPr>
        <w:spacing w:line="480" w:lineRule="auto"/>
        <w:jc w:val="both"/>
      </w:pPr>
      <w:proofErr w:type="spellStart"/>
      <w:r w:rsidRPr="00EC6140">
        <w:rPr>
          <w:b/>
        </w:rPr>
        <w:t>ConfirmationDate</w:t>
      </w:r>
      <w:proofErr w:type="spellEnd"/>
      <w:r w:rsidR="00C65A81">
        <w:t xml:space="preserve">—The date that the agency acknowledged the request. This is the date we received an email, letter, or telephone call from the agency. </w:t>
      </w:r>
      <w:r w:rsidR="001951B3">
        <w:t xml:space="preserve">The normal procedure for agencies is to send a confirmation by letter or email that they have received a request and they assign the request a unique case identifier. </w:t>
      </w:r>
      <w:r w:rsidR="00C65A81">
        <w:t>In some cases the confirmation date and final response date are the same. We take the date on the letter as being determinative even in cases where it took a lot longer to get the confirmation than the date on the letter.</w:t>
      </w:r>
    </w:p>
    <w:p w14:paraId="34BFC5AE" w14:textId="52711DB2" w:rsidR="00914627" w:rsidRDefault="00914627" w:rsidP="009F6FEE">
      <w:pPr>
        <w:spacing w:line="480" w:lineRule="auto"/>
        <w:jc w:val="both"/>
      </w:pPr>
      <w:r w:rsidRPr="00914627">
        <w:rPr>
          <w:b/>
        </w:rPr>
        <w:lastRenderedPageBreak/>
        <w:t>Confirm (0</w:t>
      </w:r>
      <w:proofErr w:type="gramStart"/>
      <w:r w:rsidRPr="00914627">
        <w:rPr>
          <w:b/>
        </w:rPr>
        <w:t>,1</w:t>
      </w:r>
      <w:proofErr w:type="gramEnd"/>
      <w:r w:rsidRPr="00914627">
        <w:rPr>
          <w:b/>
        </w:rPr>
        <w:t>)</w:t>
      </w:r>
      <w:r>
        <w:t xml:space="preserve">: </w:t>
      </w:r>
      <w:r w:rsidR="007D4A84">
        <w:t>This is an indicator coded 1 if the agency had confirmed receipt of the request by May 9, 2012 (one year after the initial request).</w:t>
      </w:r>
    </w:p>
    <w:p w14:paraId="294048B2" w14:textId="1A88E975" w:rsidR="00914627" w:rsidRDefault="00914627" w:rsidP="009F6FEE">
      <w:pPr>
        <w:spacing w:line="480" w:lineRule="auto"/>
        <w:jc w:val="both"/>
      </w:pPr>
      <w:proofErr w:type="spellStart"/>
      <w:r w:rsidRPr="00914627">
        <w:rPr>
          <w:b/>
        </w:rPr>
        <w:t>Timeconfirm</w:t>
      </w:r>
      <w:proofErr w:type="spellEnd"/>
      <w:r>
        <w:t xml:space="preserve">: </w:t>
      </w:r>
      <w:r w:rsidR="007D4A84">
        <w:t>This the number of days from the time the letter was sent until we received confirmation. The m</w:t>
      </w:r>
      <w:r w:rsidR="00D52C8C">
        <w:t>aximum is 366</w:t>
      </w:r>
      <w:r w:rsidR="007D4A84">
        <w:t xml:space="preserve"> days, one year after the request was sent.</w:t>
      </w:r>
    </w:p>
    <w:p w14:paraId="35B599F3" w14:textId="77777777" w:rsidR="008D45E6" w:rsidRDefault="008D45E6" w:rsidP="009F6FEE">
      <w:pPr>
        <w:spacing w:line="480" w:lineRule="auto"/>
        <w:jc w:val="both"/>
      </w:pPr>
      <w:proofErr w:type="spellStart"/>
      <w:r w:rsidRPr="00EC6140">
        <w:rPr>
          <w:b/>
        </w:rPr>
        <w:t>ConfirmationMethod</w:t>
      </w:r>
      <w:proofErr w:type="spellEnd"/>
      <w:r w:rsidR="00C65A81">
        <w:t>—</w:t>
      </w:r>
      <w:proofErr w:type="gramStart"/>
      <w:r w:rsidR="00C65A81">
        <w:t>The</w:t>
      </w:r>
      <w:proofErr w:type="gramEnd"/>
      <w:r w:rsidR="00C65A81">
        <w:t xml:space="preserve"> form in which we were contacted by the agency the first time. Most responses come via email or letter. Some confirmations are first made via telephone call.</w:t>
      </w:r>
    </w:p>
    <w:p w14:paraId="12DFBED2" w14:textId="77777777" w:rsidR="008D45E6" w:rsidRDefault="008D45E6" w:rsidP="009F6FEE">
      <w:pPr>
        <w:spacing w:line="480" w:lineRule="auto"/>
        <w:jc w:val="both"/>
      </w:pPr>
      <w:r w:rsidRPr="00EC6140">
        <w:rPr>
          <w:b/>
        </w:rPr>
        <w:t>Tracking#</w:t>
      </w:r>
      <w:r w:rsidR="00EC6140">
        <w:rPr>
          <w:b/>
        </w:rPr>
        <w:t xml:space="preserve"> </w:t>
      </w:r>
      <w:r w:rsidR="00574F14" w:rsidRPr="00EC6140">
        <w:rPr>
          <w:b/>
        </w:rPr>
        <w:t>—</w:t>
      </w:r>
      <w:r w:rsidR="00574F14">
        <w:t>Agency case number assigned to each FOIA request. Not all agencies give FOIA requests unique identifiers but most do.</w:t>
      </w:r>
    </w:p>
    <w:p w14:paraId="2CA832F7" w14:textId="77777777" w:rsidR="008D45E6" w:rsidRDefault="008D45E6" w:rsidP="009F6FEE">
      <w:pPr>
        <w:spacing w:line="480" w:lineRule="auto"/>
        <w:jc w:val="both"/>
      </w:pPr>
      <w:r w:rsidRPr="00EC6140">
        <w:rPr>
          <w:b/>
        </w:rPr>
        <w:t>Respondent</w:t>
      </w:r>
      <w:r w:rsidR="00574F14">
        <w:t>—Name of the person confirming the request, namely the person signing the letter, signing the email, or making the telephone call which first confirms the receipt of a request.</w:t>
      </w:r>
    </w:p>
    <w:p w14:paraId="4BB7FBCE" w14:textId="77777777" w:rsidR="008D45E6" w:rsidRDefault="008D45E6" w:rsidP="009F6FEE">
      <w:pPr>
        <w:spacing w:line="480" w:lineRule="auto"/>
        <w:jc w:val="both"/>
      </w:pPr>
      <w:r w:rsidRPr="00EC6140">
        <w:rPr>
          <w:b/>
        </w:rPr>
        <w:t>Title</w:t>
      </w:r>
      <w:r w:rsidR="00574F14">
        <w:t>—</w:t>
      </w:r>
      <w:proofErr w:type="gramStart"/>
      <w:r w:rsidR="00574F14">
        <w:t>The</w:t>
      </w:r>
      <w:proofErr w:type="gramEnd"/>
      <w:r w:rsidR="00574F14">
        <w:t xml:space="preserve"> title associated with their signature.</w:t>
      </w:r>
    </w:p>
    <w:p w14:paraId="6C43F203" w14:textId="77777777" w:rsidR="008D45E6" w:rsidRDefault="008D45E6" w:rsidP="009F6FEE">
      <w:pPr>
        <w:spacing w:line="480" w:lineRule="auto"/>
        <w:jc w:val="both"/>
      </w:pPr>
      <w:r w:rsidRPr="00EC6140">
        <w:rPr>
          <w:b/>
        </w:rPr>
        <w:t>Contact1Method</w:t>
      </w:r>
      <w:r w:rsidR="00B9740C">
        <w:t>—</w:t>
      </w:r>
      <w:proofErr w:type="gramStart"/>
      <w:r w:rsidR="00B9740C">
        <w:t>The</w:t>
      </w:r>
      <w:proofErr w:type="gramEnd"/>
      <w:r w:rsidR="00B9740C">
        <w:t xml:space="preserve"> mode of communication if an agency contacted us for some other reason than a standard confirmation or filling of request.</w:t>
      </w:r>
    </w:p>
    <w:p w14:paraId="05A857AD" w14:textId="77777777" w:rsidR="00B9740C" w:rsidRDefault="008D45E6" w:rsidP="009F6FEE">
      <w:pPr>
        <w:spacing w:line="480" w:lineRule="auto"/>
        <w:jc w:val="both"/>
      </w:pPr>
      <w:r w:rsidRPr="00EC6140">
        <w:rPr>
          <w:b/>
        </w:rPr>
        <w:t>Contact1Nature</w:t>
      </w:r>
      <w:r w:rsidR="00B9740C">
        <w:t>—Subject of the contact. Some examples include:</w:t>
      </w:r>
      <w:r w:rsidR="001951B3">
        <w:t xml:space="preserve"> 1) </w:t>
      </w:r>
      <w:r w:rsidR="00B9740C">
        <w:t>Clarification of the details of a request</w:t>
      </w:r>
      <w:r w:rsidR="001951B3">
        <w:t xml:space="preserve"> and 2) </w:t>
      </w:r>
      <w:r w:rsidR="00B9740C">
        <w:t>Request for an extension</w:t>
      </w:r>
      <w:r w:rsidR="001951B3">
        <w:t>. FOIA regulations require an agency to issue a determination within 20 working days of receiving a request, excluding weekends and holidays. Agencies may ask for extensions to this time frame or stop working on a request until the requester provides fees or clarifying information.</w:t>
      </w:r>
    </w:p>
    <w:p w14:paraId="2638419F" w14:textId="77777777" w:rsidR="008D45E6" w:rsidRDefault="008D45E6" w:rsidP="009F6FEE">
      <w:pPr>
        <w:spacing w:line="480" w:lineRule="auto"/>
        <w:jc w:val="both"/>
      </w:pPr>
      <w:r w:rsidRPr="00EC6140">
        <w:rPr>
          <w:b/>
        </w:rPr>
        <w:t>Contact1Date</w:t>
      </w:r>
      <w:r w:rsidR="00B9740C">
        <w:t>—Date of contact</w:t>
      </w:r>
    </w:p>
    <w:p w14:paraId="573A25F6" w14:textId="77777777" w:rsidR="008D45E6" w:rsidRDefault="008D45E6" w:rsidP="009F6FEE">
      <w:pPr>
        <w:spacing w:line="480" w:lineRule="auto"/>
        <w:jc w:val="both"/>
      </w:pPr>
      <w:r w:rsidRPr="00EC6140">
        <w:rPr>
          <w:b/>
        </w:rPr>
        <w:t>Contact</w:t>
      </w:r>
      <w:r w:rsidR="00B9740C">
        <w:t>—Name of contact</w:t>
      </w:r>
    </w:p>
    <w:p w14:paraId="6CCF26DB" w14:textId="5E356ED3" w:rsidR="008D45E6" w:rsidRDefault="008D45E6" w:rsidP="009F6FEE">
      <w:pPr>
        <w:spacing w:line="480" w:lineRule="auto"/>
        <w:jc w:val="both"/>
      </w:pPr>
      <w:proofErr w:type="spellStart"/>
      <w:r w:rsidRPr="00EC6140">
        <w:rPr>
          <w:b/>
        </w:rPr>
        <w:t>FinalresponseDate</w:t>
      </w:r>
      <w:proofErr w:type="spellEnd"/>
      <w:r w:rsidR="00B9740C">
        <w:t xml:space="preserve">—Date on which the agency made </w:t>
      </w:r>
      <w:r w:rsidR="001951B3">
        <w:t>a</w:t>
      </w:r>
      <w:r w:rsidR="00B9740C">
        <w:t xml:space="preserve"> final determination. This is the date we received an email, letter, or telephone call from the agency with their final decision. In some cases the confirmation date and final response date are the same. We take the date on the letter as being </w:t>
      </w:r>
      <w:r w:rsidR="00B9740C">
        <w:lastRenderedPageBreak/>
        <w:t>determinative even in cases where it took a lot longer to get the confirmation than the date on the letter. Responses can be to deny the request, partially fill the request, or fill the request in full.</w:t>
      </w:r>
    </w:p>
    <w:p w14:paraId="52820470" w14:textId="26F08F81" w:rsidR="00D52C8C" w:rsidRDefault="00D52C8C" w:rsidP="009F6FEE">
      <w:pPr>
        <w:spacing w:line="480" w:lineRule="auto"/>
        <w:jc w:val="both"/>
      </w:pPr>
      <w:r w:rsidRPr="00D52C8C">
        <w:rPr>
          <w:b/>
        </w:rPr>
        <w:t>Respond (0</w:t>
      </w:r>
      <w:proofErr w:type="gramStart"/>
      <w:r w:rsidRPr="00D52C8C">
        <w:rPr>
          <w:b/>
        </w:rPr>
        <w:t>,1</w:t>
      </w:r>
      <w:proofErr w:type="gramEnd"/>
      <w:r w:rsidRPr="00D52C8C">
        <w:rPr>
          <w:b/>
        </w:rPr>
        <w:t>):</w:t>
      </w:r>
      <w:r>
        <w:rPr>
          <w:b/>
        </w:rPr>
        <w:t xml:space="preserve"> </w:t>
      </w:r>
      <w:r>
        <w:t xml:space="preserve">This is an indicator coded 1 if the agency had </w:t>
      </w:r>
      <w:r>
        <w:t>made a final determination on</w:t>
      </w:r>
      <w:r>
        <w:t xml:space="preserve"> the request by May 9, 2012 (one year after the initial request).</w:t>
      </w:r>
    </w:p>
    <w:p w14:paraId="7D641BBC" w14:textId="46444075" w:rsidR="00D52C8C" w:rsidRPr="00D52C8C" w:rsidRDefault="00D52C8C" w:rsidP="009F6FEE">
      <w:pPr>
        <w:spacing w:line="480" w:lineRule="auto"/>
        <w:jc w:val="both"/>
        <w:rPr>
          <w:b/>
        </w:rPr>
      </w:pPr>
      <w:proofErr w:type="spellStart"/>
      <w:r w:rsidRPr="00D52C8C">
        <w:rPr>
          <w:b/>
        </w:rPr>
        <w:t>Timerespond</w:t>
      </w:r>
      <w:proofErr w:type="spellEnd"/>
      <w:r w:rsidRPr="00D52C8C">
        <w:rPr>
          <w:b/>
        </w:rPr>
        <w:t xml:space="preserve">: </w:t>
      </w:r>
      <w:r>
        <w:t xml:space="preserve">This the number of days from the time the letter was sent until we received </w:t>
      </w:r>
      <w:r>
        <w:t>a final determination on the request</w:t>
      </w:r>
      <w:r>
        <w:t>. The m</w:t>
      </w:r>
      <w:r>
        <w:t>aximum is 366</w:t>
      </w:r>
      <w:r>
        <w:t xml:space="preserve"> days, one year after the request was sent.</w:t>
      </w:r>
    </w:p>
    <w:p w14:paraId="62128D40" w14:textId="77777777" w:rsidR="008D45E6" w:rsidRDefault="008D45E6" w:rsidP="009F6FEE">
      <w:pPr>
        <w:spacing w:line="480" w:lineRule="auto"/>
        <w:jc w:val="both"/>
      </w:pPr>
      <w:proofErr w:type="spellStart"/>
      <w:r w:rsidRPr="00EC6140">
        <w:rPr>
          <w:b/>
        </w:rPr>
        <w:t>Finalresponsemethod</w:t>
      </w:r>
      <w:proofErr w:type="spellEnd"/>
      <w:r w:rsidR="00B9740C">
        <w:t>—</w:t>
      </w:r>
      <w:proofErr w:type="gramStart"/>
      <w:r w:rsidR="00B9740C">
        <w:t>The</w:t>
      </w:r>
      <w:proofErr w:type="gramEnd"/>
      <w:r w:rsidR="00B9740C">
        <w:t xml:space="preserve"> form in which we were contacted by the agency in the final determination. All responses come via either email or letter. </w:t>
      </w:r>
    </w:p>
    <w:p w14:paraId="7CC1CD74" w14:textId="3ECC5A5C" w:rsidR="008D45E6" w:rsidRDefault="008D45E6" w:rsidP="009F6FEE">
      <w:pPr>
        <w:spacing w:line="480" w:lineRule="auto"/>
        <w:jc w:val="both"/>
      </w:pPr>
      <w:r w:rsidRPr="00EC6140">
        <w:rPr>
          <w:b/>
        </w:rPr>
        <w:t>Outcome</w:t>
      </w:r>
      <w:r w:rsidR="00B9740C">
        <w:t xml:space="preserve">—Responses can be to </w:t>
      </w:r>
      <w:r w:rsidR="00B9740C" w:rsidRPr="001951B3">
        <w:rPr>
          <w:i/>
        </w:rPr>
        <w:t>deny</w:t>
      </w:r>
      <w:r w:rsidR="00B9740C">
        <w:t xml:space="preserve"> the request, </w:t>
      </w:r>
      <w:r w:rsidR="00B9740C" w:rsidRPr="001951B3">
        <w:rPr>
          <w:i/>
        </w:rPr>
        <w:t>partial</w:t>
      </w:r>
      <w:r w:rsidR="00B9740C">
        <w:t xml:space="preserve">ly fill the request, or fill the request in </w:t>
      </w:r>
      <w:r w:rsidR="00B9740C" w:rsidRPr="001951B3">
        <w:rPr>
          <w:i/>
        </w:rPr>
        <w:t>full</w:t>
      </w:r>
      <w:r w:rsidR="00B9740C">
        <w:t>. If a request is filled but with exemptions, this is classified as a partial filling. If the agency says they are denying a request but provide us a link to the information anyway, this is coded as filling the request</w:t>
      </w:r>
      <w:r w:rsidR="001951B3">
        <w:t xml:space="preserve"> in full</w:t>
      </w:r>
      <w:r w:rsidR="00B9740C">
        <w:t>.</w:t>
      </w:r>
      <w:r w:rsidR="00D52C8C">
        <w:t xml:space="preserve"> Agencies can also indicate that they have </w:t>
      </w:r>
      <w:r w:rsidR="00D52C8C" w:rsidRPr="00D52C8C">
        <w:rPr>
          <w:i/>
        </w:rPr>
        <w:t>no records</w:t>
      </w:r>
      <w:r w:rsidR="00D52C8C">
        <w:t xml:space="preserve"> responsive to our request.</w:t>
      </w:r>
    </w:p>
    <w:p w14:paraId="31F3C8FD" w14:textId="77777777" w:rsidR="00FF74F4" w:rsidRDefault="008D45E6" w:rsidP="009F6FEE">
      <w:pPr>
        <w:spacing w:line="480" w:lineRule="auto"/>
        <w:jc w:val="both"/>
      </w:pPr>
      <w:r w:rsidRPr="00EC6140">
        <w:rPr>
          <w:b/>
        </w:rPr>
        <w:t>Respondent</w:t>
      </w:r>
      <w:r w:rsidR="00FF74F4">
        <w:t>—Name of the person signing the letter or signing the email that includes the final determination on request.</w:t>
      </w:r>
    </w:p>
    <w:p w14:paraId="70725079" w14:textId="77777777" w:rsidR="008D45E6" w:rsidRDefault="008D45E6" w:rsidP="009F6FEE">
      <w:pPr>
        <w:spacing w:line="480" w:lineRule="auto"/>
        <w:jc w:val="both"/>
      </w:pPr>
      <w:r w:rsidRPr="00EC6140">
        <w:rPr>
          <w:b/>
        </w:rPr>
        <w:t>Title</w:t>
      </w:r>
      <w:r w:rsidR="00FF74F4">
        <w:t>—Title of the person signing the letter or signing the email that includes the final determination on request.</w:t>
      </w:r>
    </w:p>
    <w:p w14:paraId="6C86257E" w14:textId="77777777" w:rsidR="008D45E6" w:rsidRDefault="008D45E6" w:rsidP="009F6FEE">
      <w:pPr>
        <w:spacing w:line="480" w:lineRule="auto"/>
        <w:jc w:val="both"/>
      </w:pPr>
      <w:r w:rsidRPr="00EC6140">
        <w:rPr>
          <w:b/>
        </w:rPr>
        <w:t>Determination</w:t>
      </w:r>
      <w:r w:rsidR="00FF74F4">
        <w:t>—Content of the response. What did the agency send in response? This column also includes details of the quality of the response. Some examples include:</w:t>
      </w:r>
    </w:p>
    <w:p w14:paraId="71595692" w14:textId="77777777" w:rsidR="00FF74F4" w:rsidRDefault="00FF74F4" w:rsidP="009F6FEE">
      <w:pPr>
        <w:pStyle w:val="ListParagraph"/>
        <w:numPr>
          <w:ilvl w:val="0"/>
          <w:numId w:val="2"/>
        </w:numPr>
        <w:spacing w:line="480" w:lineRule="auto"/>
        <w:jc w:val="both"/>
      </w:pPr>
      <w:r>
        <w:t>Fees charged</w:t>
      </w:r>
    </w:p>
    <w:p w14:paraId="0B5B0C5D" w14:textId="77777777" w:rsidR="00FF74F4" w:rsidRDefault="00FF74F4" w:rsidP="009F6FEE">
      <w:pPr>
        <w:pStyle w:val="ListParagraph"/>
        <w:numPr>
          <w:ilvl w:val="0"/>
          <w:numId w:val="2"/>
        </w:numPr>
        <w:spacing w:line="480" w:lineRule="auto"/>
        <w:jc w:val="both"/>
      </w:pPr>
      <w:r>
        <w:t>A</w:t>
      </w:r>
      <w:r w:rsidRPr="000952CA">
        <w:t xml:space="preserve">sking </w:t>
      </w:r>
      <w:r>
        <w:t xml:space="preserve">for notarized proof of identity </w:t>
      </w:r>
    </w:p>
    <w:p w14:paraId="3EF5FFDC" w14:textId="77777777" w:rsidR="00FF74F4" w:rsidRDefault="00FF74F4" w:rsidP="009F6FEE">
      <w:pPr>
        <w:pStyle w:val="ListParagraph"/>
        <w:numPr>
          <w:ilvl w:val="0"/>
          <w:numId w:val="2"/>
        </w:numPr>
        <w:spacing w:line="480" w:lineRule="auto"/>
        <w:jc w:val="both"/>
      </w:pPr>
      <w:r>
        <w:t>C</w:t>
      </w:r>
      <w:r w:rsidRPr="000952CA">
        <w:t>laiming their agency does not have political appointees when their letterhead includes info</w:t>
      </w:r>
      <w:r>
        <w:t>rmation about their appointees</w:t>
      </w:r>
    </w:p>
    <w:p w14:paraId="7E657DF9" w14:textId="77777777" w:rsidR="00FF74F4" w:rsidRDefault="00FF74F4" w:rsidP="009F6FEE">
      <w:pPr>
        <w:pStyle w:val="ListParagraph"/>
        <w:numPr>
          <w:ilvl w:val="0"/>
          <w:numId w:val="2"/>
        </w:numPr>
        <w:spacing w:line="480" w:lineRule="auto"/>
        <w:jc w:val="both"/>
      </w:pPr>
      <w:r>
        <w:lastRenderedPageBreak/>
        <w:t>Changing the grounds on which a request is rejected</w:t>
      </w:r>
    </w:p>
    <w:p w14:paraId="169EBE9C" w14:textId="77777777" w:rsidR="00FF74F4" w:rsidRDefault="00FF74F4" w:rsidP="009F6FEE">
      <w:pPr>
        <w:pStyle w:val="ListParagraph"/>
        <w:numPr>
          <w:ilvl w:val="0"/>
          <w:numId w:val="2"/>
        </w:numPr>
        <w:spacing w:line="480" w:lineRule="auto"/>
        <w:jc w:val="both"/>
      </w:pPr>
      <w:r>
        <w:t>Providing more information than was requested</w:t>
      </w:r>
    </w:p>
    <w:p w14:paraId="6303119B" w14:textId="77777777" w:rsidR="00FF74F4" w:rsidRDefault="00FF74F4" w:rsidP="009F6FEE">
      <w:pPr>
        <w:pStyle w:val="ListParagraph"/>
        <w:numPr>
          <w:ilvl w:val="0"/>
          <w:numId w:val="2"/>
        </w:numPr>
        <w:spacing w:line="480" w:lineRule="auto"/>
        <w:jc w:val="both"/>
      </w:pPr>
      <w:r>
        <w:t>Filling requests that could have been denied</w:t>
      </w:r>
    </w:p>
    <w:p w14:paraId="07C74439" w14:textId="77777777" w:rsidR="00FF74F4" w:rsidRDefault="00FF74F4" w:rsidP="009F6FEE">
      <w:pPr>
        <w:pStyle w:val="ListParagraph"/>
        <w:numPr>
          <w:ilvl w:val="0"/>
          <w:numId w:val="2"/>
        </w:numPr>
        <w:spacing w:line="480" w:lineRule="auto"/>
        <w:jc w:val="both"/>
      </w:pPr>
      <w:r>
        <w:t>Using Federal Express or UPS overnight to fill requests</w:t>
      </w:r>
    </w:p>
    <w:p w14:paraId="0290FB2E" w14:textId="77777777" w:rsidR="00FF74F4" w:rsidRPr="000952CA" w:rsidRDefault="00FF74F4" w:rsidP="009F6FEE">
      <w:pPr>
        <w:pStyle w:val="ListParagraph"/>
        <w:numPr>
          <w:ilvl w:val="0"/>
          <w:numId w:val="2"/>
        </w:numPr>
        <w:spacing w:line="480" w:lineRule="auto"/>
        <w:jc w:val="both"/>
      </w:pPr>
      <w:r>
        <w:t>Harassing telephone calls</w:t>
      </w:r>
    </w:p>
    <w:p w14:paraId="6AC06774" w14:textId="0A98C501" w:rsidR="00D52C8C" w:rsidRDefault="00D52C8C" w:rsidP="009F6FEE">
      <w:pPr>
        <w:spacing w:line="480" w:lineRule="auto"/>
        <w:jc w:val="both"/>
      </w:pPr>
      <w:proofErr w:type="spellStart"/>
      <w:r>
        <w:rPr>
          <w:b/>
        </w:rPr>
        <w:t>Fydateonly</w:t>
      </w:r>
      <w:proofErr w:type="spellEnd"/>
      <w:r>
        <w:rPr>
          <w:b/>
        </w:rPr>
        <w:t xml:space="preserve"> (0</w:t>
      </w:r>
      <w:proofErr w:type="gramStart"/>
      <w:r>
        <w:rPr>
          <w:b/>
        </w:rPr>
        <w:t>,1</w:t>
      </w:r>
      <w:proofErr w:type="gramEnd"/>
      <w:r>
        <w:rPr>
          <w:b/>
        </w:rPr>
        <w:t>, NA):</w:t>
      </w:r>
      <w:r>
        <w:t xml:space="preserve"> This is an indicator for whether the agency provided a FOIA docket as requested by fiscal year rather than calendar year. NA responses include those where there was no response.</w:t>
      </w:r>
    </w:p>
    <w:p w14:paraId="25645220" w14:textId="3B85BDE4" w:rsidR="00D52C8C" w:rsidRPr="00D52C8C" w:rsidRDefault="00D52C8C" w:rsidP="009F6FEE">
      <w:pPr>
        <w:spacing w:line="480" w:lineRule="auto"/>
        <w:jc w:val="both"/>
      </w:pPr>
      <w:r w:rsidRPr="00D52C8C">
        <w:rPr>
          <w:b/>
        </w:rPr>
        <w:t>Bad (0</w:t>
      </w:r>
      <w:proofErr w:type="gramStart"/>
      <w:r w:rsidRPr="00D52C8C">
        <w:rPr>
          <w:b/>
        </w:rPr>
        <w:t>,1</w:t>
      </w:r>
      <w:proofErr w:type="gramEnd"/>
      <w:r w:rsidRPr="00D52C8C">
        <w:rPr>
          <w:b/>
        </w:rPr>
        <w:t>)</w:t>
      </w:r>
      <w:r>
        <w:rPr>
          <w:b/>
        </w:rPr>
        <w:t>:</w:t>
      </w:r>
      <w:r>
        <w:t xml:space="preserve"> This is an indicator for whether the response quality was poor.</w:t>
      </w:r>
      <w:r w:rsidR="00F67F2D">
        <w:t xml:space="preserve"> A response was coded with a 1 if the response did not comply with the law or was not fully responsive. Reasons for a 1 coding included asking for notarized proof of identity, wrong information, partial year logs, </w:t>
      </w:r>
      <w:proofErr w:type="gramStart"/>
      <w:r w:rsidR="00F67F2D">
        <w:t>fee</w:t>
      </w:r>
      <w:proofErr w:type="gramEnd"/>
      <w:r w:rsidR="00F67F2D">
        <w:t xml:space="preserve"> requests.</w:t>
      </w:r>
    </w:p>
    <w:p w14:paraId="10200658" w14:textId="3EFFD76A" w:rsidR="00D52C8C" w:rsidRDefault="00D52C8C" w:rsidP="009F6FEE">
      <w:pPr>
        <w:spacing w:line="480" w:lineRule="auto"/>
        <w:jc w:val="both"/>
      </w:pPr>
      <w:r>
        <w:rPr>
          <w:b/>
        </w:rPr>
        <w:t>Fee (0</w:t>
      </w:r>
      <w:proofErr w:type="gramStart"/>
      <w:r>
        <w:rPr>
          <w:b/>
        </w:rPr>
        <w:t>,1</w:t>
      </w:r>
      <w:proofErr w:type="gramEnd"/>
      <w:r>
        <w:rPr>
          <w:b/>
        </w:rPr>
        <w:t xml:space="preserve">): </w:t>
      </w:r>
      <w:r>
        <w:t>This is an indicator for whether the agency tried to charge us a fee despite the fact that we were educational requesters.</w:t>
      </w:r>
    </w:p>
    <w:p w14:paraId="77F7C25D" w14:textId="4374FD67" w:rsidR="00D52C8C" w:rsidRPr="00D52C8C" w:rsidRDefault="00D52C8C" w:rsidP="009F6FEE">
      <w:pPr>
        <w:spacing w:line="480" w:lineRule="auto"/>
        <w:jc w:val="both"/>
      </w:pPr>
      <w:proofErr w:type="spellStart"/>
      <w:r w:rsidRPr="00D52C8C">
        <w:rPr>
          <w:b/>
        </w:rPr>
        <w:t>Norecords</w:t>
      </w:r>
      <w:proofErr w:type="spellEnd"/>
      <w:r w:rsidRPr="00D52C8C">
        <w:rPr>
          <w:b/>
        </w:rPr>
        <w:t xml:space="preserve"> (0</w:t>
      </w:r>
      <w:proofErr w:type="gramStart"/>
      <w:r w:rsidRPr="00D52C8C">
        <w:rPr>
          <w:b/>
        </w:rPr>
        <w:t>,1</w:t>
      </w:r>
      <w:proofErr w:type="gramEnd"/>
      <w:r w:rsidRPr="00D52C8C">
        <w:rPr>
          <w:b/>
        </w:rPr>
        <w:t>):</w:t>
      </w:r>
      <w:r>
        <w:t xml:space="preserve"> This is an indicator for whether the agency claimed it had no records responsive to our request.</w:t>
      </w:r>
    </w:p>
    <w:p w14:paraId="41E8B112" w14:textId="66AC185A" w:rsidR="00D52C8C" w:rsidRPr="00D52C8C" w:rsidRDefault="00D52C8C" w:rsidP="009F6FEE">
      <w:pPr>
        <w:spacing w:line="480" w:lineRule="auto"/>
        <w:jc w:val="both"/>
      </w:pPr>
      <w:proofErr w:type="spellStart"/>
      <w:r>
        <w:rPr>
          <w:b/>
        </w:rPr>
        <w:t>Texemption</w:t>
      </w:r>
      <w:proofErr w:type="spellEnd"/>
      <w:r>
        <w:rPr>
          <w:b/>
        </w:rPr>
        <w:t xml:space="preserve">: </w:t>
      </w:r>
      <w:r>
        <w:t>This is a count of the number of different types of exemptions claimed. This varies from 0 to 3.</w:t>
      </w:r>
    </w:p>
    <w:p w14:paraId="0F00B73B" w14:textId="219DE862" w:rsidR="008D45E6" w:rsidRPr="00A4782F" w:rsidRDefault="008D45E6" w:rsidP="009F6FEE">
      <w:pPr>
        <w:spacing w:line="480" w:lineRule="auto"/>
        <w:jc w:val="both"/>
        <w:rPr>
          <w:b/>
        </w:rPr>
      </w:pPr>
      <w:r w:rsidRPr="00EC6140">
        <w:rPr>
          <w:b/>
        </w:rPr>
        <w:t>Exemption (1-9):</w:t>
      </w:r>
      <w:r w:rsidR="00A4782F">
        <w:rPr>
          <w:b/>
        </w:rPr>
        <w:t xml:space="preserve"> </w:t>
      </w:r>
      <w:r w:rsidRPr="008D45E6">
        <w:t xml:space="preserve">Agencies responding to requests were able to block out information or refuse to provide information if the information fell under one or more of nine exemptions. </w:t>
      </w:r>
      <w:r>
        <w:t xml:space="preserve">The dataset </w:t>
      </w:r>
      <w:r>
        <w:lastRenderedPageBreak/>
        <w:t>includes indicators for whether or not the agency blocked out some information in their response</w:t>
      </w:r>
      <w:r w:rsidR="00A4782F">
        <w:t xml:space="preserve">. </w:t>
      </w:r>
      <w:r w:rsidRPr="008D45E6">
        <w:t>These exemptions are</w:t>
      </w:r>
      <w:r w:rsidRPr="008D45E6">
        <w:rPr>
          <w:rStyle w:val="FootnoteReference"/>
        </w:rPr>
        <w:footnoteReference w:id="3"/>
      </w:r>
      <w:r w:rsidRPr="008D45E6">
        <w:t xml:space="preserve">: </w:t>
      </w:r>
    </w:p>
    <w:p w14:paraId="298209A9" w14:textId="77777777" w:rsidR="008D45E6" w:rsidRDefault="008D45E6" w:rsidP="009F6FEE">
      <w:pPr>
        <w:spacing w:line="480" w:lineRule="auto"/>
        <w:ind w:left="720"/>
        <w:jc w:val="both"/>
        <w:rPr>
          <w:rStyle w:val="apple-converted-space"/>
          <w:color w:val="000000"/>
        </w:rPr>
      </w:pPr>
      <w:r w:rsidRPr="008D45E6">
        <w:rPr>
          <w:color w:val="000000"/>
        </w:rPr>
        <w:t>(b)(1) EXEMPTION - Protects Classified Matters of National Defense or Foreign Policy</w:t>
      </w:r>
      <w:r w:rsidRPr="008D45E6">
        <w:rPr>
          <w:rStyle w:val="apple-converted-space"/>
          <w:color w:val="000000"/>
        </w:rPr>
        <w:t xml:space="preserve">; </w:t>
      </w:r>
    </w:p>
    <w:p w14:paraId="7CB95DDA" w14:textId="77777777" w:rsidR="008D45E6" w:rsidRDefault="008D45E6" w:rsidP="009F6FEE">
      <w:pPr>
        <w:spacing w:line="480" w:lineRule="auto"/>
        <w:ind w:left="720"/>
        <w:jc w:val="both"/>
        <w:rPr>
          <w:color w:val="000000"/>
        </w:rPr>
      </w:pPr>
      <w:r w:rsidRPr="008D45E6">
        <w:rPr>
          <w:color w:val="000000"/>
        </w:rPr>
        <w:t xml:space="preserve">(b)(2) EXEMPTION - Internal Personnel Rules and Practices; </w:t>
      </w:r>
    </w:p>
    <w:p w14:paraId="6E525CA5" w14:textId="77777777" w:rsidR="008D45E6" w:rsidRDefault="008D45E6" w:rsidP="009F6FEE">
      <w:pPr>
        <w:spacing w:line="480" w:lineRule="auto"/>
        <w:ind w:left="720"/>
        <w:jc w:val="both"/>
        <w:rPr>
          <w:color w:val="000000"/>
        </w:rPr>
      </w:pPr>
      <w:r w:rsidRPr="008D45E6">
        <w:rPr>
          <w:color w:val="000000"/>
        </w:rPr>
        <w:t xml:space="preserve">(b)(3) EXEMPTION - Information Specifically Exempted by Other Statutes; </w:t>
      </w:r>
    </w:p>
    <w:p w14:paraId="68B907DF" w14:textId="77777777" w:rsidR="008D45E6" w:rsidRDefault="008D45E6" w:rsidP="009F6FEE">
      <w:pPr>
        <w:spacing w:line="480" w:lineRule="auto"/>
        <w:ind w:left="720"/>
        <w:jc w:val="both"/>
        <w:rPr>
          <w:color w:val="000000"/>
        </w:rPr>
      </w:pPr>
      <w:r w:rsidRPr="008D45E6">
        <w:rPr>
          <w:color w:val="000000"/>
        </w:rPr>
        <w:t xml:space="preserve">(b)(4) EXEMPTION - Trade Secrets, Commercial or Financial Information; </w:t>
      </w:r>
    </w:p>
    <w:p w14:paraId="1D6FDF70" w14:textId="77777777" w:rsidR="008D45E6" w:rsidRDefault="008D45E6" w:rsidP="009F6FEE">
      <w:pPr>
        <w:spacing w:line="480" w:lineRule="auto"/>
        <w:ind w:left="720"/>
        <w:jc w:val="both"/>
        <w:rPr>
          <w:color w:val="000000"/>
        </w:rPr>
      </w:pPr>
      <w:r w:rsidRPr="008D45E6">
        <w:rPr>
          <w:color w:val="000000"/>
        </w:rPr>
        <w:t xml:space="preserve">(b)(5) EXEMPTION - Privileged Interagency or Intra-Agency Memoranda or Letters; </w:t>
      </w:r>
    </w:p>
    <w:p w14:paraId="67DB94F7" w14:textId="77777777" w:rsidR="008D45E6" w:rsidRDefault="008D45E6" w:rsidP="009F6FEE">
      <w:pPr>
        <w:spacing w:line="480" w:lineRule="auto"/>
        <w:ind w:left="720"/>
        <w:jc w:val="both"/>
        <w:rPr>
          <w:color w:val="000000"/>
        </w:rPr>
      </w:pPr>
      <w:r w:rsidRPr="008D45E6">
        <w:rPr>
          <w:color w:val="000000"/>
        </w:rPr>
        <w:t xml:space="preserve">(b)(6) EXEMPTION - Personal Information Affecting an Individual's Privacy; </w:t>
      </w:r>
    </w:p>
    <w:p w14:paraId="6DEEBA4B" w14:textId="77777777" w:rsidR="008D45E6" w:rsidRDefault="008D45E6" w:rsidP="009F6FEE">
      <w:pPr>
        <w:spacing w:line="480" w:lineRule="auto"/>
        <w:ind w:left="720"/>
        <w:jc w:val="both"/>
        <w:rPr>
          <w:color w:val="000000"/>
        </w:rPr>
      </w:pPr>
      <w:r w:rsidRPr="008D45E6">
        <w:rPr>
          <w:color w:val="000000"/>
        </w:rPr>
        <w:t xml:space="preserve">(b)(7) EXEMPTION - Investigatory Records Compiled for Law Enforcement Purposes; </w:t>
      </w:r>
    </w:p>
    <w:p w14:paraId="7A6DC508" w14:textId="77777777" w:rsidR="008D45E6" w:rsidRDefault="008D45E6" w:rsidP="009F6FEE">
      <w:pPr>
        <w:spacing w:line="480" w:lineRule="auto"/>
        <w:ind w:left="720"/>
        <w:jc w:val="both"/>
        <w:rPr>
          <w:color w:val="000000"/>
        </w:rPr>
      </w:pPr>
      <w:r w:rsidRPr="008D45E6">
        <w:rPr>
          <w:color w:val="000000"/>
        </w:rPr>
        <w:t>(b)(8) EXEMPTION - Records of Financial Institutions;</w:t>
      </w:r>
    </w:p>
    <w:p w14:paraId="602CB26D" w14:textId="77777777" w:rsidR="000260E6" w:rsidRDefault="008D45E6" w:rsidP="009F6FEE">
      <w:pPr>
        <w:spacing w:line="480" w:lineRule="auto"/>
        <w:ind w:left="720"/>
        <w:jc w:val="both"/>
        <w:rPr>
          <w:color w:val="000000"/>
        </w:rPr>
      </w:pPr>
      <w:r w:rsidRPr="008D45E6">
        <w:rPr>
          <w:color w:val="000000"/>
        </w:rPr>
        <w:t>(b)(9) EXEMPTION - Geographical and Geophysical Information Concerning Wells.</w:t>
      </w:r>
    </w:p>
    <w:p w14:paraId="2DC5D671" w14:textId="77777777" w:rsidR="00FF74F4" w:rsidRDefault="00FF74F4" w:rsidP="009F6FEE">
      <w:pPr>
        <w:spacing w:line="480" w:lineRule="auto"/>
        <w:jc w:val="both"/>
        <w:rPr>
          <w:i/>
          <w:color w:val="000000"/>
        </w:rPr>
      </w:pPr>
      <w:r w:rsidRPr="00FF74F4">
        <w:rPr>
          <w:i/>
          <w:color w:val="000000"/>
        </w:rPr>
        <w:t>Agency and FOIA Office Data</w:t>
      </w:r>
    </w:p>
    <w:p w14:paraId="19C07489" w14:textId="77777777" w:rsidR="008D45E6" w:rsidRPr="00AE0858" w:rsidRDefault="008D45E6" w:rsidP="009F6FEE">
      <w:pPr>
        <w:spacing w:line="480" w:lineRule="auto"/>
        <w:jc w:val="both"/>
        <w:rPr>
          <w:color w:val="000000"/>
        </w:rPr>
      </w:pPr>
      <w:r w:rsidRPr="00EC6140">
        <w:rPr>
          <w:b/>
          <w:color w:val="000000"/>
        </w:rPr>
        <w:t>Employees</w:t>
      </w:r>
      <w:r w:rsidR="00A4782F">
        <w:rPr>
          <w:b/>
          <w:color w:val="000000"/>
        </w:rPr>
        <w:t xml:space="preserve"> </w:t>
      </w:r>
      <w:r w:rsidRPr="00EC6140">
        <w:rPr>
          <w:b/>
          <w:color w:val="000000"/>
        </w:rPr>
        <w:t>(FY2010)</w:t>
      </w:r>
      <w:r w:rsidR="00AE0858">
        <w:rPr>
          <w:b/>
          <w:color w:val="000000"/>
        </w:rPr>
        <w:t>—</w:t>
      </w:r>
      <w:r w:rsidR="00AE0858">
        <w:rPr>
          <w:color w:val="000000"/>
        </w:rPr>
        <w:t>Number of full-time FOIA employees in FY 2010 according to FOIA.gov.</w:t>
      </w:r>
    </w:p>
    <w:p w14:paraId="07436A30" w14:textId="77777777" w:rsidR="008D45E6" w:rsidRPr="00A4782F" w:rsidRDefault="008D45E6" w:rsidP="009F6FEE">
      <w:pPr>
        <w:spacing w:line="480" w:lineRule="auto"/>
        <w:jc w:val="both"/>
        <w:rPr>
          <w:color w:val="000000"/>
        </w:rPr>
      </w:pPr>
      <w:r w:rsidRPr="00EC6140">
        <w:rPr>
          <w:b/>
          <w:color w:val="000000"/>
        </w:rPr>
        <w:t>Staff</w:t>
      </w:r>
      <w:r w:rsidR="00A4782F">
        <w:rPr>
          <w:b/>
          <w:color w:val="000000"/>
        </w:rPr>
        <w:t xml:space="preserve"> </w:t>
      </w:r>
      <w:r w:rsidRPr="00EC6140">
        <w:rPr>
          <w:b/>
          <w:color w:val="000000"/>
        </w:rPr>
        <w:t>(FY2010)</w:t>
      </w:r>
      <w:r w:rsidR="00A4782F">
        <w:rPr>
          <w:b/>
          <w:color w:val="000000"/>
        </w:rPr>
        <w:t>—</w:t>
      </w:r>
      <w:r w:rsidR="00A4782F">
        <w:rPr>
          <w:color w:val="000000"/>
        </w:rPr>
        <w:t>Number of full-time FOIA staff in FY 2010 according to FOIA.gov.</w:t>
      </w:r>
    </w:p>
    <w:p w14:paraId="404D72AD" w14:textId="77777777" w:rsidR="008D45E6" w:rsidRPr="00AE0858" w:rsidRDefault="008D45E6" w:rsidP="009F6FEE">
      <w:pPr>
        <w:spacing w:line="480" w:lineRule="auto"/>
        <w:jc w:val="both"/>
        <w:rPr>
          <w:color w:val="000000"/>
        </w:rPr>
      </w:pPr>
      <w:r w:rsidRPr="00EC6140">
        <w:rPr>
          <w:b/>
          <w:color w:val="000000"/>
        </w:rPr>
        <w:t>Number of Requests (FY2010)</w:t>
      </w:r>
      <w:r w:rsidR="00AE0858">
        <w:rPr>
          <w:b/>
          <w:color w:val="000000"/>
        </w:rPr>
        <w:t>—</w:t>
      </w:r>
      <w:r w:rsidR="00AE0858">
        <w:rPr>
          <w:color w:val="000000"/>
        </w:rPr>
        <w:t>Number of FOIA requests the agency received in FY 2010.</w:t>
      </w:r>
    </w:p>
    <w:p w14:paraId="76353C5F" w14:textId="77777777" w:rsidR="008D45E6" w:rsidRPr="00AE0858" w:rsidRDefault="008D45E6" w:rsidP="009F6FEE">
      <w:pPr>
        <w:spacing w:line="480" w:lineRule="auto"/>
        <w:jc w:val="both"/>
        <w:rPr>
          <w:color w:val="000000"/>
        </w:rPr>
      </w:pPr>
      <w:r w:rsidRPr="00EC6140">
        <w:rPr>
          <w:b/>
          <w:color w:val="000000"/>
        </w:rPr>
        <w:t>Number Pending</w:t>
      </w:r>
      <w:r w:rsidR="00AE0858">
        <w:rPr>
          <w:b/>
          <w:color w:val="000000"/>
        </w:rPr>
        <w:t>—</w:t>
      </w:r>
      <w:r w:rsidR="00AE0858" w:rsidRPr="00AE0858">
        <w:rPr>
          <w:color w:val="000000"/>
        </w:rPr>
        <w:t>Number of requests pending at the end of FY 2010</w:t>
      </w:r>
      <w:r w:rsidR="003F7C8D">
        <w:rPr>
          <w:color w:val="000000"/>
        </w:rPr>
        <w:t>. These are requests where the agency has not taken a final action.</w:t>
      </w:r>
    </w:p>
    <w:p w14:paraId="735A0D6F" w14:textId="77777777" w:rsidR="008D45E6" w:rsidRPr="00EC6140" w:rsidRDefault="008D45E6" w:rsidP="009F6FEE">
      <w:pPr>
        <w:spacing w:line="480" w:lineRule="auto"/>
        <w:jc w:val="both"/>
        <w:rPr>
          <w:b/>
          <w:color w:val="000000"/>
        </w:rPr>
      </w:pPr>
      <w:r w:rsidRPr="00EC6140">
        <w:rPr>
          <w:b/>
          <w:color w:val="000000"/>
        </w:rPr>
        <w:t>Number of Full Grants</w:t>
      </w:r>
      <w:r w:rsidR="00AE0858">
        <w:rPr>
          <w:b/>
          <w:color w:val="000000"/>
        </w:rPr>
        <w:t>—</w:t>
      </w:r>
      <w:r w:rsidR="00AE0858" w:rsidRPr="00AE0858">
        <w:rPr>
          <w:color w:val="000000"/>
        </w:rPr>
        <w:t xml:space="preserve">Number of requests that were granted in </w:t>
      </w:r>
      <w:r w:rsidR="00AE0858">
        <w:rPr>
          <w:color w:val="000000"/>
        </w:rPr>
        <w:t xml:space="preserve">full by the agency </w:t>
      </w:r>
      <w:r w:rsidR="00AE0858" w:rsidRPr="00AE0858">
        <w:rPr>
          <w:color w:val="000000"/>
        </w:rPr>
        <w:t>in FY 2010.</w:t>
      </w:r>
    </w:p>
    <w:p w14:paraId="60C23E27" w14:textId="77777777" w:rsidR="003F7C8D" w:rsidRDefault="008D45E6" w:rsidP="009F6FEE">
      <w:pPr>
        <w:spacing w:line="480" w:lineRule="auto"/>
        <w:jc w:val="both"/>
        <w:rPr>
          <w:rStyle w:val="apple-style-span"/>
          <w:rFonts w:ascii="Calibri" w:hAnsi="Calibri"/>
          <w:color w:val="333333"/>
          <w:sz w:val="16"/>
          <w:szCs w:val="16"/>
        </w:rPr>
      </w:pPr>
      <w:r w:rsidRPr="00EC6140">
        <w:rPr>
          <w:b/>
          <w:color w:val="000000"/>
        </w:rPr>
        <w:t>Median Days for Simple</w:t>
      </w:r>
      <w:r w:rsidR="00AE0858">
        <w:rPr>
          <w:b/>
          <w:color w:val="000000"/>
        </w:rPr>
        <w:t>—</w:t>
      </w:r>
      <w:r w:rsidR="00AE0858">
        <w:rPr>
          <w:color w:val="000000"/>
        </w:rPr>
        <w:t xml:space="preserve">Median number of days the </w:t>
      </w:r>
      <w:r w:rsidR="00AE0858" w:rsidRPr="003F7C8D">
        <w:rPr>
          <w:color w:val="000000"/>
        </w:rPr>
        <w:t xml:space="preserve">agency took to respond to a simple request according to </w:t>
      </w:r>
      <w:r w:rsidR="00AE0858" w:rsidRPr="003F7C8D">
        <w:t xml:space="preserve">their own data. </w:t>
      </w:r>
      <w:r w:rsidR="003F7C8D" w:rsidRPr="003F7C8D">
        <w:t>According to FOIA.gov a simple request is “</w:t>
      </w:r>
      <w:r w:rsidR="003F7C8D" w:rsidRPr="003F7C8D">
        <w:rPr>
          <w:rStyle w:val="apple-style-span"/>
        </w:rPr>
        <w:t xml:space="preserve">A FOIA request that an </w:t>
      </w:r>
      <w:r w:rsidR="003F7C8D" w:rsidRPr="003F7C8D">
        <w:rPr>
          <w:rStyle w:val="apple-style-span"/>
        </w:rPr>
        <w:lastRenderedPageBreak/>
        <w:t>agency anticipates will involve a small volume of material or which will be able to be processed relatively quickly.”</w:t>
      </w:r>
      <w:r w:rsidR="003F7C8D">
        <w:rPr>
          <w:rStyle w:val="FootnoteReference"/>
        </w:rPr>
        <w:footnoteReference w:id="4"/>
      </w:r>
    </w:p>
    <w:p w14:paraId="16D74E7D" w14:textId="77777777" w:rsidR="00AE0858" w:rsidRPr="00AE0858" w:rsidRDefault="008D45E6" w:rsidP="009F6FEE">
      <w:pPr>
        <w:spacing w:line="480" w:lineRule="auto"/>
        <w:jc w:val="both"/>
        <w:rPr>
          <w:color w:val="000000"/>
        </w:rPr>
      </w:pPr>
      <w:r w:rsidRPr="00EC6140">
        <w:rPr>
          <w:b/>
          <w:color w:val="000000"/>
        </w:rPr>
        <w:t xml:space="preserve">Median Days </w:t>
      </w:r>
      <w:r w:rsidRPr="00AE0858">
        <w:rPr>
          <w:b/>
          <w:color w:val="000000"/>
        </w:rPr>
        <w:t>for Complex</w:t>
      </w:r>
      <w:r w:rsidR="00AE0858" w:rsidRPr="00AE0858">
        <w:rPr>
          <w:b/>
          <w:color w:val="000000"/>
        </w:rPr>
        <w:t>—</w:t>
      </w:r>
      <w:r w:rsidR="00AE0858" w:rsidRPr="00AE0858">
        <w:rPr>
          <w:color w:val="000000"/>
        </w:rPr>
        <w:t xml:space="preserve">Median number of days the agency took to respond to a complex request according to their own </w:t>
      </w:r>
      <w:r w:rsidR="00AE0858" w:rsidRPr="00AE0858">
        <w:t>data. According to FOIA.gov, a complex request is “</w:t>
      </w:r>
      <w:r w:rsidR="00AE0858" w:rsidRPr="00AE0858">
        <w:rPr>
          <w:rStyle w:val="apple-style-span"/>
        </w:rPr>
        <w:t>A FOIA request that an agency anticipates will involve a voluminous amount of material to review or will be time-consuming to process.”</w:t>
      </w:r>
      <w:r w:rsidR="00AE0858">
        <w:rPr>
          <w:rStyle w:val="apple-style-span"/>
        </w:rPr>
        <w:t xml:space="preserve"> The agency FOIA staffs make the determination of what constitutes a simple or complex request.</w:t>
      </w:r>
    </w:p>
    <w:p w14:paraId="5CEACF99" w14:textId="77777777" w:rsidR="00AE0858" w:rsidRPr="00AE0858" w:rsidRDefault="008D45E6" w:rsidP="009F6FEE">
      <w:pPr>
        <w:spacing w:line="480" w:lineRule="auto"/>
        <w:jc w:val="both"/>
        <w:rPr>
          <w:color w:val="000000"/>
        </w:rPr>
      </w:pPr>
      <w:r w:rsidRPr="00EC6140">
        <w:rPr>
          <w:b/>
          <w:color w:val="000000"/>
        </w:rPr>
        <w:t>Average Days for Simple</w:t>
      </w:r>
      <w:r w:rsidR="00AE0858">
        <w:rPr>
          <w:b/>
          <w:color w:val="000000"/>
        </w:rPr>
        <w:t>—</w:t>
      </w:r>
      <w:r w:rsidR="00AE0858">
        <w:rPr>
          <w:color w:val="000000"/>
        </w:rPr>
        <w:t xml:space="preserve">Average number of days the agency took to respond to a simple request according to their own data. </w:t>
      </w:r>
      <w:r w:rsidR="003F7C8D" w:rsidRPr="003F7C8D">
        <w:t>According to FOIA.gov a simple request is “</w:t>
      </w:r>
      <w:r w:rsidR="003F7C8D" w:rsidRPr="003F7C8D">
        <w:rPr>
          <w:rStyle w:val="apple-style-span"/>
        </w:rPr>
        <w:t>A FOIA request that an agency anticipates will involve a small volume of material or which will be able to be processed relatively quickly.”</w:t>
      </w:r>
      <w:r w:rsidR="003F7C8D">
        <w:rPr>
          <w:rStyle w:val="FootnoteReference"/>
        </w:rPr>
        <w:footnoteReference w:id="5"/>
      </w:r>
    </w:p>
    <w:p w14:paraId="372B17A5" w14:textId="77777777" w:rsidR="003F7C8D" w:rsidRDefault="008D45E6" w:rsidP="009F6FEE">
      <w:pPr>
        <w:spacing w:line="480" w:lineRule="auto"/>
        <w:jc w:val="both"/>
        <w:rPr>
          <w:rStyle w:val="apple-style-span"/>
        </w:rPr>
      </w:pPr>
      <w:r w:rsidRPr="00EC6140">
        <w:rPr>
          <w:b/>
          <w:color w:val="000000"/>
        </w:rPr>
        <w:t>Average Days for Complex</w:t>
      </w:r>
      <w:r w:rsidR="00AE0858">
        <w:rPr>
          <w:b/>
          <w:color w:val="000000"/>
        </w:rPr>
        <w:t>—</w:t>
      </w:r>
      <w:r w:rsidR="00AE0858">
        <w:rPr>
          <w:color w:val="000000"/>
        </w:rPr>
        <w:t xml:space="preserve">Average number of days the agency took to respond to a complex request according to their own data. </w:t>
      </w:r>
      <w:r w:rsidR="003F7C8D" w:rsidRPr="00AE0858">
        <w:t>According to FOIA.gov, a complex request is “</w:t>
      </w:r>
      <w:r w:rsidR="003F7C8D" w:rsidRPr="00AE0858">
        <w:rPr>
          <w:rStyle w:val="apple-style-span"/>
        </w:rPr>
        <w:t>A FOIA request that an agency anticipates will involve a voluminous amount of material to review or will be time-consuming to process.”</w:t>
      </w:r>
      <w:r w:rsidR="003F7C8D">
        <w:rPr>
          <w:rStyle w:val="apple-style-span"/>
        </w:rPr>
        <w:t xml:space="preserve"> The agency FOIA staffs make the determination of what constitutes a simple or complex request.</w:t>
      </w:r>
    </w:p>
    <w:p w14:paraId="0B36E079" w14:textId="2905E013" w:rsidR="008D45E6" w:rsidRDefault="008D45E6" w:rsidP="009F6FEE">
      <w:pPr>
        <w:spacing w:line="480" w:lineRule="auto"/>
        <w:jc w:val="both"/>
        <w:rPr>
          <w:color w:val="000000"/>
        </w:rPr>
      </w:pPr>
      <w:r w:rsidRPr="00EC6140">
        <w:rPr>
          <w:b/>
          <w:color w:val="000000"/>
        </w:rPr>
        <w:t>Number of Backlogged Requests</w:t>
      </w:r>
      <w:r w:rsidR="00AE0858">
        <w:rPr>
          <w:b/>
          <w:color w:val="000000"/>
        </w:rPr>
        <w:t>—</w:t>
      </w:r>
      <w:r w:rsidR="00AE0858">
        <w:rPr>
          <w:color w:val="000000"/>
        </w:rPr>
        <w:t>Number of requests pending beyond the statutory time period for a response at the end of FY 2010.</w:t>
      </w:r>
    </w:p>
    <w:p w14:paraId="6171F42B" w14:textId="29F4E412" w:rsidR="00E03DD2" w:rsidRDefault="00E03DD2" w:rsidP="009F6FEE">
      <w:pPr>
        <w:spacing w:line="480" w:lineRule="auto"/>
        <w:jc w:val="both"/>
        <w:rPr>
          <w:color w:val="000000"/>
        </w:rPr>
      </w:pPr>
      <w:proofErr w:type="spellStart"/>
      <w:r w:rsidRPr="00E03DD2">
        <w:rPr>
          <w:b/>
          <w:color w:val="000000"/>
        </w:rPr>
        <w:t>BenefitsPrograms</w:t>
      </w:r>
      <w:proofErr w:type="spellEnd"/>
      <w:r>
        <w:rPr>
          <w:color w:val="000000"/>
        </w:rPr>
        <w:t xml:space="preserve">: Number of programs implemented by agency that confer benefits. Agencies with more benefits programs are more likely to be subject of litigation. FOIA requests often accompany litigation for benefits. Source: </w:t>
      </w:r>
      <w:r w:rsidR="00730C7E">
        <w:rPr>
          <w:color w:val="000000"/>
        </w:rPr>
        <w:t>Benefits.gov.</w:t>
      </w:r>
    </w:p>
    <w:p w14:paraId="04990A0F" w14:textId="6E5C599F" w:rsidR="00730C7E" w:rsidRPr="00AE0858" w:rsidRDefault="00730C7E" w:rsidP="009F6FEE">
      <w:pPr>
        <w:spacing w:line="480" w:lineRule="auto"/>
        <w:jc w:val="both"/>
        <w:rPr>
          <w:color w:val="000000"/>
        </w:rPr>
      </w:pPr>
      <w:r>
        <w:rPr>
          <w:noProof/>
        </w:rPr>
        <w:lastRenderedPageBreak/>
        <w:drawing>
          <wp:inline distT="0" distB="0" distL="0" distR="0" wp14:anchorId="3E26B3F2" wp14:editId="6DD22E7E">
            <wp:extent cx="2190750" cy="2800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0" cy="2800350"/>
                    </a:xfrm>
                    <a:prstGeom prst="rect">
                      <a:avLst/>
                    </a:prstGeom>
                  </pic:spPr>
                </pic:pic>
              </a:graphicData>
            </a:graphic>
          </wp:inline>
        </w:drawing>
      </w:r>
      <w:r w:rsidRPr="00730C7E">
        <w:rPr>
          <w:color w:val="000000"/>
        </w:rPr>
        <w:t xml:space="preserve"> </w:t>
      </w:r>
      <w:r w:rsidRPr="00730C7E">
        <w:rPr>
          <w:noProof/>
          <w:color w:val="000000"/>
        </w:rPr>
        <w:drawing>
          <wp:inline distT="0" distB="0" distL="0" distR="0" wp14:anchorId="3550A3E8" wp14:editId="2B657593">
            <wp:extent cx="2162175" cy="15811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581150"/>
                    </a:xfrm>
                    <a:prstGeom prst="rect">
                      <a:avLst/>
                    </a:prstGeom>
                    <a:noFill/>
                    <a:ln>
                      <a:noFill/>
                    </a:ln>
                  </pic:spPr>
                </pic:pic>
              </a:graphicData>
            </a:graphic>
          </wp:inline>
        </w:drawing>
      </w:r>
    </w:p>
    <w:p w14:paraId="40033276" w14:textId="0F63A734" w:rsidR="00730C7E" w:rsidRPr="00730C7E" w:rsidRDefault="00730C7E" w:rsidP="009F6FEE">
      <w:pPr>
        <w:spacing w:line="480" w:lineRule="auto"/>
        <w:jc w:val="both"/>
        <w:rPr>
          <w:color w:val="000000"/>
        </w:rPr>
      </w:pPr>
      <w:r>
        <w:rPr>
          <w:color w:val="000000"/>
        </w:rPr>
        <w:t xml:space="preserve">Given the coarseness of the data, we use a simple indicator for whether or not an agency was responsible for benefits programs. </w:t>
      </w:r>
    </w:p>
    <w:p w14:paraId="534E3907" w14:textId="5962D7F2" w:rsidR="008D45E6" w:rsidRPr="00E93268" w:rsidRDefault="008D45E6" w:rsidP="009F6FEE">
      <w:pPr>
        <w:spacing w:line="480" w:lineRule="auto"/>
        <w:jc w:val="both"/>
        <w:rPr>
          <w:color w:val="000000"/>
        </w:rPr>
      </w:pPr>
      <w:r w:rsidRPr="00EC6140">
        <w:rPr>
          <w:b/>
          <w:color w:val="000000"/>
        </w:rPr>
        <w:t>Respondent on Initial Response</w:t>
      </w:r>
      <w:r w:rsidR="00E93268">
        <w:rPr>
          <w:b/>
          <w:color w:val="000000"/>
        </w:rPr>
        <w:t>—</w:t>
      </w:r>
      <w:proofErr w:type="gramStart"/>
      <w:r w:rsidR="00E93268">
        <w:rPr>
          <w:color w:val="000000"/>
        </w:rPr>
        <w:t>This</w:t>
      </w:r>
      <w:proofErr w:type="gramEnd"/>
      <w:r w:rsidR="00E93268">
        <w:rPr>
          <w:color w:val="000000"/>
        </w:rPr>
        <w:t xml:space="preserve"> is the person that confirmed the initial request.</w:t>
      </w:r>
    </w:p>
    <w:p w14:paraId="7AEEAEC9" w14:textId="2F826DF3" w:rsidR="00E93268" w:rsidRPr="00E93268" w:rsidRDefault="008D45E6" w:rsidP="009F6FEE">
      <w:pPr>
        <w:spacing w:line="480" w:lineRule="auto"/>
        <w:jc w:val="both"/>
        <w:rPr>
          <w:color w:val="000000"/>
        </w:rPr>
      </w:pPr>
      <w:r w:rsidRPr="00EC6140">
        <w:rPr>
          <w:b/>
          <w:color w:val="000000"/>
        </w:rPr>
        <w:t>Title</w:t>
      </w:r>
      <w:r w:rsidR="000F39FD">
        <w:rPr>
          <w:b/>
          <w:color w:val="000000"/>
        </w:rPr>
        <w:t>.2</w:t>
      </w:r>
      <w:r w:rsidR="00E93268">
        <w:rPr>
          <w:b/>
          <w:color w:val="000000"/>
        </w:rPr>
        <w:t>--</w:t>
      </w:r>
      <w:r w:rsidR="00E93268" w:rsidRPr="00E93268">
        <w:rPr>
          <w:color w:val="000000"/>
        </w:rPr>
        <w:t xml:space="preserve"> </w:t>
      </w:r>
      <w:r w:rsidR="00E93268">
        <w:rPr>
          <w:color w:val="000000"/>
        </w:rPr>
        <w:t>This is the title of the person that confirmed the initial request.</w:t>
      </w:r>
    </w:p>
    <w:p w14:paraId="31B44EC7" w14:textId="20F8CF28" w:rsidR="008D45E6" w:rsidRPr="00E93268" w:rsidRDefault="008D45E6" w:rsidP="009F6FEE">
      <w:pPr>
        <w:spacing w:line="480" w:lineRule="auto"/>
        <w:jc w:val="both"/>
        <w:rPr>
          <w:color w:val="000000"/>
        </w:rPr>
      </w:pPr>
      <w:r w:rsidRPr="00EC6140">
        <w:rPr>
          <w:b/>
          <w:color w:val="000000"/>
        </w:rPr>
        <w:t>Bio in Yellow Book</w:t>
      </w:r>
      <w:r w:rsidR="000F39FD">
        <w:rPr>
          <w:b/>
          <w:color w:val="000000"/>
        </w:rPr>
        <w:t xml:space="preserve"> (0</w:t>
      </w:r>
      <w:proofErr w:type="gramStart"/>
      <w:r w:rsidR="000F39FD">
        <w:rPr>
          <w:b/>
          <w:color w:val="000000"/>
        </w:rPr>
        <w:t>,1</w:t>
      </w:r>
      <w:proofErr w:type="gramEnd"/>
      <w:r w:rsidR="000F39FD">
        <w:rPr>
          <w:b/>
          <w:color w:val="000000"/>
        </w:rPr>
        <w:t>)</w:t>
      </w:r>
      <w:r w:rsidR="00E93268">
        <w:rPr>
          <w:b/>
          <w:color w:val="000000"/>
        </w:rPr>
        <w:t>—</w:t>
      </w:r>
      <w:r w:rsidR="00E93268">
        <w:rPr>
          <w:color w:val="000000"/>
        </w:rPr>
        <w:t xml:space="preserve">This indicates whether the </w:t>
      </w:r>
      <w:r w:rsidR="00E93268" w:rsidRPr="00E93268">
        <w:rPr>
          <w:i/>
          <w:color w:val="000000"/>
        </w:rPr>
        <w:t xml:space="preserve">Federal Yellow Book </w:t>
      </w:r>
      <w:r w:rsidR="00E93268">
        <w:rPr>
          <w:color w:val="000000"/>
        </w:rPr>
        <w:t>(</w:t>
      </w:r>
      <w:hyperlink r:id="rId9" w:history="1">
        <w:r w:rsidR="00E93268">
          <w:rPr>
            <w:rStyle w:val="Hyperlink"/>
          </w:rPr>
          <w:t>http://www.leadershipdirectories.com/</w:t>
        </w:r>
      </w:hyperlink>
      <w:r w:rsidR="00E93268">
        <w:t xml:space="preserve">, last accessed June 30, 2011) </w:t>
      </w:r>
      <w:r w:rsidR="00E93268">
        <w:rPr>
          <w:color w:val="000000"/>
        </w:rPr>
        <w:t>includes a listing for this person.</w:t>
      </w:r>
    </w:p>
    <w:p w14:paraId="6D3F0893" w14:textId="77777777" w:rsidR="00266927" w:rsidRDefault="008D45E6" w:rsidP="009F6FEE">
      <w:pPr>
        <w:spacing w:line="480" w:lineRule="auto"/>
        <w:jc w:val="both"/>
        <w:rPr>
          <w:color w:val="000000"/>
        </w:rPr>
      </w:pPr>
      <w:r w:rsidRPr="00EC6140">
        <w:rPr>
          <w:b/>
          <w:color w:val="000000"/>
        </w:rPr>
        <w:t>Appointment Authority</w:t>
      </w:r>
      <w:r w:rsidR="00E93268">
        <w:rPr>
          <w:b/>
          <w:color w:val="000000"/>
        </w:rPr>
        <w:t>—</w:t>
      </w:r>
      <w:r w:rsidR="00E93268">
        <w:rPr>
          <w:color w:val="000000"/>
        </w:rPr>
        <w:t xml:space="preserve">This column indicates whether the person is a career professional (CA), a career member of the Senior Executive Service (CA (SES)), a non-career member of the Senior Executive Service (NA), a Schedule C appointee (SC), or a Senate-confirmed political appointee. In cases where the person could not be found, these columns are left blank unless there is other evidence in the letter or </w:t>
      </w:r>
      <w:r w:rsidR="00266927" w:rsidRPr="00266927">
        <w:rPr>
          <w:i/>
          <w:color w:val="000000"/>
        </w:rPr>
        <w:t>Federal</w:t>
      </w:r>
      <w:r w:rsidR="00266927">
        <w:rPr>
          <w:color w:val="000000"/>
        </w:rPr>
        <w:t xml:space="preserve"> </w:t>
      </w:r>
      <w:r w:rsidR="00E93268" w:rsidRPr="00266927">
        <w:rPr>
          <w:i/>
          <w:color w:val="000000"/>
        </w:rPr>
        <w:t>Yellow Book</w:t>
      </w:r>
      <w:r w:rsidR="00E93268">
        <w:rPr>
          <w:color w:val="000000"/>
        </w:rPr>
        <w:t xml:space="preserve"> indicating the location of the FOIA office and its personnel. All persons not in the </w:t>
      </w:r>
      <w:r w:rsidR="00E93268" w:rsidRPr="00266927">
        <w:rPr>
          <w:i/>
          <w:color w:val="000000"/>
        </w:rPr>
        <w:t>Federal Yellow Book</w:t>
      </w:r>
      <w:r w:rsidR="00E93268">
        <w:rPr>
          <w:color w:val="000000"/>
        </w:rPr>
        <w:t xml:space="preserve"> are assumed to be career professionals.</w:t>
      </w:r>
      <w:r w:rsidR="00266927">
        <w:rPr>
          <w:color w:val="000000"/>
        </w:rPr>
        <w:t xml:space="preserve"> Below is an example of a FOIA contact from the Pension Benefit Guaranty Corporation.</w:t>
      </w:r>
    </w:p>
    <w:tbl>
      <w:tblPr>
        <w:tblW w:w="9481" w:type="dxa"/>
        <w:tblCellSpacing w:w="15" w:type="dxa"/>
        <w:tblCellMar>
          <w:left w:w="0" w:type="dxa"/>
          <w:right w:w="0" w:type="dxa"/>
        </w:tblCellMar>
        <w:tblLook w:val="04A0" w:firstRow="1" w:lastRow="0" w:firstColumn="1" w:lastColumn="0" w:noHBand="0" w:noVBand="1"/>
      </w:tblPr>
      <w:tblGrid>
        <w:gridCol w:w="9601"/>
      </w:tblGrid>
      <w:tr w:rsidR="00266927" w14:paraId="11360EA7" w14:textId="77777777" w:rsidTr="00266927">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541"/>
            </w:tblGrid>
            <w:tr w:rsidR="00266927" w14:paraId="2E1AEEA0" w14:textId="77777777">
              <w:trPr>
                <w:tblCellSpacing w:w="15" w:type="dxa"/>
              </w:trPr>
              <w:tc>
                <w:tcPr>
                  <w:tcW w:w="5000" w:type="pct"/>
                  <w:hideMark/>
                </w:tcPr>
                <w:tbl>
                  <w:tblPr>
                    <w:tblW w:w="9481" w:type="dxa"/>
                    <w:tblCellSpacing w:w="15" w:type="dxa"/>
                    <w:tblCellMar>
                      <w:left w:w="0" w:type="dxa"/>
                      <w:right w:w="0" w:type="dxa"/>
                    </w:tblCellMar>
                    <w:tblLook w:val="04A0" w:firstRow="1" w:lastRow="0" w:firstColumn="1" w:lastColumn="0" w:noHBand="0" w:noVBand="1"/>
                  </w:tblPr>
                  <w:tblGrid>
                    <w:gridCol w:w="9481"/>
                  </w:tblGrid>
                  <w:tr w:rsidR="00266927" w14:paraId="6DE5E62A" w14:textId="77777777">
                    <w:trPr>
                      <w:tblCellSpacing w:w="15" w:type="dxa"/>
                    </w:trPr>
                    <w:tc>
                      <w:tcPr>
                        <w:tcW w:w="0" w:type="auto"/>
                        <w:hideMark/>
                      </w:tcPr>
                      <w:p w14:paraId="2638D8E7" w14:textId="1B459342" w:rsidR="00266927" w:rsidRDefault="00FB4375" w:rsidP="009F6FEE">
                        <w:pPr>
                          <w:jc w:val="both"/>
                          <w:rPr>
                            <w:rFonts w:ascii="Arial" w:hAnsi="Arial" w:cs="Arial"/>
                            <w:b/>
                            <w:bCs/>
                            <w:color w:val="000080"/>
                            <w:sz w:val="23"/>
                            <w:szCs w:val="23"/>
                          </w:rPr>
                        </w:pPr>
                        <w:r>
                          <w:rPr>
                            <w:rFonts w:ascii="Arial" w:hAnsi="Arial" w:cs="Arial"/>
                            <w:b/>
                            <w:bCs/>
                            <w:noProof/>
                            <w:color w:val="000080"/>
                            <w:sz w:val="23"/>
                            <w:szCs w:val="23"/>
                          </w:rPr>
                          <w:lastRenderedPageBreak/>
                          <mc:AlternateContent>
                            <mc:Choice Requires="wps">
                              <w:drawing>
                                <wp:anchor distT="0" distB="0" distL="114300" distR="114300" simplePos="0" relativeHeight="251672576" behindDoc="0" locked="0" layoutInCell="1" allowOverlap="1" wp14:anchorId="1024C737" wp14:editId="74527B00">
                                  <wp:simplePos x="0" y="0"/>
                                  <wp:positionH relativeFrom="column">
                                    <wp:posOffset>-118745</wp:posOffset>
                                  </wp:positionH>
                                  <wp:positionV relativeFrom="paragraph">
                                    <wp:posOffset>-142875</wp:posOffset>
                                  </wp:positionV>
                                  <wp:extent cx="6232525" cy="3847465"/>
                                  <wp:effectExtent l="5080" t="8890" r="10795" b="10795"/>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525" cy="3847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A5F9" id="Rectangle 13" o:spid="_x0000_s1026" style="position:absolute;margin-left:-9.35pt;margin-top:-11.25pt;width:490.75pt;height:30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" filled="f"/>
                              </w:pict>
                            </mc:Fallback>
                          </mc:AlternateContent>
                        </w:r>
                        <w:r w:rsidR="00266927">
                          <w:rPr>
                            <w:rFonts w:ascii="Arial" w:hAnsi="Arial" w:cs="Arial"/>
                            <w:b/>
                            <w:bCs/>
                            <w:color w:val="000080"/>
                            <w:sz w:val="23"/>
                            <w:szCs w:val="23"/>
                          </w:rPr>
                          <w:t>E. William Fitzgerald</w:t>
                        </w:r>
                        <w:r w:rsidR="00266927">
                          <w:rPr>
                            <w:rStyle w:val="apple-converted-space"/>
                            <w:rFonts w:ascii="Arial" w:hAnsi="Arial" w:cs="Arial"/>
                            <w:b/>
                            <w:bCs/>
                            <w:color w:val="000080"/>
                            <w:sz w:val="23"/>
                            <w:szCs w:val="23"/>
                          </w:rPr>
                          <w:t> </w:t>
                        </w:r>
                        <w:r w:rsidR="00266927">
                          <w:rPr>
                            <w:rFonts w:ascii="Arial" w:hAnsi="Arial" w:cs="Arial"/>
                            <w:b/>
                            <w:bCs/>
                            <w:noProof/>
                            <w:color w:val="000000"/>
                            <w:sz w:val="14"/>
                            <w:szCs w:val="14"/>
                          </w:rPr>
                          <w:drawing>
                            <wp:inline distT="0" distB="0" distL="0" distR="0" wp14:anchorId="6DFB3E07" wp14:editId="5A878EF6">
                              <wp:extent cx="380365" cy="131445"/>
                              <wp:effectExtent l="19050" t="0" r="635" b="0"/>
                              <wp:docPr id="31" name="Picture 31" descr="http://lo.bvdep.com/images/document/V_Card_small.gif">
                                <a:hlinkClick xmlns:a="http://schemas.openxmlformats.org/drawingml/2006/main" r:id="rId10" tooltip="&quot;Click to download vC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o.bvdep.com/images/document/V_Card_small.gif">
                                        <a:hlinkClick r:id="rId10" tooltip="&quot;Click to download vCard&quot;"/>
                                      </pic:cNvPr>
                                      <pic:cNvPicPr>
                                        <a:picLocks noChangeAspect="1" noChangeArrowheads="1"/>
                                      </pic:cNvPicPr>
                                    </pic:nvPicPr>
                                    <pic:blipFill>
                                      <a:blip r:embed="rId11" cstate="print"/>
                                      <a:srcRect/>
                                      <a:stretch>
                                        <a:fillRect/>
                                      </a:stretch>
                                    </pic:blipFill>
                                    <pic:spPr bwMode="auto">
                                      <a:xfrm>
                                        <a:off x="0" y="0"/>
                                        <a:ext cx="380365" cy="131445"/>
                                      </a:xfrm>
                                      <a:prstGeom prst="rect">
                                        <a:avLst/>
                                      </a:prstGeom>
                                      <a:noFill/>
                                      <a:ln w="9525">
                                        <a:noFill/>
                                        <a:miter lim="800000"/>
                                        <a:headEnd/>
                                        <a:tailEnd/>
                                      </a:ln>
                                    </pic:spPr>
                                  </pic:pic>
                                </a:graphicData>
                              </a:graphic>
                            </wp:inline>
                          </w:drawing>
                        </w:r>
                        <w:r w:rsidR="00266927">
                          <w:rPr>
                            <w:rStyle w:val="apple-converted-space"/>
                            <w:rFonts w:ascii="Arial" w:hAnsi="Arial" w:cs="Arial"/>
                            <w:b/>
                            <w:bCs/>
                            <w:color w:val="000080"/>
                            <w:sz w:val="23"/>
                            <w:szCs w:val="23"/>
                          </w:rPr>
                          <w:t> </w:t>
                        </w:r>
                        <w:r w:rsidR="00266927">
                          <w:rPr>
                            <w:rFonts w:ascii="Arial" w:hAnsi="Arial" w:cs="Arial"/>
                            <w:b/>
                            <w:bCs/>
                            <w:noProof/>
                            <w:color w:val="000000"/>
                            <w:sz w:val="14"/>
                            <w:szCs w:val="14"/>
                          </w:rPr>
                          <w:drawing>
                            <wp:inline distT="0" distB="0" distL="0" distR="0" wp14:anchorId="1D8451B4" wp14:editId="783F342A">
                              <wp:extent cx="307340" cy="160655"/>
                              <wp:effectExtent l="19050" t="0" r="0" b="0"/>
                              <wp:docPr id="32" name="Picture 32" descr="http://lo.bvdep.com/images/document/icon_ln.gif">
                                <a:hlinkClick xmlns:a="http://schemas.openxmlformats.org/drawingml/2006/main" r:id="rId12" tooltip="&quot;Click to view this person's netw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o.bvdep.com/images/document/icon_ln.gif">
                                        <a:hlinkClick r:id="rId12" tooltip="&quot;Click to view this person's network&quot;"/>
                                      </pic:cNvPr>
                                      <pic:cNvPicPr>
                                        <a:picLocks noChangeAspect="1" noChangeArrowheads="1"/>
                                      </pic:cNvPicPr>
                                    </pic:nvPicPr>
                                    <pic:blipFill>
                                      <a:blip r:embed="rId13" cstate="print"/>
                                      <a:srcRect/>
                                      <a:stretch>
                                        <a:fillRect/>
                                      </a:stretch>
                                    </pic:blipFill>
                                    <pic:spPr bwMode="auto">
                                      <a:xfrm>
                                        <a:off x="0" y="0"/>
                                        <a:ext cx="307340" cy="160655"/>
                                      </a:xfrm>
                                      <a:prstGeom prst="rect">
                                        <a:avLst/>
                                      </a:prstGeom>
                                      <a:noFill/>
                                      <a:ln w="9525">
                                        <a:noFill/>
                                        <a:miter lim="800000"/>
                                        <a:headEnd/>
                                        <a:tailEnd/>
                                      </a:ln>
                                    </pic:spPr>
                                  </pic:pic>
                                </a:graphicData>
                              </a:graphic>
                            </wp:inline>
                          </w:drawing>
                        </w:r>
                      </w:p>
                    </w:tc>
                  </w:tr>
                  <w:tr w:rsidR="00266927" w14:paraId="69E91456" w14:textId="77777777">
                    <w:trPr>
                      <w:tblCellSpacing w:w="15" w:type="dxa"/>
                    </w:trPr>
                    <w:tc>
                      <w:tcPr>
                        <w:tcW w:w="0" w:type="auto"/>
                        <w:hideMark/>
                      </w:tcPr>
                      <w:p w14:paraId="27BBC7B4" w14:textId="77777777" w:rsidR="00266927" w:rsidRDefault="00266927" w:rsidP="009F6FEE">
                        <w:pPr>
                          <w:jc w:val="both"/>
                          <w:rPr>
                            <w:rFonts w:ascii="Arial" w:hAnsi="Arial" w:cs="Arial"/>
                            <w:color w:val="000000"/>
                            <w:sz w:val="8"/>
                            <w:szCs w:val="8"/>
                          </w:rPr>
                        </w:pPr>
                        <w:r>
                          <w:rPr>
                            <w:rFonts w:ascii="Arial" w:hAnsi="Arial" w:cs="Arial"/>
                            <w:color w:val="000000"/>
                            <w:sz w:val="8"/>
                            <w:szCs w:val="8"/>
                          </w:rPr>
                          <w:t> </w:t>
                        </w:r>
                      </w:p>
                    </w:tc>
                  </w:tr>
                  <w:tr w:rsidR="00266927" w14:paraId="71E53EA1" w14:textId="77777777">
                    <w:trPr>
                      <w:tblCellSpacing w:w="15" w:type="dxa"/>
                    </w:trPr>
                    <w:tc>
                      <w:tcPr>
                        <w:tcW w:w="0" w:type="auto"/>
                        <w:hideMark/>
                      </w:tcPr>
                      <w:p w14:paraId="2DBE202E"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Leadership® ID 2004691172</w:t>
                        </w:r>
                      </w:p>
                    </w:tc>
                  </w:tr>
                  <w:tr w:rsidR="00266927" w14:paraId="64C0AD28" w14:textId="77777777">
                    <w:trPr>
                      <w:tblCellSpacing w:w="15" w:type="dxa"/>
                    </w:trPr>
                    <w:tc>
                      <w:tcPr>
                        <w:tcW w:w="0" w:type="auto"/>
                        <w:hideMark/>
                      </w:tcPr>
                      <w:p w14:paraId="02A08FFE" w14:textId="77777777" w:rsidR="00266927" w:rsidRDefault="00266927" w:rsidP="009F6FEE">
                        <w:pPr>
                          <w:jc w:val="both"/>
                          <w:rPr>
                            <w:rFonts w:ascii="Arial" w:hAnsi="Arial" w:cs="Arial"/>
                            <w:color w:val="000000"/>
                            <w:sz w:val="14"/>
                            <w:szCs w:val="14"/>
                          </w:rPr>
                        </w:pPr>
                        <w:r>
                          <w:rPr>
                            <w:rFonts w:ascii="Arial" w:hAnsi="Arial" w:cs="Arial"/>
                            <w:noProof/>
                            <w:color w:val="000000"/>
                            <w:sz w:val="14"/>
                            <w:szCs w:val="14"/>
                          </w:rPr>
                          <w:drawing>
                            <wp:inline distT="0" distB="0" distL="0" distR="0" wp14:anchorId="2BC11DEE" wp14:editId="2AA5F1E1">
                              <wp:extent cx="241300" cy="124460"/>
                              <wp:effectExtent l="19050" t="0" r="6350" b="0"/>
                              <wp:docPr id="33" name="Picture 33" descr="http://lo.bvdep.com/images/recent_articles_icon.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o.bvdep.com/images/recent_articles_icon.gif">
                                        <a:hlinkClick r:id="rId14" tgtFrame="&quot;_blank&quot;"/>
                                      </pic:cNvPr>
                                      <pic:cNvPicPr>
                                        <a:picLocks noChangeAspect="1" noChangeArrowheads="1"/>
                                      </pic:cNvPicPr>
                                    </pic:nvPicPr>
                                    <pic:blipFill>
                                      <a:blip r:embed="rId15" cstate="print"/>
                                      <a:srcRect/>
                                      <a:stretch>
                                        <a:fillRect/>
                                      </a:stretch>
                                    </pic:blipFill>
                                    <pic:spPr bwMode="auto">
                                      <a:xfrm>
                                        <a:off x="0" y="0"/>
                                        <a:ext cx="241300" cy="124460"/>
                                      </a:xfrm>
                                      <a:prstGeom prst="rect">
                                        <a:avLst/>
                                      </a:prstGeom>
                                      <a:noFill/>
                                      <a:ln w="9525">
                                        <a:noFill/>
                                        <a:miter lim="800000"/>
                                        <a:headEnd/>
                                        <a:tailEnd/>
                                      </a:ln>
                                    </pic:spPr>
                                  </pic:pic>
                                </a:graphicData>
                              </a:graphic>
                            </wp:inline>
                          </w:drawing>
                        </w:r>
                        <w:r>
                          <w:rPr>
                            <w:rStyle w:val="apple-converted-space"/>
                            <w:rFonts w:ascii="Arial" w:hAnsi="Arial" w:cs="Arial"/>
                            <w:color w:val="000000"/>
                            <w:sz w:val="14"/>
                            <w:szCs w:val="14"/>
                          </w:rPr>
                          <w:t> </w:t>
                        </w:r>
                        <w:hyperlink r:id="rId16" w:tgtFrame="_blank" w:history="1">
                          <w:r>
                            <w:rPr>
                              <w:rStyle w:val="Hyperlink"/>
                              <w:rFonts w:ascii="Arial" w:hAnsi="Arial" w:cs="Arial"/>
                              <w:color w:val="000000"/>
                              <w:sz w:val="14"/>
                              <w:szCs w:val="14"/>
                              <w:u w:val="none"/>
                            </w:rPr>
                            <w:t>Search online for more about this person</w:t>
                          </w:r>
                        </w:hyperlink>
                      </w:p>
                    </w:tc>
                  </w:tr>
                </w:tbl>
                <w:p w14:paraId="4EBFC5FA" w14:textId="77777777" w:rsidR="00266927" w:rsidRDefault="00266927" w:rsidP="009F6FEE">
                  <w:pPr>
                    <w:jc w:val="both"/>
                    <w:rPr>
                      <w:rFonts w:ascii="Arial" w:hAnsi="Arial" w:cs="Arial"/>
                      <w:color w:val="000000"/>
                      <w:sz w:val="14"/>
                      <w:szCs w:val="14"/>
                    </w:rPr>
                  </w:pPr>
                </w:p>
              </w:tc>
            </w:tr>
          </w:tbl>
          <w:p w14:paraId="5A412BB1" w14:textId="77777777" w:rsidR="00266927" w:rsidRDefault="00266927" w:rsidP="009F6FEE">
            <w:pPr>
              <w:jc w:val="both"/>
              <w:rPr>
                <w:rFonts w:ascii="Arial" w:hAnsi="Arial" w:cs="Arial"/>
                <w:color w:val="000000"/>
                <w:sz w:val="14"/>
                <w:szCs w:val="14"/>
              </w:rPr>
            </w:pPr>
          </w:p>
        </w:tc>
      </w:tr>
      <w:tr w:rsidR="00266927" w14:paraId="71631381" w14:textId="77777777" w:rsidTr="00266927">
        <w:trPr>
          <w:tblCellSpacing w:w="15" w:type="dxa"/>
        </w:trPr>
        <w:tc>
          <w:tcPr>
            <w:tcW w:w="0" w:type="auto"/>
            <w:hideMark/>
          </w:tcPr>
          <w:p w14:paraId="61DCDEFA"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 </w:t>
            </w:r>
          </w:p>
        </w:tc>
      </w:tr>
      <w:tr w:rsidR="00266927" w14:paraId="199F3C8C" w14:textId="77777777" w:rsidTr="00266927">
        <w:trPr>
          <w:tblCellSpacing w:w="15" w:type="dxa"/>
        </w:trPr>
        <w:tc>
          <w:tcPr>
            <w:tcW w:w="0" w:type="auto"/>
            <w:hideMark/>
          </w:tcPr>
          <w:p w14:paraId="00F03148" w14:textId="77777777" w:rsidR="00266927" w:rsidRDefault="00266927" w:rsidP="009F6FEE">
            <w:pPr>
              <w:jc w:val="both"/>
              <w:rPr>
                <w:rFonts w:ascii="Arial" w:hAnsi="Arial" w:cs="Arial"/>
                <w:color w:val="000080"/>
                <w:sz w:val="21"/>
                <w:szCs w:val="21"/>
              </w:rPr>
            </w:pPr>
            <w:r>
              <w:rPr>
                <w:rFonts w:ascii="Arial" w:hAnsi="Arial" w:cs="Arial"/>
                <w:color w:val="000080"/>
                <w:sz w:val="21"/>
                <w:szCs w:val="21"/>
              </w:rPr>
              <w:t>Best Contact Information</w:t>
            </w:r>
          </w:p>
        </w:tc>
      </w:tr>
      <w:tr w:rsidR="00266927" w14:paraId="6B280820" w14:textId="77777777" w:rsidTr="00266927">
        <w:trPr>
          <w:tblCellSpacing w:w="15" w:type="dxa"/>
        </w:trPr>
        <w:tc>
          <w:tcPr>
            <w:tcW w:w="0" w:type="auto"/>
            <w:hideMark/>
          </w:tcPr>
          <w:p w14:paraId="0CE292D7" w14:textId="77777777" w:rsidR="00266927" w:rsidRDefault="00266927" w:rsidP="009F6FEE">
            <w:pPr>
              <w:jc w:val="both"/>
              <w:rPr>
                <w:rFonts w:ascii="Arial" w:hAnsi="Arial" w:cs="Arial"/>
                <w:color w:val="000000"/>
                <w:sz w:val="8"/>
                <w:szCs w:val="8"/>
              </w:rPr>
            </w:pPr>
            <w:r>
              <w:rPr>
                <w:rFonts w:ascii="Arial" w:hAnsi="Arial" w:cs="Arial"/>
                <w:color w:val="000000"/>
                <w:sz w:val="8"/>
                <w:szCs w:val="8"/>
              </w:rPr>
              <w:t> </w:t>
            </w:r>
          </w:p>
        </w:tc>
      </w:tr>
      <w:tr w:rsidR="00266927" w14:paraId="38C1BFD7" w14:textId="77777777" w:rsidTr="00266927">
        <w:trPr>
          <w:tblCellSpacing w:w="15" w:type="dxa"/>
        </w:trPr>
        <w:tc>
          <w:tcPr>
            <w:tcW w:w="0" w:type="auto"/>
            <w:hideMark/>
          </w:tcPr>
          <w:p w14:paraId="79CC96CA"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Director, Disclosure Division (FOIA/Privacy Act), Office of the General Counsel, Pension Benefit Guaranty Corporation</w:t>
            </w:r>
          </w:p>
        </w:tc>
      </w:tr>
      <w:tr w:rsidR="00266927" w14:paraId="44890CFC" w14:textId="77777777" w:rsidTr="00266927">
        <w:trPr>
          <w:tblCellSpacing w:w="15" w:type="dxa"/>
        </w:trPr>
        <w:tc>
          <w:tcPr>
            <w:tcW w:w="0" w:type="auto"/>
            <w:tcMar>
              <w:top w:w="40" w:type="dxa"/>
              <w:left w:w="0" w:type="dxa"/>
              <w:bottom w:w="0" w:type="dxa"/>
              <w:right w:w="0" w:type="dxa"/>
            </w:tcMar>
            <w:hideMark/>
          </w:tcPr>
          <w:p w14:paraId="7BE969B4"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3B3D03FA" wp14:editId="2ECE7359">
                  <wp:extent cx="205105" cy="139065"/>
                  <wp:effectExtent l="19050" t="0" r="4445" b="0"/>
                  <wp:docPr id="34" name="Picture 34"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p>
        </w:tc>
      </w:tr>
      <w:tr w:rsidR="00266927" w14:paraId="71D895E9" w14:textId="77777777" w:rsidTr="00266927">
        <w:trPr>
          <w:tblCellSpacing w:w="15" w:type="dxa"/>
        </w:trPr>
        <w:tc>
          <w:tcPr>
            <w:tcW w:w="0" w:type="auto"/>
            <w:tcMar>
              <w:top w:w="40" w:type="dxa"/>
              <w:left w:w="0" w:type="dxa"/>
              <w:bottom w:w="0" w:type="dxa"/>
              <w:right w:w="0" w:type="dxa"/>
            </w:tcMar>
            <w:hideMark/>
          </w:tcPr>
          <w:p w14:paraId="58C3FD48"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Fax: (202) 326-4042</w:t>
            </w:r>
          </w:p>
        </w:tc>
      </w:tr>
      <w:tr w:rsidR="00266927" w14:paraId="08EFBD28" w14:textId="77777777" w:rsidTr="00266927">
        <w:trPr>
          <w:tblCellSpacing w:w="15" w:type="dxa"/>
        </w:trPr>
        <w:tc>
          <w:tcPr>
            <w:tcW w:w="0" w:type="auto"/>
            <w:tcMar>
              <w:top w:w="40" w:type="dxa"/>
              <w:left w:w="0" w:type="dxa"/>
              <w:bottom w:w="0" w:type="dxa"/>
              <w:right w:w="0" w:type="dxa"/>
            </w:tcMar>
            <w:hideMark/>
          </w:tcPr>
          <w:p w14:paraId="1CFBF4EC"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Direct-Dial: (202) 326-4040</w:t>
            </w:r>
          </w:p>
        </w:tc>
      </w:tr>
      <w:tr w:rsidR="00266927" w14:paraId="3D448AAF" w14:textId="77777777" w:rsidTr="00266927">
        <w:trPr>
          <w:tblCellSpacing w:w="15" w:type="dxa"/>
        </w:trPr>
        <w:tc>
          <w:tcPr>
            <w:tcW w:w="0" w:type="auto"/>
            <w:tcMar>
              <w:top w:w="40" w:type="dxa"/>
              <w:left w:w="0" w:type="dxa"/>
              <w:bottom w:w="0" w:type="dxa"/>
              <w:right w:w="0" w:type="dxa"/>
            </w:tcMar>
            <w:hideMark/>
          </w:tcPr>
          <w:p w14:paraId="70385C94" w14:textId="77777777" w:rsidR="00266927" w:rsidRDefault="00BE5941" w:rsidP="009F6FEE">
            <w:pPr>
              <w:jc w:val="both"/>
              <w:rPr>
                <w:rFonts w:ascii="Arial" w:hAnsi="Arial" w:cs="Arial"/>
                <w:color w:val="000000"/>
                <w:sz w:val="14"/>
                <w:szCs w:val="14"/>
              </w:rPr>
            </w:pPr>
            <w:hyperlink r:id="rId19" w:history="1">
              <w:r w:rsidR="00266927">
                <w:rPr>
                  <w:rStyle w:val="Hyperlink"/>
                  <w:rFonts w:ascii="Arial" w:hAnsi="Arial" w:cs="Arial"/>
                  <w:color w:val="000000"/>
                  <w:sz w:val="14"/>
                  <w:szCs w:val="14"/>
                  <w:u w:val="none"/>
                </w:rPr>
                <w:t>fitzgerald.bill@pbgc.gov</w:t>
              </w:r>
            </w:hyperlink>
          </w:p>
        </w:tc>
      </w:tr>
      <w:tr w:rsidR="00266927" w14:paraId="6E4C06C4" w14:textId="77777777" w:rsidTr="00266927">
        <w:trPr>
          <w:tblCellSpacing w:w="15" w:type="dxa"/>
        </w:trPr>
        <w:tc>
          <w:tcPr>
            <w:tcW w:w="0" w:type="auto"/>
            <w:hideMark/>
          </w:tcPr>
          <w:p w14:paraId="09892B3A"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 </w:t>
            </w:r>
          </w:p>
        </w:tc>
      </w:tr>
      <w:tr w:rsidR="00266927" w14:paraId="75697B2B" w14:textId="77777777" w:rsidTr="00266927">
        <w:trPr>
          <w:tblCellSpacing w:w="15" w:type="dxa"/>
        </w:trPr>
        <w:tc>
          <w:tcPr>
            <w:tcW w:w="0" w:type="auto"/>
            <w:hideMark/>
          </w:tcPr>
          <w:p w14:paraId="75AC7DF8" w14:textId="77777777" w:rsidR="00266927" w:rsidRDefault="00266927" w:rsidP="009F6FEE">
            <w:pPr>
              <w:jc w:val="both"/>
              <w:rPr>
                <w:rFonts w:ascii="Arial" w:hAnsi="Arial" w:cs="Arial"/>
                <w:color w:val="000080"/>
                <w:sz w:val="21"/>
                <w:szCs w:val="21"/>
              </w:rPr>
            </w:pPr>
            <w:r>
              <w:rPr>
                <w:rFonts w:ascii="Arial" w:hAnsi="Arial" w:cs="Arial"/>
                <w:color w:val="000080"/>
                <w:sz w:val="21"/>
                <w:szCs w:val="21"/>
              </w:rPr>
              <w:t>Positions</w:t>
            </w:r>
          </w:p>
        </w:tc>
      </w:tr>
      <w:tr w:rsidR="00266927" w14:paraId="249DFEB3" w14:textId="77777777" w:rsidTr="00266927">
        <w:trPr>
          <w:tblCellSpacing w:w="15" w:type="dxa"/>
        </w:trPr>
        <w:tc>
          <w:tcPr>
            <w:tcW w:w="0" w:type="auto"/>
            <w:hideMark/>
          </w:tcPr>
          <w:p w14:paraId="6AA705FF" w14:textId="77777777" w:rsidR="00266927" w:rsidRDefault="00266927" w:rsidP="009F6FEE">
            <w:pPr>
              <w:jc w:val="both"/>
              <w:rPr>
                <w:rFonts w:ascii="Arial" w:hAnsi="Arial" w:cs="Arial"/>
                <w:color w:val="000000"/>
                <w:sz w:val="8"/>
                <w:szCs w:val="8"/>
              </w:rPr>
            </w:pPr>
            <w:r>
              <w:rPr>
                <w:rFonts w:ascii="Arial" w:hAnsi="Arial" w:cs="Arial"/>
                <w:color w:val="000000"/>
                <w:sz w:val="8"/>
                <w:szCs w:val="8"/>
              </w:rPr>
              <w:t> </w:t>
            </w:r>
          </w:p>
        </w:tc>
      </w:tr>
      <w:tr w:rsidR="00266927" w14:paraId="408CF906" w14:textId="77777777" w:rsidTr="00266927">
        <w:trPr>
          <w:tblCellSpacing w:w="15" w:type="dxa"/>
        </w:trPr>
        <w:tc>
          <w:tcPr>
            <w:tcW w:w="0" w:type="auto"/>
            <w:hideMark/>
          </w:tcPr>
          <w:p w14:paraId="5C40E48E" w14:textId="77777777" w:rsidR="00266927" w:rsidRDefault="00266927" w:rsidP="009F6FEE">
            <w:pPr>
              <w:jc w:val="both"/>
              <w:rPr>
                <w:rFonts w:ascii="Arial" w:hAnsi="Arial" w:cs="Arial"/>
                <w:b/>
                <w:bCs/>
                <w:color w:val="000080"/>
                <w:sz w:val="16"/>
                <w:szCs w:val="16"/>
              </w:rPr>
            </w:pPr>
            <w:r>
              <w:rPr>
                <w:rFonts w:ascii="Arial" w:hAnsi="Arial" w:cs="Arial"/>
                <w:b/>
                <w:bCs/>
                <w:color w:val="000080"/>
                <w:sz w:val="16"/>
                <w:szCs w:val="16"/>
              </w:rPr>
              <w:t>Director, Disclosure Division (FOIA/Privacy Act), Office of the General Counsel, Pension Benefit Guaranty Corporation</w:t>
            </w:r>
            <w:r>
              <w:rPr>
                <w:rFonts w:ascii="Arial" w:hAnsi="Arial" w:cs="Arial"/>
                <w:b/>
                <w:bCs/>
                <w:noProof/>
                <w:color w:val="000000"/>
                <w:sz w:val="14"/>
                <w:szCs w:val="14"/>
              </w:rPr>
              <w:drawing>
                <wp:inline distT="0" distB="0" distL="0" distR="0" wp14:anchorId="412BFBE4" wp14:editId="4F6B3C82">
                  <wp:extent cx="351155" cy="153670"/>
                  <wp:effectExtent l="19050" t="0" r="0" b="0"/>
                  <wp:docPr id="35" name="Picture 35" descr="Click to view this position within the Organization's list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to view this position within the Organization's listing">
                            <a:hlinkClick r:id="rId20"/>
                          </pic:cNvPr>
                          <pic:cNvPicPr>
                            <a:picLocks noChangeAspect="1" noChangeArrowheads="1"/>
                          </pic:cNvPicPr>
                        </pic:nvPicPr>
                        <pic:blipFill>
                          <a:blip r:embed="rId21" cstate="print"/>
                          <a:srcRect/>
                          <a:stretch>
                            <a:fillRect/>
                          </a:stretch>
                        </pic:blipFill>
                        <pic:spPr bwMode="auto">
                          <a:xfrm>
                            <a:off x="0" y="0"/>
                            <a:ext cx="351155" cy="153670"/>
                          </a:xfrm>
                          <a:prstGeom prst="rect">
                            <a:avLst/>
                          </a:prstGeom>
                          <a:noFill/>
                          <a:ln w="9525">
                            <a:noFill/>
                            <a:miter lim="800000"/>
                            <a:headEnd/>
                            <a:tailEnd/>
                          </a:ln>
                        </pic:spPr>
                      </pic:pic>
                    </a:graphicData>
                  </a:graphic>
                </wp:inline>
              </w:drawing>
            </w:r>
          </w:p>
        </w:tc>
      </w:tr>
      <w:tr w:rsidR="00266927" w14:paraId="00399336" w14:textId="77777777" w:rsidTr="00266927">
        <w:trPr>
          <w:tblCellSpacing w:w="15" w:type="dxa"/>
        </w:trPr>
        <w:tc>
          <w:tcPr>
            <w:tcW w:w="0" w:type="auto"/>
            <w:hideMark/>
          </w:tcPr>
          <w:p w14:paraId="7B3A220F"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Reports to: Judith R. Starr, General Counsel, Office of the General Counsel, Office of the Director, Pension Benefit Guaranty Corporation</w:t>
            </w:r>
          </w:p>
        </w:tc>
      </w:tr>
      <w:tr w:rsidR="00266927" w14:paraId="1F1DA109" w14:textId="77777777" w:rsidTr="00266927">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84"/>
              <w:gridCol w:w="8497"/>
            </w:tblGrid>
            <w:tr w:rsidR="00266927" w14:paraId="22A03AB4" w14:textId="77777777">
              <w:trPr>
                <w:tblCellSpacing w:w="15" w:type="dxa"/>
              </w:trPr>
              <w:tc>
                <w:tcPr>
                  <w:tcW w:w="500" w:type="pct"/>
                  <w:hideMark/>
                </w:tcPr>
                <w:p w14:paraId="3BD1388A"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Location:</w:t>
                  </w:r>
                </w:p>
              </w:tc>
              <w:tc>
                <w:tcPr>
                  <w:tcW w:w="0" w:type="auto"/>
                  <w:hideMark/>
                </w:tcPr>
                <w:p w14:paraId="6472C945"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5FFD2988" wp14:editId="0E2F2C3D">
                        <wp:extent cx="205105" cy="139065"/>
                        <wp:effectExtent l="19050" t="0" r="4445" b="0"/>
                        <wp:docPr id="36" name="Picture 36"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r>
                    <w:rPr>
                      <w:rFonts w:ascii="Arial" w:hAnsi="Arial" w:cs="Arial"/>
                      <w:color w:val="000000"/>
                      <w:sz w:val="14"/>
                      <w:szCs w:val="14"/>
                    </w:rPr>
                    <w:br/>
                    <w:t>Fax: (202) 326-4042</w:t>
                  </w:r>
                  <w:r>
                    <w:rPr>
                      <w:rFonts w:ascii="Arial" w:hAnsi="Arial" w:cs="Arial"/>
                      <w:color w:val="000000"/>
                      <w:sz w:val="14"/>
                      <w:szCs w:val="14"/>
                    </w:rPr>
                    <w:br/>
                    <w:t>Direct-Dial: (202) 326-4040</w:t>
                  </w:r>
                  <w:r>
                    <w:rPr>
                      <w:rFonts w:ascii="Arial" w:hAnsi="Arial" w:cs="Arial"/>
                      <w:color w:val="000000"/>
                      <w:sz w:val="14"/>
                      <w:szCs w:val="14"/>
                    </w:rPr>
                    <w:br/>
                  </w:r>
                  <w:hyperlink r:id="rId22" w:history="1">
                    <w:r>
                      <w:rPr>
                        <w:rStyle w:val="Hyperlink"/>
                        <w:rFonts w:ascii="Arial" w:hAnsi="Arial" w:cs="Arial"/>
                        <w:color w:val="000000"/>
                        <w:sz w:val="14"/>
                        <w:szCs w:val="14"/>
                        <w:u w:val="none"/>
                      </w:rPr>
                      <w:t>fitzgerald.bill@pbgc.gov</w:t>
                    </w:r>
                  </w:hyperlink>
                </w:p>
              </w:tc>
            </w:tr>
          </w:tbl>
          <w:p w14:paraId="77F8CEAC" w14:textId="77777777" w:rsidR="00266927" w:rsidRDefault="00266927" w:rsidP="009F6FEE">
            <w:pPr>
              <w:jc w:val="both"/>
              <w:rPr>
                <w:rFonts w:ascii="Arial" w:hAnsi="Arial" w:cs="Arial"/>
                <w:color w:val="000000"/>
                <w:sz w:val="14"/>
                <w:szCs w:val="14"/>
              </w:rPr>
            </w:pPr>
          </w:p>
        </w:tc>
      </w:tr>
      <w:tr w:rsidR="00266927" w14:paraId="74096096" w14:textId="77777777" w:rsidTr="00266927">
        <w:trPr>
          <w:tblCellSpacing w:w="15" w:type="dxa"/>
        </w:trPr>
        <w:tc>
          <w:tcPr>
            <w:tcW w:w="0" w:type="auto"/>
            <w:hideMark/>
          </w:tcPr>
          <w:p w14:paraId="4EB7962F"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 </w:t>
            </w:r>
          </w:p>
        </w:tc>
      </w:tr>
      <w:tr w:rsidR="00266927" w14:paraId="63492610" w14:textId="77777777" w:rsidTr="00266927">
        <w:trPr>
          <w:tblCellSpacing w:w="15" w:type="dxa"/>
        </w:trPr>
        <w:tc>
          <w:tcPr>
            <w:tcW w:w="0" w:type="auto"/>
            <w:hideMark/>
          </w:tcPr>
          <w:p w14:paraId="26CB60B1" w14:textId="77777777" w:rsidR="00266927" w:rsidRDefault="00266927" w:rsidP="009F6FEE">
            <w:pPr>
              <w:jc w:val="both"/>
              <w:rPr>
                <w:rFonts w:ascii="Arial" w:hAnsi="Arial" w:cs="Arial"/>
                <w:color w:val="000080"/>
                <w:sz w:val="21"/>
                <w:szCs w:val="21"/>
              </w:rPr>
            </w:pPr>
            <w:r>
              <w:rPr>
                <w:rFonts w:ascii="Arial" w:hAnsi="Arial" w:cs="Arial"/>
                <w:color w:val="000080"/>
                <w:sz w:val="21"/>
                <w:szCs w:val="21"/>
              </w:rPr>
              <w:t>Career History</w:t>
            </w:r>
          </w:p>
        </w:tc>
      </w:tr>
      <w:tr w:rsidR="00266927" w14:paraId="05D68B31" w14:textId="77777777" w:rsidTr="00266927">
        <w:trPr>
          <w:tblCellSpacing w:w="15" w:type="dxa"/>
        </w:trPr>
        <w:tc>
          <w:tcPr>
            <w:tcW w:w="0" w:type="auto"/>
            <w:hideMark/>
          </w:tcPr>
          <w:p w14:paraId="084623C2" w14:textId="77777777" w:rsidR="00266927" w:rsidRDefault="00266927" w:rsidP="009F6FEE">
            <w:pPr>
              <w:jc w:val="both"/>
              <w:rPr>
                <w:rFonts w:ascii="Arial" w:hAnsi="Arial" w:cs="Arial"/>
                <w:color w:val="000000"/>
                <w:sz w:val="8"/>
                <w:szCs w:val="8"/>
              </w:rPr>
            </w:pPr>
            <w:r>
              <w:rPr>
                <w:rFonts w:ascii="Arial" w:hAnsi="Arial" w:cs="Arial"/>
                <w:color w:val="000000"/>
                <w:sz w:val="8"/>
                <w:szCs w:val="8"/>
              </w:rPr>
              <w:t> </w:t>
            </w:r>
          </w:p>
        </w:tc>
      </w:tr>
      <w:tr w:rsidR="00266927" w14:paraId="1BCB63AE" w14:textId="77777777" w:rsidTr="00266927">
        <w:trPr>
          <w:tblCellSpacing w:w="15" w:type="dxa"/>
        </w:trPr>
        <w:tc>
          <w:tcPr>
            <w:tcW w:w="0" w:type="auto"/>
            <w:hideMark/>
          </w:tcPr>
          <w:p w14:paraId="12A695BE" w14:textId="77777777" w:rsidR="00266927" w:rsidRDefault="00266927" w:rsidP="009F6FEE">
            <w:pPr>
              <w:jc w:val="both"/>
              <w:rPr>
                <w:rFonts w:ascii="Arial" w:hAnsi="Arial" w:cs="Arial"/>
                <w:color w:val="000000"/>
                <w:sz w:val="14"/>
                <w:szCs w:val="14"/>
              </w:rPr>
            </w:pPr>
            <w:r>
              <w:rPr>
                <w:rFonts w:ascii="Arial" w:hAnsi="Arial" w:cs="Arial"/>
                <w:color w:val="000000"/>
                <w:sz w:val="14"/>
                <w:szCs w:val="14"/>
              </w:rPr>
              <w:t>Deputy Director, Communications and Public Affairs Department, Office of the Executive Director, Pension Benefit Guaranty Corporation</w:t>
            </w:r>
          </w:p>
        </w:tc>
      </w:tr>
    </w:tbl>
    <w:p w14:paraId="64BBD2E4" w14:textId="77777777" w:rsidR="00266927" w:rsidRPr="00E93268" w:rsidRDefault="00266927" w:rsidP="009F6FEE">
      <w:pPr>
        <w:spacing w:line="480" w:lineRule="auto"/>
        <w:jc w:val="both"/>
        <w:rPr>
          <w:color w:val="000000"/>
        </w:rPr>
      </w:pPr>
    </w:p>
    <w:p w14:paraId="14965603" w14:textId="77777777" w:rsidR="008D45E6" w:rsidRPr="00266927" w:rsidRDefault="008D45E6" w:rsidP="009F6FEE">
      <w:pPr>
        <w:spacing w:line="480" w:lineRule="auto"/>
        <w:jc w:val="both"/>
        <w:rPr>
          <w:color w:val="000000"/>
        </w:rPr>
      </w:pPr>
      <w:r w:rsidRPr="00EC6140">
        <w:rPr>
          <w:b/>
          <w:color w:val="000000"/>
        </w:rPr>
        <w:t>Location</w:t>
      </w:r>
      <w:r w:rsidR="00E93268">
        <w:rPr>
          <w:b/>
          <w:color w:val="000000"/>
        </w:rPr>
        <w:t>—</w:t>
      </w:r>
      <w:proofErr w:type="gramStart"/>
      <w:r w:rsidR="00E93268">
        <w:rPr>
          <w:color w:val="000000"/>
        </w:rPr>
        <w:t>This</w:t>
      </w:r>
      <w:proofErr w:type="gramEnd"/>
      <w:r w:rsidR="00E93268">
        <w:rPr>
          <w:color w:val="000000"/>
        </w:rPr>
        <w:t xml:space="preserve"> is the part of the agency where the FOIA respondent works. The most common locations are </w:t>
      </w:r>
      <w:r w:rsidR="00E93268" w:rsidRPr="00266927">
        <w:rPr>
          <w:i/>
          <w:color w:val="000000"/>
        </w:rPr>
        <w:t>management</w:t>
      </w:r>
      <w:r w:rsidR="00E93268">
        <w:rPr>
          <w:color w:val="000000"/>
        </w:rPr>
        <w:t xml:space="preserve"> directorates, </w:t>
      </w:r>
      <w:r w:rsidR="00E93268" w:rsidRPr="00266927">
        <w:rPr>
          <w:i/>
          <w:color w:val="000000"/>
        </w:rPr>
        <w:t>general counsel</w:t>
      </w:r>
      <w:r w:rsidR="00E93268" w:rsidRPr="00266927">
        <w:rPr>
          <w:color w:val="000000"/>
        </w:rPr>
        <w:t>s</w:t>
      </w:r>
      <w:r w:rsidR="00E93268" w:rsidRPr="00266927">
        <w:rPr>
          <w:i/>
          <w:color w:val="000000"/>
        </w:rPr>
        <w:t>’</w:t>
      </w:r>
      <w:r w:rsidR="00E93268">
        <w:rPr>
          <w:color w:val="000000"/>
        </w:rPr>
        <w:t xml:space="preserve"> offices, </w:t>
      </w:r>
      <w:r w:rsidR="00E93268" w:rsidRPr="00266927">
        <w:rPr>
          <w:i/>
          <w:color w:val="000000"/>
        </w:rPr>
        <w:t>executive secretariat</w:t>
      </w:r>
      <w:r w:rsidR="00E93268" w:rsidRPr="00266927">
        <w:rPr>
          <w:color w:val="000000"/>
        </w:rPr>
        <w:t>s</w:t>
      </w:r>
      <w:r w:rsidR="00E93268">
        <w:rPr>
          <w:color w:val="000000"/>
        </w:rPr>
        <w:t xml:space="preserve"> (i.e., in a separate office under the secretary</w:t>
      </w:r>
      <w:r w:rsidR="00266927">
        <w:rPr>
          <w:color w:val="000000"/>
        </w:rPr>
        <w:t xml:space="preserve">, administrator, </w:t>
      </w:r>
      <w:r w:rsidR="00E93268">
        <w:rPr>
          <w:color w:val="000000"/>
        </w:rPr>
        <w:t xml:space="preserve">or </w:t>
      </w:r>
      <w:r w:rsidR="00266927">
        <w:rPr>
          <w:color w:val="000000"/>
        </w:rPr>
        <w:t>commission chair)</w:t>
      </w:r>
      <w:r w:rsidR="00E93268">
        <w:rPr>
          <w:color w:val="000000"/>
        </w:rPr>
        <w:t xml:space="preserve">, or the office of </w:t>
      </w:r>
      <w:r w:rsidR="00E93268" w:rsidRPr="00266927">
        <w:rPr>
          <w:i/>
          <w:color w:val="000000"/>
        </w:rPr>
        <w:t>public affairs</w:t>
      </w:r>
      <w:r w:rsidR="00E93268">
        <w:rPr>
          <w:color w:val="000000"/>
        </w:rPr>
        <w:t>. Each agency refers to these portions of their agencies by different names (e.g., legal affairs</w:t>
      </w:r>
      <w:r w:rsidR="00266927">
        <w:rPr>
          <w:color w:val="000000"/>
        </w:rPr>
        <w:t>,</w:t>
      </w:r>
      <w:r w:rsidR="00E93268">
        <w:rPr>
          <w:color w:val="000000"/>
        </w:rPr>
        <w:t xml:space="preserve"> administration</w:t>
      </w:r>
      <w:r w:rsidR="00266927">
        <w:rPr>
          <w:color w:val="000000"/>
        </w:rPr>
        <w:t>, or communications</w:t>
      </w:r>
      <w:r w:rsidR="00E93268">
        <w:rPr>
          <w:color w:val="000000"/>
        </w:rPr>
        <w:t xml:space="preserve">). This column </w:t>
      </w:r>
      <w:r w:rsidR="00266927">
        <w:rPr>
          <w:color w:val="000000"/>
        </w:rPr>
        <w:t>labels</w:t>
      </w:r>
      <w:r w:rsidR="00E93268">
        <w:rPr>
          <w:color w:val="000000"/>
        </w:rPr>
        <w:t xml:space="preserve"> similar parts of the agencies by the same name rather than using the name each agency uses for itself.</w:t>
      </w:r>
      <w:r w:rsidR="00266927">
        <w:rPr>
          <w:color w:val="000000"/>
        </w:rPr>
        <w:t xml:space="preserve"> In the case of the person listed above, this would be coded with </w:t>
      </w:r>
      <w:r w:rsidR="00266927" w:rsidRPr="00266927">
        <w:rPr>
          <w:color w:val="000000"/>
          <w:u w:val="single"/>
        </w:rPr>
        <w:t>General Counsel</w:t>
      </w:r>
      <w:r w:rsidR="00266927">
        <w:rPr>
          <w:color w:val="000000"/>
        </w:rPr>
        <w:t xml:space="preserve"> since his office is located under the General Counsel’s office.</w:t>
      </w:r>
    </w:p>
    <w:p w14:paraId="666E7B1E" w14:textId="77777777" w:rsidR="008D45E6" w:rsidRDefault="008D45E6" w:rsidP="009F6FEE">
      <w:pPr>
        <w:spacing w:line="480" w:lineRule="auto"/>
        <w:jc w:val="both"/>
        <w:rPr>
          <w:color w:val="000000"/>
        </w:rPr>
      </w:pPr>
      <w:r w:rsidRPr="00EC6140">
        <w:rPr>
          <w:b/>
          <w:color w:val="000000"/>
        </w:rPr>
        <w:t>Number of Layers</w:t>
      </w:r>
      <w:r w:rsidR="002E076D">
        <w:rPr>
          <w:b/>
          <w:color w:val="000000"/>
        </w:rPr>
        <w:t>—</w:t>
      </w:r>
      <w:proofErr w:type="gramStart"/>
      <w:r w:rsidR="002E076D">
        <w:rPr>
          <w:color w:val="000000"/>
        </w:rPr>
        <w:t>This</w:t>
      </w:r>
      <w:proofErr w:type="gramEnd"/>
      <w:r w:rsidR="002E076D">
        <w:rPr>
          <w:color w:val="000000"/>
        </w:rPr>
        <w:t xml:space="preserve"> is the number of layers </w:t>
      </w:r>
      <w:r w:rsidR="00266927">
        <w:rPr>
          <w:color w:val="000000"/>
        </w:rPr>
        <w:t xml:space="preserve">in the organization chart </w:t>
      </w:r>
      <w:r w:rsidR="002E076D">
        <w:rPr>
          <w:color w:val="000000"/>
        </w:rPr>
        <w:t xml:space="preserve">between the office that includes the nearest appointee in the organization chart. </w:t>
      </w:r>
    </w:p>
    <w:p w14:paraId="3776196C" w14:textId="2647D03C" w:rsidR="00CC2FF4" w:rsidRDefault="00FB4375" w:rsidP="009F6FEE">
      <w:pPr>
        <w:spacing w:line="480" w:lineRule="auto"/>
        <w:jc w:val="center"/>
        <w:rPr>
          <w:color w:val="000000"/>
        </w:rPr>
      </w:pPr>
      <w:r>
        <w:rPr>
          <w:b/>
          <w:noProof/>
          <w:color w:val="000000"/>
        </w:rPr>
        <w:lastRenderedPageBreak/>
        <mc:AlternateContent>
          <mc:Choice Requires="wps">
            <w:drawing>
              <wp:anchor distT="0" distB="0" distL="114300" distR="114300" simplePos="0" relativeHeight="251673600" behindDoc="0" locked="0" layoutInCell="1" allowOverlap="1" wp14:anchorId="42C0CDDE" wp14:editId="57F9D406">
                <wp:simplePos x="0" y="0"/>
                <wp:positionH relativeFrom="column">
                  <wp:posOffset>1697355</wp:posOffset>
                </wp:positionH>
                <wp:positionV relativeFrom="paragraph">
                  <wp:posOffset>-73025</wp:posOffset>
                </wp:positionV>
                <wp:extent cx="2531110" cy="2333625"/>
                <wp:effectExtent l="11430" t="12065" r="10160" b="6985"/>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2333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87FAC" id="Rectangle 14" o:spid="_x0000_s1026" style="position:absolute;margin-left:133.65pt;margin-top:-5.75pt;width:199.3pt;height:18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" filled="f"/>
            </w:pict>
          </mc:Fallback>
        </mc:AlternateContent>
      </w:r>
      <w:r w:rsidR="00CC2FF4">
        <w:rPr>
          <w:noProof/>
          <w:color w:val="000000"/>
        </w:rPr>
        <w:drawing>
          <wp:inline distT="0" distB="0" distL="0" distR="0" wp14:anchorId="79A68FD7" wp14:editId="05E93547">
            <wp:extent cx="2446737" cy="2162217"/>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2448398" cy="2163685"/>
                    </a:xfrm>
                    <a:prstGeom prst="rect">
                      <a:avLst/>
                    </a:prstGeom>
                    <a:noFill/>
                    <a:ln w="9525">
                      <a:noFill/>
                      <a:miter lim="800000"/>
                      <a:headEnd/>
                      <a:tailEnd/>
                    </a:ln>
                  </pic:spPr>
                </pic:pic>
              </a:graphicData>
            </a:graphic>
          </wp:inline>
        </w:drawing>
      </w:r>
    </w:p>
    <w:p w14:paraId="48BA10D0" w14:textId="77777777" w:rsidR="00CC2FF4" w:rsidRDefault="00CC2FF4" w:rsidP="009F6FEE">
      <w:pPr>
        <w:spacing w:line="480" w:lineRule="auto"/>
        <w:jc w:val="both"/>
        <w:rPr>
          <w:color w:val="000000"/>
        </w:rPr>
      </w:pPr>
      <w:r>
        <w:rPr>
          <w:color w:val="000000"/>
        </w:rPr>
        <w:t>So, for example, in the Pension Benefit Guarantee Corporation, the director of the Disclosure Division (FOIA/Privacy Act) office is E. William Fitzgerald, a careerist.</w:t>
      </w:r>
      <w:r>
        <w:rPr>
          <w:rStyle w:val="FootnoteReference"/>
          <w:color w:val="000000"/>
        </w:rPr>
        <w:footnoteReference w:id="6"/>
      </w:r>
      <w:r>
        <w:rPr>
          <w:color w:val="000000"/>
        </w:rPr>
        <w:t xml:space="preserve"> Above him in the organization chart is the Office of the General Counsel (1), headed by Judith R. Starr, another careerist. </w:t>
      </w:r>
    </w:p>
    <w:p w14:paraId="2523C778" w14:textId="67870912" w:rsidR="001C4D5F" w:rsidRDefault="00FB4375" w:rsidP="009F6FEE">
      <w:pPr>
        <w:spacing w:line="480" w:lineRule="auto"/>
        <w:jc w:val="center"/>
        <w:rPr>
          <w:color w:val="000000"/>
        </w:rPr>
      </w:pPr>
      <w:r>
        <w:rPr>
          <w:noProof/>
          <w:color w:val="000000"/>
        </w:rPr>
        <mc:AlternateContent>
          <mc:Choice Requires="wps">
            <w:drawing>
              <wp:anchor distT="0" distB="0" distL="114300" distR="114300" simplePos="0" relativeHeight="251674624" behindDoc="0" locked="0" layoutInCell="1" allowOverlap="1" wp14:anchorId="5EAD962B" wp14:editId="3D1EF418">
                <wp:simplePos x="0" y="0"/>
                <wp:positionH relativeFrom="column">
                  <wp:posOffset>453390</wp:posOffset>
                </wp:positionH>
                <wp:positionV relativeFrom="paragraph">
                  <wp:posOffset>-80645</wp:posOffset>
                </wp:positionV>
                <wp:extent cx="5230495" cy="3006725"/>
                <wp:effectExtent l="5715" t="10795" r="12065" b="11430"/>
                <wp:wrapNone/>
                <wp:docPr id="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495" cy="300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DF6E" id="Rectangle 15" o:spid="_x0000_s1026" style="position:absolute;margin-left:35.7pt;margin-top:-6.35pt;width:411.85pt;height:2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XnegIAAP4E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" filled="f"/>
            </w:pict>
          </mc:Fallback>
        </mc:AlternateContent>
      </w:r>
      <w:r w:rsidR="001C4D5F">
        <w:rPr>
          <w:noProof/>
          <w:color w:val="000000"/>
        </w:rPr>
        <w:drawing>
          <wp:inline distT="0" distB="0" distL="0" distR="0" wp14:anchorId="4466E45C" wp14:editId="3A53771D">
            <wp:extent cx="4842662" cy="2864146"/>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a:stretch>
                      <a:fillRect/>
                    </a:stretch>
                  </pic:blipFill>
                  <pic:spPr bwMode="auto">
                    <a:xfrm>
                      <a:off x="0" y="0"/>
                      <a:ext cx="4843283" cy="2864513"/>
                    </a:xfrm>
                    <a:prstGeom prst="rect">
                      <a:avLst/>
                    </a:prstGeom>
                    <a:noFill/>
                    <a:ln w="9525">
                      <a:noFill/>
                      <a:miter lim="800000"/>
                      <a:headEnd/>
                      <a:tailEnd/>
                    </a:ln>
                  </pic:spPr>
                </pic:pic>
              </a:graphicData>
            </a:graphic>
          </wp:inline>
        </w:drawing>
      </w:r>
    </w:p>
    <w:p w14:paraId="68A7FA24" w14:textId="77777777" w:rsidR="00CC2FF4" w:rsidRDefault="00CC2FF4" w:rsidP="009F6FEE">
      <w:pPr>
        <w:spacing w:line="480" w:lineRule="auto"/>
        <w:jc w:val="both"/>
        <w:rPr>
          <w:color w:val="000000"/>
        </w:rPr>
      </w:pPr>
      <w:r>
        <w:rPr>
          <w:color w:val="000000"/>
        </w:rPr>
        <w:t xml:space="preserve">Above the Office of the General Counsel is the Office of the Director (2), Joshua </w:t>
      </w:r>
      <w:proofErr w:type="spellStart"/>
      <w:r>
        <w:rPr>
          <w:color w:val="000000"/>
        </w:rPr>
        <w:t>Gotbaum</w:t>
      </w:r>
      <w:proofErr w:type="spellEnd"/>
      <w:r>
        <w:rPr>
          <w:color w:val="000000"/>
        </w:rPr>
        <w:t xml:space="preserve">, </w:t>
      </w:r>
      <w:proofErr w:type="gramStart"/>
      <w:r>
        <w:rPr>
          <w:color w:val="000000"/>
        </w:rPr>
        <w:t>a</w:t>
      </w:r>
      <w:proofErr w:type="gramEnd"/>
      <w:r>
        <w:rPr>
          <w:color w:val="000000"/>
        </w:rPr>
        <w:t xml:space="preserve"> Senate Confirmed Appointee. This is two layers above Fitzgerald. If Fitzgerald or someone in his </w:t>
      </w:r>
      <w:r>
        <w:rPr>
          <w:color w:val="000000"/>
        </w:rPr>
        <w:lastRenderedPageBreak/>
        <w:t>office were the respondent in a letter, this would be coded with a 2, indicating that the respondent would have to go two levels up in the organization chart to reach and appointee.</w:t>
      </w:r>
      <w:r w:rsidR="00964B95">
        <w:rPr>
          <w:color w:val="000000"/>
        </w:rPr>
        <w:t xml:space="preserve"> A person that was an appointee or working in an office directly headed by an appointee would be coded with a 0.</w:t>
      </w:r>
    </w:p>
    <w:p w14:paraId="0F343616" w14:textId="77777777" w:rsidR="002D7518" w:rsidRDefault="002D7518" w:rsidP="009F6FEE">
      <w:pPr>
        <w:spacing w:line="480" w:lineRule="auto"/>
        <w:ind w:firstLine="720"/>
        <w:jc w:val="both"/>
        <w:rPr>
          <w:color w:val="000000"/>
        </w:rPr>
      </w:pPr>
      <w:r>
        <w:rPr>
          <w:color w:val="000000"/>
        </w:rPr>
        <w:t xml:space="preserve">In some cases the </w:t>
      </w:r>
      <w:r w:rsidRPr="001E048B">
        <w:rPr>
          <w:i/>
          <w:color w:val="000000"/>
        </w:rPr>
        <w:t>Federal Yellow Book</w:t>
      </w:r>
      <w:r>
        <w:rPr>
          <w:color w:val="000000"/>
        </w:rPr>
        <w:t xml:space="preserve"> indicates offices and divisions within agencies by their listing in the book rather than in the organization chart. So, for example, the Office of the Secretary will include offices of civil rights, general counsel, public affairs, etc. but only the Office of the Secretary will be included in the organization chart. In such cases the text listing of the Office of the Secretary will include internal organization via formatting. Namely, the office in question will be indented in the following manner:</w:t>
      </w:r>
    </w:p>
    <w:p w14:paraId="610B98E5" w14:textId="77777777" w:rsidR="002D7518" w:rsidRDefault="002D7518" w:rsidP="009F6FEE">
      <w:pPr>
        <w:spacing w:line="480" w:lineRule="auto"/>
        <w:ind w:left="1440" w:hanging="720"/>
        <w:jc w:val="both"/>
        <w:rPr>
          <w:color w:val="000000"/>
        </w:rPr>
      </w:pPr>
      <w:r>
        <w:rPr>
          <w:color w:val="000000"/>
        </w:rPr>
        <w:t>Office of the Secretary</w:t>
      </w:r>
    </w:p>
    <w:p w14:paraId="14F57E28" w14:textId="77777777" w:rsidR="002D7518" w:rsidRDefault="002D7518" w:rsidP="009F6FEE">
      <w:pPr>
        <w:spacing w:line="480" w:lineRule="auto"/>
        <w:ind w:left="1440" w:hanging="720"/>
        <w:jc w:val="both"/>
        <w:rPr>
          <w:color w:val="000000"/>
        </w:rPr>
      </w:pPr>
      <w:r>
        <w:rPr>
          <w:color w:val="000000"/>
        </w:rPr>
        <w:t>Chief of Staff</w:t>
      </w:r>
    </w:p>
    <w:p w14:paraId="28F58CC4" w14:textId="77777777" w:rsidR="002D7518" w:rsidRDefault="002D7518" w:rsidP="009F6FEE">
      <w:pPr>
        <w:spacing w:line="480" w:lineRule="auto"/>
        <w:ind w:left="1440" w:hanging="720"/>
        <w:jc w:val="both"/>
        <w:rPr>
          <w:color w:val="000000"/>
        </w:rPr>
      </w:pPr>
      <w:r>
        <w:rPr>
          <w:color w:val="000000"/>
        </w:rPr>
        <w:t>Deputy Chief of Staff</w:t>
      </w:r>
    </w:p>
    <w:p w14:paraId="6F25F293" w14:textId="77777777" w:rsidR="002D7518" w:rsidRDefault="002D7518" w:rsidP="009F6FEE">
      <w:pPr>
        <w:spacing w:line="480" w:lineRule="auto"/>
        <w:ind w:left="1440" w:hanging="720"/>
        <w:jc w:val="both"/>
        <w:rPr>
          <w:color w:val="000000"/>
        </w:rPr>
      </w:pPr>
      <w:r>
        <w:rPr>
          <w:color w:val="000000"/>
        </w:rPr>
        <w:tab/>
        <w:t>General Counsel</w:t>
      </w:r>
    </w:p>
    <w:p w14:paraId="1DD7D429" w14:textId="77777777" w:rsidR="002D7518" w:rsidRDefault="002D7518" w:rsidP="009F6FEE">
      <w:pPr>
        <w:spacing w:line="480" w:lineRule="auto"/>
        <w:ind w:left="1440" w:hanging="720"/>
        <w:jc w:val="both"/>
        <w:rPr>
          <w:color w:val="000000"/>
        </w:rPr>
      </w:pPr>
      <w:r>
        <w:rPr>
          <w:color w:val="000000"/>
        </w:rPr>
        <w:tab/>
        <w:t>Associate Counsel</w:t>
      </w:r>
    </w:p>
    <w:p w14:paraId="7BF2EBF4" w14:textId="77777777" w:rsidR="007D4E53" w:rsidRDefault="002D7518" w:rsidP="009F6FEE">
      <w:pPr>
        <w:spacing w:line="480" w:lineRule="auto"/>
        <w:ind w:left="1440" w:hanging="720"/>
        <w:jc w:val="both"/>
        <w:rPr>
          <w:color w:val="000000"/>
        </w:rPr>
      </w:pPr>
      <w:r>
        <w:rPr>
          <w:color w:val="000000"/>
        </w:rPr>
        <w:tab/>
        <w:t>Associate Counsel</w:t>
      </w:r>
    </w:p>
    <w:p w14:paraId="3152DF49" w14:textId="77777777" w:rsidR="002D7518" w:rsidRDefault="007D4E53" w:rsidP="009F6FEE">
      <w:pPr>
        <w:spacing w:line="480" w:lineRule="auto"/>
        <w:jc w:val="both"/>
        <w:rPr>
          <w:color w:val="000000"/>
        </w:rPr>
      </w:pPr>
      <w:r>
        <w:rPr>
          <w:color w:val="000000"/>
        </w:rPr>
        <w:t xml:space="preserve">In such cases the indented office (e.g., General Counsel’s office) is considered as an office below the office of the secretary, but only if the text listing in the </w:t>
      </w:r>
      <w:r w:rsidRPr="001C4D5F">
        <w:rPr>
          <w:i/>
          <w:color w:val="000000"/>
        </w:rPr>
        <w:t>Federal Yellow Book</w:t>
      </w:r>
      <w:r>
        <w:rPr>
          <w:color w:val="000000"/>
        </w:rPr>
        <w:t xml:space="preserve"> includes this indenting and suggests such a structure.</w:t>
      </w:r>
      <w:r w:rsidR="002D7518">
        <w:rPr>
          <w:color w:val="000000"/>
        </w:rPr>
        <w:t xml:space="preserve"> </w:t>
      </w:r>
    </w:p>
    <w:p w14:paraId="534CBFDF" w14:textId="77777777" w:rsidR="00A4782F" w:rsidRPr="00EC6140" w:rsidRDefault="00A4782F" w:rsidP="009F6FEE">
      <w:pPr>
        <w:spacing w:line="480" w:lineRule="auto"/>
        <w:jc w:val="both"/>
        <w:rPr>
          <w:b/>
          <w:color w:val="000000"/>
        </w:rPr>
      </w:pPr>
      <w:r w:rsidRPr="00EC6140">
        <w:rPr>
          <w:b/>
          <w:color w:val="000000"/>
        </w:rPr>
        <w:t>Contact 2 Method</w:t>
      </w:r>
      <w:r w:rsidR="00EE7D76">
        <w:t>—</w:t>
      </w:r>
      <w:proofErr w:type="gramStart"/>
      <w:r w:rsidR="00EE7D76">
        <w:t>The</w:t>
      </w:r>
      <w:proofErr w:type="gramEnd"/>
      <w:r w:rsidR="00EE7D76">
        <w:t xml:space="preserve"> mode of communication if an agency contacted us a second time for some other reason than a standard confirmation or filling of request.</w:t>
      </w:r>
    </w:p>
    <w:p w14:paraId="4269AB5F" w14:textId="77777777" w:rsidR="00A4782F" w:rsidRPr="00EC6140" w:rsidRDefault="00A4782F" w:rsidP="009F6FEE">
      <w:pPr>
        <w:spacing w:line="480" w:lineRule="auto"/>
        <w:jc w:val="both"/>
        <w:rPr>
          <w:b/>
          <w:color w:val="000000"/>
        </w:rPr>
      </w:pPr>
      <w:r w:rsidRPr="00EC6140">
        <w:rPr>
          <w:b/>
          <w:color w:val="000000"/>
        </w:rPr>
        <w:t>Contact 2 Reason</w:t>
      </w:r>
      <w:r w:rsidR="00EE7D76">
        <w:t xml:space="preserve">—Subject of the second contact. Some examples include: 1) Clarification of the details of a request and 2) Request for an extension. FOIA regulations require an agency to issue a determination within 20 working days of receiving a request, excluding weekends and holidays. </w:t>
      </w:r>
      <w:r w:rsidR="00EE7D76">
        <w:lastRenderedPageBreak/>
        <w:t>Agencies may ask for extensions to this time frame or stop working on a request until the requester provides fees or clarifying information.</w:t>
      </w:r>
    </w:p>
    <w:p w14:paraId="6AE041C9" w14:textId="77777777" w:rsidR="00A4782F" w:rsidRDefault="00A4782F" w:rsidP="009F6FEE">
      <w:pPr>
        <w:spacing w:line="480" w:lineRule="auto"/>
        <w:jc w:val="both"/>
        <w:rPr>
          <w:b/>
          <w:color w:val="000000"/>
        </w:rPr>
      </w:pPr>
      <w:r w:rsidRPr="00EC6140">
        <w:rPr>
          <w:b/>
          <w:color w:val="000000"/>
        </w:rPr>
        <w:t>Contact 2</w:t>
      </w:r>
      <w:r w:rsidR="00EE7D76">
        <w:rPr>
          <w:b/>
          <w:color w:val="000000"/>
        </w:rPr>
        <w:t>—</w:t>
      </w:r>
      <w:r w:rsidR="00EE7D76" w:rsidRPr="00EE7D76">
        <w:rPr>
          <w:color w:val="000000"/>
        </w:rPr>
        <w:t xml:space="preserve">Name of </w:t>
      </w:r>
      <w:proofErr w:type="gramStart"/>
      <w:r w:rsidR="00EE7D76" w:rsidRPr="00EE7D76">
        <w:rPr>
          <w:color w:val="000000"/>
        </w:rPr>
        <w:t>second  person</w:t>
      </w:r>
      <w:proofErr w:type="gramEnd"/>
      <w:r w:rsidR="00EE7D76" w:rsidRPr="00EE7D76">
        <w:rPr>
          <w:color w:val="000000"/>
        </w:rPr>
        <w:t xml:space="preserve"> contacting us.</w:t>
      </w:r>
    </w:p>
    <w:p w14:paraId="3848B9E6" w14:textId="77777777" w:rsidR="00A4782F" w:rsidRDefault="00A4782F" w:rsidP="009F6FEE">
      <w:pPr>
        <w:spacing w:line="480" w:lineRule="auto"/>
        <w:jc w:val="both"/>
        <w:rPr>
          <w:color w:val="000000"/>
        </w:rPr>
      </w:pPr>
      <w:r>
        <w:rPr>
          <w:b/>
          <w:color w:val="000000"/>
        </w:rPr>
        <w:t>Contact 2 Date</w:t>
      </w:r>
      <w:r w:rsidR="00EE7D76">
        <w:t>—Date of second contact.</w:t>
      </w:r>
    </w:p>
    <w:p w14:paraId="59108C63" w14:textId="77777777" w:rsidR="00EE7D76" w:rsidRDefault="008D45E6" w:rsidP="009F6FEE">
      <w:pPr>
        <w:spacing w:line="480" w:lineRule="auto"/>
        <w:jc w:val="both"/>
      </w:pPr>
      <w:r w:rsidRPr="00EC6140">
        <w:rPr>
          <w:b/>
          <w:color w:val="000000"/>
        </w:rPr>
        <w:t>PAS Appointees (PAS)</w:t>
      </w:r>
      <w:r w:rsidR="00465E62">
        <w:rPr>
          <w:b/>
          <w:color w:val="000000"/>
        </w:rPr>
        <w:t>—</w:t>
      </w:r>
      <w:proofErr w:type="gramStart"/>
      <w:r w:rsidR="00465E62">
        <w:rPr>
          <w:color w:val="000000"/>
        </w:rPr>
        <w:t>The</w:t>
      </w:r>
      <w:proofErr w:type="gramEnd"/>
      <w:r w:rsidR="00465E62">
        <w:rPr>
          <w:color w:val="000000"/>
        </w:rPr>
        <w:t xml:space="preserve"> number of Senate-confirmed positions in an agency as of November, 2008.</w:t>
      </w:r>
      <w:r w:rsidR="00EE7D76">
        <w:rPr>
          <w:color w:val="000000"/>
        </w:rPr>
        <w:t xml:space="preserve"> Source: </w:t>
      </w:r>
      <w:r w:rsidR="00EE7D76" w:rsidRPr="003C2C02">
        <w:t xml:space="preserve">U.S. Congress. Senate. Committee on </w:t>
      </w:r>
      <w:r w:rsidR="00EE7D76">
        <w:t xml:space="preserve">Homeland Security and </w:t>
      </w:r>
      <w:r w:rsidR="00EE7D76" w:rsidRPr="003C2C02">
        <w:t>Governmental Affairs.</w:t>
      </w:r>
      <w:r w:rsidR="00EE7D76">
        <w:t xml:space="preserve"> 2008.</w:t>
      </w:r>
      <w:r w:rsidR="00EE7D76" w:rsidRPr="003C2C02">
        <w:t xml:space="preserve"> </w:t>
      </w:r>
      <w:r w:rsidR="00EE7D76" w:rsidRPr="003C2C02">
        <w:rPr>
          <w:i/>
        </w:rPr>
        <w:t>Policy and Supporting Positions</w:t>
      </w:r>
      <w:r w:rsidR="00EE7D76">
        <w:t>. 110</w:t>
      </w:r>
      <w:r w:rsidR="00EE7D76" w:rsidRPr="003C2C02">
        <w:rPr>
          <w:vertAlign w:val="superscript"/>
        </w:rPr>
        <w:t>th</w:t>
      </w:r>
      <w:r w:rsidR="00EE7D76" w:rsidRPr="003C2C02">
        <w:t xml:space="preserve"> Cong., 2d </w:t>
      </w:r>
      <w:proofErr w:type="spellStart"/>
      <w:r w:rsidR="00EE7D76" w:rsidRPr="003C2C02">
        <w:t>Sess</w:t>
      </w:r>
      <w:proofErr w:type="spellEnd"/>
      <w:r w:rsidR="00EE7D76">
        <w:t xml:space="preserve"> (</w:t>
      </w:r>
      <w:hyperlink r:id="rId25" w:history="1">
        <w:r w:rsidR="00EE7D76">
          <w:rPr>
            <w:rStyle w:val="Hyperlink"/>
          </w:rPr>
          <w:t>http://www.gpoaccess.gov/plumbook/2008/index.html</w:t>
        </w:r>
      </w:hyperlink>
      <w:r w:rsidR="00EE7D76">
        <w:t>, last accessed June 30, 2011)</w:t>
      </w:r>
      <w:r w:rsidR="00EE7D76" w:rsidRPr="003C2C02">
        <w:t>.</w:t>
      </w:r>
    </w:p>
    <w:p w14:paraId="6AE69804" w14:textId="77777777" w:rsidR="008D45E6" w:rsidRPr="00EE7D76" w:rsidRDefault="008D45E6" w:rsidP="009F6FEE">
      <w:pPr>
        <w:spacing w:line="480" w:lineRule="auto"/>
        <w:jc w:val="both"/>
        <w:rPr>
          <w:color w:val="000000"/>
        </w:rPr>
      </w:pPr>
      <w:r w:rsidRPr="00EC6140">
        <w:rPr>
          <w:b/>
          <w:color w:val="000000"/>
        </w:rPr>
        <w:t>Non-career SES (NA)</w:t>
      </w:r>
      <w:r w:rsidR="00EE7D76">
        <w:rPr>
          <w:b/>
          <w:color w:val="000000"/>
        </w:rPr>
        <w:t>—</w:t>
      </w:r>
      <w:proofErr w:type="gramStart"/>
      <w:r w:rsidR="00EE7D76">
        <w:rPr>
          <w:color w:val="000000"/>
        </w:rPr>
        <w:t>The</w:t>
      </w:r>
      <w:proofErr w:type="gramEnd"/>
      <w:r w:rsidR="00EE7D76">
        <w:rPr>
          <w:color w:val="000000"/>
        </w:rPr>
        <w:t xml:space="preserve"> number of persons serving in the agency as non-career members of the Senior Executive Service as of March, 2011. Source: data from the Office of Personnel Managements, Central Personnel Data File (</w:t>
      </w:r>
      <w:hyperlink r:id="rId26" w:history="1">
        <w:r w:rsidR="00EE7D76">
          <w:rPr>
            <w:rStyle w:val="Hyperlink"/>
          </w:rPr>
          <w:t>http://www.fedscope.opm.gov/</w:t>
        </w:r>
      </w:hyperlink>
      <w:r w:rsidR="00EE7D76">
        <w:t>, last accessed June 30, 2011).</w:t>
      </w:r>
    </w:p>
    <w:p w14:paraId="2B62BA6E" w14:textId="77777777" w:rsidR="008D45E6" w:rsidRPr="00EE7D76" w:rsidRDefault="008D45E6" w:rsidP="009F6FEE">
      <w:pPr>
        <w:spacing w:line="480" w:lineRule="auto"/>
        <w:jc w:val="both"/>
        <w:rPr>
          <w:color w:val="000000"/>
        </w:rPr>
      </w:pPr>
      <w:r w:rsidRPr="00EC6140">
        <w:rPr>
          <w:b/>
          <w:color w:val="000000"/>
        </w:rPr>
        <w:t>Career SES (CA)</w:t>
      </w:r>
      <w:r w:rsidR="00EE7D76">
        <w:rPr>
          <w:b/>
          <w:color w:val="000000"/>
        </w:rPr>
        <w:t>—</w:t>
      </w:r>
      <w:proofErr w:type="gramStart"/>
      <w:r w:rsidR="00EE7D76">
        <w:rPr>
          <w:color w:val="000000"/>
        </w:rPr>
        <w:t>The</w:t>
      </w:r>
      <w:proofErr w:type="gramEnd"/>
      <w:r w:rsidR="00EE7D76">
        <w:rPr>
          <w:color w:val="000000"/>
        </w:rPr>
        <w:t xml:space="preserve"> number of persons serving in the agency as career members of the Senior Executive Service as of March, 2011. Source: data from the Office of Personnel Managements, Central Personnel Data File (</w:t>
      </w:r>
      <w:hyperlink r:id="rId27" w:history="1">
        <w:r w:rsidR="00EE7D76">
          <w:rPr>
            <w:rStyle w:val="Hyperlink"/>
          </w:rPr>
          <w:t>http://www.fedscope.opm.gov/</w:t>
        </w:r>
      </w:hyperlink>
      <w:r w:rsidR="00EE7D76">
        <w:t>, last accessed June 30, 2011).</w:t>
      </w:r>
    </w:p>
    <w:p w14:paraId="0596D3DF" w14:textId="3F36FEEF" w:rsidR="00EE7D76" w:rsidRPr="00EE7D76" w:rsidRDefault="008D45E6" w:rsidP="009F6FEE">
      <w:pPr>
        <w:spacing w:line="480" w:lineRule="auto"/>
        <w:jc w:val="both"/>
        <w:rPr>
          <w:color w:val="000000"/>
        </w:rPr>
      </w:pPr>
      <w:proofErr w:type="spellStart"/>
      <w:r w:rsidRPr="00EC6140">
        <w:rPr>
          <w:b/>
          <w:color w:val="000000"/>
        </w:rPr>
        <w:t>Sch</w:t>
      </w:r>
      <w:proofErr w:type="spellEnd"/>
      <w:r w:rsidRPr="00EC6140">
        <w:rPr>
          <w:b/>
          <w:color w:val="000000"/>
        </w:rPr>
        <w:t xml:space="preserve"> C appointees (SC)</w:t>
      </w:r>
      <w:r w:rsidR="00EE7D76">
        <w:rPr>
          <w:color w:val="000000"/>
        </w:rPr>
        <w:t>—</w:t>
      </w:r>
      <w:proofErr w:type="gramStart"/>
      <w:r w:rsidR="00EE7D76">
        <w:rPr>
          <w:color w:val="000000"/>
        </w:rPr>
        <w:t>The</w:t>
      </w:r>
      <w:proofErr w:type="gramEnd"/>
      <w:r w:rsidR="00EE7D76">
        <w:rPr>
          <w:color w:val="000000"/>
        </w:rPr>
        <w:t xml:space="preserve"> number of persons serving in the agency as Schedule C appointees as of March, 2011. Source: data from the</w:t>
      </w:r>
      <w:r w:rsidR="00FE781D">
        <w:rPr>
          <w:color w:val="000000"/>
        </w:rPr>
        <w:t xml:space="preserve"> Office of Personnel Management</w:t>
      </w:r>
      <w:r w:rsidR="00EE7D76">
        <w:rPr>
          <w:color w:val="000000"/>
        </w:rPr>
        <w:t>, Central Personnel Data File (</w:t>
      </w:r>
      <w:hyperlink r:id="rId28" w:history="1">
        <w:r w:rsidR="00EE7D76">
          <w:rPr>
            <w:rStyle w:val="Hyperlink"/>
          </w:rPr>
          <w:t>http://www.fedscope.opm.gov/</w:t>
        </w:r>
      </w:hyperlink>
      <w:r w:rsidR="00EE7D76">
        <w:t>, last accessed June 30, 2011).</w:t>
      </w:r>
    </w:p>
    <w:p w14:paraId="064AD78D" w14:textId="77777777" w:rsidR="008D45E6" w:rsidRPr="00EE7D76" w:rsidRDefault="008D45E6" w:rsidP="009F6FEE">
      <w:pPr>
        <w:spacing w:line="480" w:lineRule="auto"/>
        <w:jc w:val="both"/>
        <w:rPr>
          <w:color w:val="000000"/>
        </w:rPr>
      </w:pPr>
      <w:proofErr w:type="spellStart"/>
      <w:r w:rsidRPr="00EC6140">
        <w:rPr>
          <w:b/>
          <w:color w:val="000000"/>
        </w:rPr>
        <w:t>Totalapp</w:t>
      </w:r>
      <w:proofErr w:type="spellEnd"/>
      <w:r w:rsidR="00EE7D76">
        <w:rPr>
          <w:b/>
          <w:color w:val="000000"/>
        </w:rPr>
        <w:t>—</w:t>
      </w:r>
      <w:proofErr w:type="gramStart"/>
      <w:r w:rsidR="00EE7D76">
        <w:rPr>
          <w:color w:val="000000"/>
        </w:rPr>
        <w:t>The</w:t>
      </w:r>
      <w:proofErr w:type="gramEnd"/>
      <w:r w:rsidR="00EE7D76">
        <w:rPr>
          <w:color w:val="000000"/>
        </w:rPr>
        <w:t xml:space="preserve"> total number of appointees serving in the agency. This is calculated as the sum of the number of Senate-confirmed positions, non-career members of the Senior Executive Service, and Schedule C appointees.</w:t>
      </w:r>
    </w:p>
    <w:p w14:paraId="003BDEEB" w14:textId="7903E1F1" w:rsidR="008D45E6" w:rsidRPr="00EE7D76" w:rsidRDefault="008D45E6" w:rsidP="009F6FEE">
      <w:pPr>
        <w:spacing w:line="480" w:lineRule="auto"/>
        <w:jc w:val="both"/>
        <w:rPr>
          <w:color w:val="000000"/>
        </w:rPr>
      </w:pPr>
      <w:r w:rsidRPr="00EC6140">
        <w:rPr>
          <w:b/>
          <w:color w:val="000000"/>
        </w:rPr>
        <w:lastRenderedPageBreak/>
        <w:t>Employment (</w:t>
      </w:r>
      <w:r w:rsidR="000F39FD">
        <w:rPr>
          <w:b/>
          <w:color w:val="000000"/>
        </w:rPr>
        <w:t>March 2011</w:t>
      </w:r>
      <w:r w:rsidRPr="00EC6140">
        <w:rPr>
          <w:b/>
          <w:color w:val="000000"/>
        </w:rPr>
        <w:t>)</w:t>
      </w:r>
      <w:r w:rsidR="00EE7D76">
        <w:rPr>
          <w:b/>
          <w:color w:val="000000"/>
        </w:rPr>
        <w:t>—</w:t>
      </w:r>
      <w:proofErr w:type="gramStart"/>
      <w:r w:rsidR="00EE7D76">
        <w:rPr>
          <w:color w:val="000000"/>
        </w:rPr>
        <w:t>The</w:t>
      </w:r>
      <w:proofErr w:type="gramEnd"/>
      <w:r w:rsidR="00EE7D76">
        <w:rPr>
          <w:color w:val="000000"/>
        </w:rPr>
        <w:t xml:space="preserve"> total number of employees serving in the agency as of March, 2011.</w:t>
      </w:r>
      <w:r w:rsidR="00EE7D76" w:rsidRPr="00EE7D76">
        <w:rPr>
          <w:color w:val="000000"/>
        </w:rPr>
        <w:t xml:space="preserve"> </w:t>
      </w:r>
      <w:r w:rsidR="00EE7D76">
        <w:rPr>
          <w:color w:val="000000"/>
        </w:rPr>
        <w:t>Source: data from the Office of Personnel Managements, Central Personnel Data File (</w:t>
      </w:r>
      <w:hyperlink r:id="rId29" w:history="1">
        <w:r w:rsidR="00EE7D76">
          <w:rPr>
            <w:rStyle w:val="Hyperlink"/>
          </w:rPr>
          <w:t>http://www.fedscope.opm.gov/</w:t>
        </w:r>
      </w:hyperlink>
      <w:r w:rsidR="00EE7D76">
        <w:t>, last accessed June 30, 2011).</w:t>
      </w:r>
    </w:p>
    <w:p w14:paraId="7D2BF9BA" w14:textId="42C869DF" w:rsidR="000F39FD" w:rsidRPr="000F39FD" w:rsidRDefault="000F39FD" w:rsidP="009F6FEE">
      <w:pPr>
        <w:spacing w:line="480" w:lineRule="auto"/>
        <w:jc w:val="both"/>
        <w:rPr>
          <w:color w:val="000000"/>
        </w:rPr>
      </w:pPr>
      <w:r>
        <w:rPr>
          <w:b/>
          <w:color w:val="000000"/>
        </w:rPr>
        <w:t>budgetOutlays2010—</w:t>
      </w:r>
      <w:r>
        <w:rPr>
          <w:color w:val="000000"/>
        </w:rPr>
        <w:t>Agency budget in fy2010.</w:t>
      </w:r>
    </w:p>
    <w:p w14:paraId="13E394AC" w14:textId="492A7735" w:rsidR="00A4782F" w:rsidRPr="00471395" w:rsidRDefault="00A4782F" w:rsidP="009F6FEE">
      <w:pPr>
        <w:spacing w:line="480" w:lineRule="auto"/>
        <w:jc w:val="both"/>
        <w:rPr>
          <w:color w:val="000000"/>
        </w:rPr>
      </w:pPr>
      <w:r>
        <w:rPr>
          <w:b/>
          <w:color w:val="000000"/>
        </w:rPr>
        <w:t>FOIA Contact</w:t>
      </w:r>
      <w:r w:rsidR="00471395">
        <w:rPr>
          <w:b/>
          <w:color w:val="000000"/>
        </w:rPr>
        <w:t>—</w:t>
      </w:r>
      <w:proofErr w:type="gramStart"/>
      <w:r w:rsidR="00471395">
        <w:rPr>
          <w:color w:val="000000"/>
        </w:rPr>
        <w:t>This</w:t>
      </w:r>
      <w:proofErr w:type="gramEnd"/>
      <w:r w:rsidR="00471395">
        <w:rPr>
          <w:color w:val="000000"/>
        </w:rPr>
        <w:t xml:space="preserve"> </w:t>
      </w:r>
      <w:r w:rsidR="001E5DAC">
        <w:rPr>
          <w:color w:val="000000"/>
        </w:rPr>
        <w:t xml:space="preserve">the person FOIA.gov lists as the person to contact with FOIA requests or questions for each agency. Most agencies name a specific person but a small handful list only “FOIA Contact” or the equivalent. In cases where no specific person is listed we tried to identify a person by looking through the </w:t>
      </w:r>
      <w:r w:rsidR="001E5DAC" w:rsidRPr="006F54A6">
        <w:rPr>
          <w:i/>
          <w:color w:val="000000"/>
        </w:rPr>
        <w:t>Federal Yellow Book</w:t>
      </w:r>
      <w:r w:rsidR="001E5DAC">
        <w:rPr>
          <w:i/>
          <w:color w:val="000000"/>
        </w:rPr>
        <w:t xml:space="preserve"> </w:t>
      </w:r>
      <w:r w:rsidR="001E5DAC">
        <w:rPr>
          <w:color w:val="000000"/>
        </w:rPr>
        <w:t>and the agency website. Usually, this person is the head of the FOIA office or the FOIA public liaison listed on the agency’s FOIA website.</w:t>
      </w:r>
    </w:p>
    <w:p w14:paraId="1CCB3FEA" w14:textId="6FB14CD0" w:rsidR="00A4782F" w:rsidRPr="001E5DAC" w:rsidRDefault="007C2FCB" w:rsidP="009F6FEE">
      <w:pPr>
        <w:spacing w:line="480" w:lineRule="auto"/>
        <w:jc w:val="both"/>
        <w:rPr>
          <w:color w:val="000000"/>
        </w:rPr>
      </w:pPr>
      <w:proofErr w:type="spellStart"/>
      <w:r>
        <w:rPr>
          <w:b/>
          <w:color w:val="000000"/>
        </w:rPr>
        <w:t>FC</w:t>
      </w:r>
      <w:r w:rsidR="00A4782F">
        <w:rPr>
          <w:b/>
          <w:color w:val="000000"/>
        </w:rPr>
        <w:t>Title</w:t>
      </w:r>
      <w:proofErr w:type="spellEnd"/>
      <w:r w:rsidR="001E5DAC">
        <w:rPr>
          <w:b/>
          <w:color w:val="000000"/>
        </w:rPr>
        <w:t>—</w:t>
      </w:r>
      <w:proofErr w:type="gramStart"/>
      <w:r w:rsidR="001E5DAC">
        <w:rPr>
          <w:color w:val="000000"/>
        </w:rPr>
        <w:t>The</w:t>
      </w:r>
      <w:proofErr w:type="gramEnd"/>
      <w:r w:rsidR="001E5DAC">
        <w:rPr>
          <w:color w:val="000000"/>
        </w:rPr>
        <w:t xml:space="preserve"> title of the person listed on the FOIA.gov website as the FOIA contact.</w:t>
      </w:r>
    </w:p>
    <w:p w14:paraId="3C5FA30B" w14:textId="3EAD0BCB" w:rsidR="001E5DAC" w:rsidRPr="00E93268" w:rsidRDefault="007C2FCB" w:rsidP="009F6FEE">
      <w:pPr>
        <w:spacing w:line="480" w:lineRule="auto"/>
        <w:jc w:val="both"/>
        <w:rPr>
          <w:color w:val="000000"/>
        </w:rPr>
      </w:pPr>
      <w:proofErr w:type="spellStart"/>
      <w:r>
        <w:rPr>
          <w:b/>
          <w:color w:val="000000"/>
        </w:rPr>
        <w:t>FC</w:t>
      </w:r>
      <w:r w:rsidR="00A4782F">
        <w:rPr>
          <w:b/>
          <w:color w:val="000000"/>
        </w:rPr>
        <w:t>Bio</w:t>
      </w:r>
      <w:proofErr w:type="spellEnd"/>
      <w:r w:rsidR="00A4782F">
        <w:rPr>
          <w:b/>
          <w:color w:val="000000"/>
        </w:rPr>
        <w:t xml:space="preserve"> </w:t>
      </w:r>
      <w:r>
        <w:rPr>
          <w:b/>
          <w:color w:val="000000"/>
        </w:rPr>
        <w:t>(</w:t>
      </w:r>
      <w:r w:rsidR="00A4782F">
        <w:rPr>
          <w:b/>
          <w:color w:val="000000"/>
        </w:rPr>
        <w:t>in Yellow Book</w:t>
      </w:r>
      <w:r>
        <w:rPr>
          <w:b/>
          <w:color w:val="000000"/>
        </w:rPr>
        <w:t>)</w:t>
      </w:r>
      <w:r w:rsidR="001E5DAC">
        <w:rPr>
          <w:color w:val="000000"/>
        </w:rPr>
        <w:t>—</w:t>
      </w:r>
      <w:proofErr w:type="gramStart"/>
      <w:r w:rsidR="001E5DAC">
        <w:rPr>
          <w:color w:val="000000"/>
        </w:rPr>
        <w:t>This</w:t>
      </w:r>
      <w:proofErr w:type="gramEnd"/>
      <w:r w:rsidR="001E5DAC">
        <w:rPr>
          <w:color w:val="000000"/>
        </w:rPr>
        <w:t xml:space="preserve"> indicates whether the </w:t>
      </w:r>
      <w:r w:rsidR="001E5DAC" w:rsidRPr="00E93268">
        <w:rPr>
          <w:i/>
          <w:color w:val="000000"/>
        </w:rPr>
        <w:t xml:space="preserve">Federal Yellow Book </w:t>
      </w:r>
      <w:r w:rsidR="001E5DAC">
        <w:rPr>
          <w:color w:val="000000"/>
        </w:rPr>
        <w:t>(</w:t>
      </w:r>
      <w:hyperlink r:id="rId30" w:history="1">
        <w:r w:rsidR="001E5DAC">
          <w:rPr>
            <w:rStyle w:val="Hyperlink"/>
          </w:rPr>
          <w:t>http://www.leadershipdirectories.com/</w:t>
        </w:r>
      </w:hyperlink>
      <w:r w:rsidR="001E5DAC">
        <w:t xml:space="preserve">, last accessed June 30, 2011) </w:t>
      </w:r>
      <w:r w:rsidR="001E5DAC">
        <w:rPr>
          <w:color w:val="000000"/>
        </w:rPr>
        <w:t>includes a listing for the person listed as the FOIA contact on the FOIA.gov website.</w:t>
      </w:r>
    </w:p>
    <w:p w14:paraId="3BFEC167" w14:textId="4F6E6D67" w:rsidR="001650CB" w:rsidRDefault="007C2FCB" w:rsidP="009F6FEE">
      <w:pPr>
        <w:spacing w:line="480" w:lineRule="auto"/>
        <w:jc w:val="both"/>
        <w:rPr>
          <w:color w:val="000000"/>
        </w:rPr>
      </w:pPr>
      <w:proofErr w:type="spellStart"/>
      <w:r>
        <w:rPr>
          <w:b/>
          <w:color w:val="000000"/>
        </w:rPr>
        <w:t>FC</w:t>
      </w:r>
      <w:r w:rsidR="00A4782F">
        <w:rPr>
          <w:b/>
          <w:color w:val="000000"/>
        </w:rPr>
        <w:t>Appointment</w:t>
      </w:r>
      <w:proofErr w:type="spellEnd"/>
      <w:r w:rsidR="00A4782F">
        <w:rPr>
          <w:b/>
          <w:color w:val="000000"/>
        </w:rPr>
        <w:t xml:space="preserve"> Authority</w:t>
      </w:r>
      <w:r w:rsidR="001650CB">
        <w:rPr>
          <w:b/>
          <w:color w:val="000000"/>
        </w:rPr>
        <w:t>—</w:t>
      </w:r>
      <w:r w:rsidR="001650CB">
        <w:rPr>
          <w:color w:val="000000"/>
        </w:rPr>
        <w:t xml:space="preserve">This column indicates whether the person is a career professional (CA), a career member of the Senior Executive Service (CA (SES)), a non-career member of the Senior Executive Service (NA), a Schedule C appointee (SC), or a Senate-confirmed political appointee. In cases where the person could not be found, these columns are left blank unless there is other evidence in the letter or </w:t>
      </w:r>
      <w:r w:rsidR="001650CB" w:rsidRPr="00266927">
        <w:rPr>
          <w:i/>
          <w:color w:val="000000"/>
        </w:rPr>
        <w:t>Federal</w:t>
      </w:r>
      <w:r w:rsidR="001650CB">
        <w:rPr>
          <w:color w:val="000000"/>
        </w:rPr>
        <w:t xml:space="preserve"> </w:t>
      </w:r>
      <w:r w:rsidR="001650CB" w:rsidRPr="00266927">
        <w:rPr>
          <w:i/>
          <w:color w:val="000000"/>
        </w:rPr>
        <w:t>Yellow Book</w:t>
      </w:r>
      <w:r w:rsidR="001650CB">
        <w:rPr>
          <w:color w:val="000000"/>
        </w:rPr>
        <w:t xml:space="preserve"> indicating the location of the FOIA office and its personnel. All persons not in the </w:t>
      </w:r>
      <w:r w:rsidR="001650CB" w:rsidRPr="00266927">
        <w:rPr>
          <w:i/>
          <w:color w:val="000000"/>
        </w:rPr>
        <w:t>Federal Yellow Book</w:t>
      </w:r>
      <w:r w:rsidR="001650CB">
        <w:rPr>
          <w:color w:val="000000"/>
        </w:rPr>
        <w:t xml:space="preserve"> are assumed to be career professionals. Below is an example of a FOIA contact from the Pension Benefit Guaranty Corporation.</w:t>
      </w:r>
    </w:p>
    <w:p w14:paraId="5A67DF8F" w14:textId="184159D5" w:rsidR="00945AE3" w:rsidRDefault="00945AE3" w:rsidP="009F6FEE">
      <w:pPr>
        <w:spacing w:line="480" w:lineRule="auto"/>
        <w:jc w:val="both"/>
        <w:rPr>
          <w:color w:val="000000"/>
        </w:rPr>
      </w:pPr>
    </w:p>
    <w:p w14:paraId="1E200B3C" w14:textId="77777777" w:rsidR="00945AE3" w:rsidRDefault="00945AE3" w:rsidP="009F6FEE">
      <w:pPr>
        <w:spacing w:line="480" w:lineRule="auto"/>
        <w:jc w:val="both"/>
        <w:rPr>
          <w:color w:val="000000"/>
        </w:rPr>
      </w:pPr>
    </w:p>
    <w:tbl>
      <w:tblPr>
        <w:tblW w:w="9601" w:type="dxa"/>
        <w:tblCellSpacing w:w="15" w:type="dxa"/>
        <w:tblCellMar>
          <w:left w:w="0" w:type="dxa"/>
          <w:right w:w="0" w:type="dxa"/>
        </w:tblCellMar>
        <w:tblLook w:val="04A0" w:firstRow="1" w:lastRow="0" w:firstColumn="1" w:lastColumn="0" w:noHBand="0" w:noVBand="1"/>
      </w:tblPr>
      <w:tblGrid>
        <w:gridCol w:w="9601"/>
      </w:tblGrid>
      <w:tr w:rsidR="001650CB" w14:paraId="13695AC0" w14:textId="77777777" w:rsidTr="001650CB">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541"/>
            </w:tblGrid>
            <w:tr w:rsidR="001650CB" w14:paraId="669A10F4" w14:textId="77777777" w:rsidTr="006B4BA7">
              <w:trPr>
                <w:tblCellSpacing w:w="15" w:type="dxa"/>
              </w:trPr>
              <w:tc>
                <w:tcPr>
                  <w:tcW w:w="5000" w:type="pct"/>
                  <w:hideMark/>
                </w:tcPr>
                <w:tbl>
                  <w:tblPr>
                    <w:tblW w:w="9481" w:type="dxa"/>
                    <w:tblCellSpacing w:w="15" w:type="dxa"/>
                    <w:tblCellMar>
                      <w:left w:w="0" w:type="dxa"/>
                      <w:right w:w="0" w:type="dxa"/>
                    </w:tblCellMar>
                    <w:tblLook w:val="04A0" w:firstRow="1" w:lastRow="0" w:firstColumn="1" w:lastColumn="0" w:noHBand="0" w:noVBand="1"/>
                  </w:tblPr>
                  <w:tblGrid>
                    <w:gridCol w:w="9481"/>
                  </w:tblGrid>
                  <w:tr w:rsidR="001650CB" w14:paraId="52406B7B" w14:textId="77777777" w:rsidTr="006B4BA7">
                    <w:trPr>
                      <w:tblCellSpacing w:w="15" w:type="dxa"/>
                    </w:trPr>
                    <w:tc>
                      <w:tcPr>
                        <w:tcW w:w="0" w:type="auto"/>
                        <w:hideMark/>
                      </w:tcPr>
                      <w:p w14:paraId="374E4F2E" w14:textId="77777777" w:rsidR="001650CB" w:rsidRDefault="001650CB" w:rsidP="009F6FEE">
                        <w:pPr>
                          <w:jc w:val="both"/>
                          <w:rPr>
                            <w:rFonts w:ascii="Arial" w:hAnsi="Arial" w:cs="Arial"/>
                            <w:b/>
                            <w:bCs/>
                            <w:color w:val="000080"/>
                            <w:sz w:val="23"/>
                            <w:szCs w:val="23"/>
                          </w:rPr>
                        </w:pPr>
                        <w:r>
                          <w:rPr>
                            <w:rFonts w:ascii="Arial" w:hAnsi="Arial" w:cs="Arial"/>
                            <w:b/>
                            <w:bCs/>
                            <w:color w:val="000080"/>
                            <w:sz w:val="23"/>
                            <w:szCs w:val="23"/>
                          </w:rPr>
                          <w:lastRenderedPageBreak/>
                          <w:t>E. William Fitzgerald</w:t>
                        </w:r>
                        <w:r>
                          <w:rPr>
                            <w:rStyle w:val="apple-converted-space"/>
                            <w:rFonts w:ascii="Arial" w:hAnsi="Arial" w:cs="Arial"/>
                            <w:b/>
                            <w:bCs/>
                            <w:color w:val="000080"/>
                            <w:sz w:val="23"/>
                            <w:szCs w:val="23"/>
                          </w:rPr>
                          <w:t> </w:t>
                        </w:r>
                        <w:r>
                          <w:rPr>
                            <w:rFonts w:ascii="Arial" w:hAnsi="Arial" w:cs="Arial"/>
                            <w:b/>
                            <w:bCs/>
                            <w:noProof/>
                            <w:color w:val="000000"/>
                            <w:sz w:val="14"/>
                            <w:szCs w:val="14"/>
                          </w:rPr>
                          <w:drawing>
                            <wp:inline distT="0" distB="0" distL="0" distR="0" wp14:anchorId="2F0D5746" wp14:editId="2DD9D3B3">
                              <wp:extent cx="380365" cy="131445"/>
                              <wp:effectExtent l="19050" t="0" r="635" b="0"/>
                              <wp:docPr id="7" name="Picture 31" descr="http://lo.bvdep.com/images/document/V_Card_small.gif">
                                <a:hlinkClick xmlns:a="http://schemas.openxmlformats.org/drawingml/2006/main" r:id="rId10" tooltip="&quot;Click to download vC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o.bvdep.com/images/document/V_Card_small.gif">
                                        <a:hlinkClick r:id="rId10" tooltip="&quot;Click to download vCard&quot;"/>
                                      </pic:cNvPr>
                                      <pic:cNvPicPr>
                                        <a:picLocks noChangeAspect="1" noChangeArrowheads="1"/>
                                      </pic:cNvPicPr>
                                    </pic:nvPicPr>
                                    <pic:blipFill>
                                      <a:blip r:embed="rId11" cstate="print"/>
                                      <a:srcRect/>
                                      <a:stretch>
                                        <a:fillRect/>
                                      </a:stretch>
                                    </pic:blipFill>
                                    <pic:spPr bwMode="auto">
                                      <a:xfrm>
                                        <a:off x="0" y="0"/>
                                        <a:ext cx="380365" cy="131445"/>
                                      </a:xfrm>
                                      <a:prstGeom prst="rect">
                                        <a:avLst/>
                                      </a:prstGeom>
                                      <a:noFill/>
                                      <a:ln w="9525">
                                        <a:noFill/>
                                        <a:miter lim="800000"/>
                                        <a:headEnd/>
                                        <a:tailEnd/>
                                      </a:ln>
                                    </pic:spPr>
                                  </pic:pic>
                                </a:graphicData>
                              </a:graphic>
                            </wp:inline>
                          </w:drawing>
                        </w:r>
                        <w:r>
                          <w:rPr>
                            <w:rStyle w:val="apple-converted-space"/>
                            <w:rFonts w:ascii="Arial" w:hAnsi="Arial" w:cs="Arial"/>
                            <w:b/>
                            <w:bCs/>
                            <w:color w:val="000080"/>
                            <w:sz w:val="23"/>
                            <w:szCs w:val="23"/>
                          </w:rPr>
                          <w:t> </w:t>
                        </w:r>
                        <w:r>
                          <w:rPr>
                            <w:rFonts w:ascii="Arial" w:hAnsi="Arial" w:cs="Arial"/>
                            <w:b/>
                            <w:bCs/>
                            <w:noProof/>
                            <w:color w:val="000000"/>
                            <w:sz w:val="14"/>
                            <w:szCs w:val="14"/>
                          </w:rPr>
                          <w:drawing>
                            <wp:inline distT="0" distB="0" distL="0" distR="0" wp14:anchorId="189B4782" wp14:editId="1812F2A9">
                              <wp:extent cx="307340" cy="160655"/>
                              <wp:effectExtent l="19050" t="0" r="0" b="0"/>
                              <wp:docPr id="8" name="Picture 32" descr="http://lo.bvdep.com/images/document/icon_ln.gif">
                                <a:hlinkClick xmlns:a="http://schemas.openxmlformats.org/drawingml/2006/main" r:id="rId12" tooltip="&quot;Click to view this person's netw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o.bvdep.com/images/document/icon_ln.gif">
                                        <a:hlinkClick r:id="rId12" tooltip="&quot;Click to view this person's network&quot;"/>
                                      </pic:cNvPr>
                                      <pic:cNvPicPr>
                                        <a:picLocks noChangeAspect="1" noChangeArrowheads="1"/>
                                      </pic:cNvPicPr>
                                    </pic:nvPicPr>
                                    <pic:blipFill>
                                      <a:blip r:embed="rId13" cstate="print"/>
                                      <a:srcRect/>
                                      <a:stretch>
                                        <a:fillRect/>
                                      </a:stretch>
                                    </pic:blipFill>
                                    <pic:spPr bwMode="auto">
                                      <a:xfrm>
                                        <a:off x="0" y="0"/>
                                        <a:ext cx="307340" cy="160655"/>
                                      </a:xfrm>
                                      <a:prstGeom prst="rect">
                                        <a:avLst/>
                                      </a:prstGeom>
                                      <a:noFill/>
                                      <a:ln w="9525">
                                        <a:noFill/>
                                        <a:miter lim="800000"/>
                                        <a:headEnd/>
                                        <a:tailEnd/>
                                      </a:ln>
                                    </pic:spPr>
                                  </pic:pic>
                                </a:graphicData>
                              </a:graphic>
                            </wp:inline>
                          </w:drawing>
                        </w:r>
                      </w:p>
                    </w:tc>
                  </w:tr>
                  <w:tr w:rsidR="001650CB" w14:paraId="132E4C71" w14:textId="77777777" w:rsidTr="006B4BA7">
                    <w:trPr>
                      <w:tblCellSpacing w:w="15" w:type="dxa"/>
                    </w:trPr>
                    <w:tc>
                      <w:tcPr>
                        <w:tcW w:w="0" w:type="auto"/>
                        <w:hideMark/>
                      </w:tcPr>
                      <w:p w14:paraId="0C682A60" w14:textId="77777777" w:rsidR="001650CB" w:rsidRDefault="001650CB" w:rsidP="009F6FEE">
                        <w:pPr>
                          <w:jc w:val="both"/>
                          <w:rPr>
                            <w:rFonts w:ascii="Arial" w:hAnsi="Arial" w:cs="Arial"/>
                            <w:color w:val="000000"/>
                            <w:sz w:val="8"/>
                            <w:szCs w:val="8"/>
                          </w:rPr>
                        </w:pPr>
                        <w:r>
                          <w:rPr>
                            <w:rFonts w:ascii="Arial" w:hAnsi="Arial" w:cs="Arial"/>
                            <w:color w:val="000000"/>
                            <w:sz w:val="8"/>
                            <w:szCs w:val="8"/>
                          </w:rPr>
                          <w:t> </w:t>
                        </w:r>
                      </w:p>
                    </w:tc>
                  </w:tr>
                  <w:tr w:rsidR="001650CB" w14:paraId="4BDC98EC" w14:textId="77777777" w:rsidTr="006B4BA7">
                    <w:trPr>
                      <w:tblCellSpacing w:w="15" w:type="dxa"/>
                    </w:trPr>
                    <w:tc>
                      <w:tcPr>
                        <w:tcW w:w="0" w:type="auto"/>
                        <w:hideMark/>
                      </w:tcPr>
                      <w:p w14:paraId="72373AED"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Leadership® ID 2004691172</w:t>
                        </w:r>
                      </w:p>
                    </w:tc>
                  </w:tr>
                  <w:tr w:rsidR="001650CB" w14:paraId="7916A23E" w14:textId="77777777" w:rsidTr="006B4BA7">
                    <w:trPr>
                      <w:tblCellSpacing w:w="15" w:type="dxa"/>
                    </w:trPr>
                    <w:tc>
                      <w:tcPr>
                        <w:tcW w:w="0" w:type="auto"/>
                        <w:hideMark/>
                      </w:tcPr>
                      <w:p w14:paraId="68E37544" w14:textId="77777777" w:rsidR="001650CB" w:rsidRDefault="001650CB" w:rsidP="009F6FEE">
                        <w:pPr>
                          <w:jc w:val="both"/>
                          <w:rPr>
                            <w:rFonts w:ascii="Arial" w:hAnsi="Arial" w:cs="Arial"/>
                            <w:color w:val="000000"/>
                            <w:sz w:val="14"/>
                            <w:szCs w:val="14"/>
                          </w:rPr>
                        </w:pPr>
                        <w:r>
                          <w:rPr>
                            <w:rFonts w:ascii="Arial" w:hAnsi="Arial" w:cs="Arial"/>
                            <w:noProof/>
                            <w:color w:val="000000"/>
                            <w:sz w:val="14"/>
                            <w:szCs w:val="14"/>
                          </w:rPr>
                          <w:drawing>
                            <wp:inline distT="0" distB="0" distL="0" distR="0" wp14:anchorId="29F40C39" wp14:editId="12859D7C">
                              <wp:extent cx="241300" cy="124460"/>
                              <wp:effectExtent l="19050" t="0" r="6350" b="0"/>
                              <wp:docPr id="9" name="Picture 33" descr="http://lo.bvdep.com/images/recent_articles_icon.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o.bvdep.com/images/recent_articles_icon.gif">
                                        <a:hlinkClick r:id="rId14" tgtFrame="&quot;_blank&quot;"/>
                                      </pic:cNvPr>
                                      <pic:cNvPicPr>
                                        <a:picLocks noChangeAspect="1" noChangeArrowheads="1"/>
                                      </pic:cNvPicPr>
                                    </pic:nvPicPr>
                                    <pic:blipFill>
                                      <a:blip r:embed="rId15" cstate="print"/>
                                      <a:srcRect/>
                                      <a:stretch>
                                        <a:fillRect/>
                                      </a:stretch>
                                    </pic:blipFill>
                                    <pic:spPr bwMode="auto">
                                      <a:xfrm>
                                        <a:off x="0" y="0"/>
                                        <a:ext cx="241300" cy="124460"/>
                                      </a:xfrm>
                                      <a:prstGeom prst="rect">
                                        <a:avLst/>
                                      </a:prstGeom>
                                      <a:noFill/>
                                      <a:ln w="9525">
                                        <a:noFill/>
                                        <a:miter lim="800000"/>
                                        <a:headEnd/>
                                        <a:tailEnd/>
                                      </a:ln>
                                    </pic:spPr>
                                  </pic:pic>
                                </a:graphicData>
                              </a:graphic>
                            </wp:inline>
                          </w:drawing>
                        </w:r>
                        <w:r>
                          <w:rPr>
                            <w:rStyle w:val="apple-converted-space"/>
                            <w:rFonts w:ascii="Arial" w:hAnsi="Arial" w:cs="Arial"/>
                            <w:color w:val="000000"/>
                            <w:sz w:val="14"/>
                            <w:szCs w:val="14"/>
                          </w:rPr>
                          <w:t> </w:t>
                        </w:r>
                        <w:hyperlink r:id="rId31" w:tgtFrame="_blank" w:history="1">
                          <w:r>
                            <w:rPr>
                              <w:rStyle w:val="Hyperlink"/>
                              <w:rFonts w:ascii="Arial" w:hAnsi="Arial" w:cs="Arial"/>
                              <w:color w:val="000000"/>
                              <w:sz w:val="14"/>
                              <w:szCs w:val="14"/>
                              <w:u w:val="none"/>
                            </w:rPr>
                            <w:t>Search online for more about this person</w:t>
                          </w:r>
                        </w:hyperlink>
                      </w:p>
                    </w:tc>
                  </w:tr>
                </w:tbl>
                <w:p w14:paraId="745B1DFB" w14:textId="77777777" w:rsidR="001650CB" w:rsidRDefault="001650CB" w:rsidP="009F6FEE">
                  <w:pPr>
                    <w:jc w:val="both"/>
                    <w:rPr>
                      <w:rFonts w:ascii="Arial" w:hAnsi="Arial" w:cs="Arial"/>
                      <w:color w:val="000000"/>
                      <w:sz w:val="14"/>
                      <w:szCs w:val="14"/>
                    </w:rPr>
                  </w:pPr>
                </w:p>
              </w:tc>
            </w:tr>
          </w:tbl>
          <w:p w14:paraId="3F895AB3" w14:textId="77777777" w:rsidR="001650CB" w:rsidRDefault="001650CB" w:rsidP="009F6FEE">
            <w:pPr>
              <w:jc w:val="both"/>
              <w:rPr>
                <w:rFonts w:ascii="Arial" w:hAnsi="Arial" w:cs="Arial"/>
                <w:color w:val="000000"/>
                <w:sz w:val="14"/>
                <w:szCs w:val="14"/>
              </w:rPr>
            </w:pPr>
          </w:p>
        </w:tc>
      </w:tr>
      <w:tr w:rsidR="001650CB" w14:paraId="4B1B2F31" w14:textId="77777777" w:rsidTr="001650CB">
        <w:trPr>
          <w:tblCellSpacing w:w="15" w:type="dxa"/>
        </w:trPr>
        <w:tc>
          <w:tcPr>
            <w:tcW w:w="0" w:type="auto"/>
            <w:hideMark/>
          </w:tcPr>
          <w:p w14:paraId="4BCB236F"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 </w:t>
            </w:r>
          </w:p>
        </w:tc>
      </w:tr>
      <w:tr w:rsidR="001650CB" w14:paraId="0CB7CEA6" w14:textId="77777777" w:rsidTr="001650CB">
        <w:trPr>
          <w:tblCellSpacing w:w="15" w:type="dxa"/>
        </w:trPr>
        <w:tc>
          <w:tcPr>
            <w:tcW w:w="0" w:type="auto"/>
            <w:hideMark/>
          </w:tcPr>
          <w:p w14:paraId="6CEE4AC8" w14:textId="77777777" w:rsidR="001650CB" w:rsidRDefault="001650CB" w:rsidP="009F6FEE">
            <w:pPr>
              <w:jc w:val="both"/>
              <w:rPr>
                <w:rFonts w:ascii="Arial" w:hAnsi="Arial" w:cs="Arial"/>
                <w:color w:val="000080"/>
                <w:sz w:val="21"/>
                <w:szCs w:val="21"/>
              </w:rPr>
            </w:pPr>
            <w:r>
              <w:rPr>
                <w:rFonts w:ascii="Arial" w:hAnsi="Arial" w:cs="Arial"/>
                <w:color w:val="000080"/>
                <w:sz w:val="21"/>
                <w:szCs w:val="21"/>
              </w:rPr>
              <w:t>Best Contact Information</w:t>
            </w:r>
          </w:p>
        </w:tc>
      </w:tr>
      <w:tr w:rsidR="001650CB" w14:paraId="6E12636D" w14:textId="77777777" w:rsidTr="001650CB">
        <w:trPr>
          <w:tblCellSpacing w:w="15" w:type="dxa"/>
        </w:trPr>
        <w:tc>
          <w:tcPr>
            <w:tcW w:w="0" w:type="auto"/>
            <w:hideMark/>
          </w:tcPr>
          <w:p w14:paraId="027F70AE" w14:textId="77777777" w:rsidR="001650CB" w:rsidRDefault="001650CB" w:rsidP="009F6FEE">
            <w:pPr>
              <w:jc w:val="both"/>
              <w:rPr>
                <w:rFonts w:ascii="Arial" w:hAnsi="Arial" w:cs="Arial"/>
                <w:color w:val="000000"/>
                <w:sz w:val="8"/>
                <w:szCs w:val="8"/>
              </w:rPr>
            </w:pPr>
            <w:r>
              <w:rPr>
                <w:rFonts w:ascii="Arial" w:hAnsi="Arial" w:cs="Arial"/>
                <w:color w:val="000000"/>
                <w:sz w:val="8"/>
                <w:szCs w:val="8"/>
              </w:rPr>
              <w:t> </w:t>
            </w:r>
          </w:p>
        </w:tc>
      </w:tr>
      <w:tr w:rsidR="001650CB" w14:paraId="2C93762A" w14:textId="77777777" w:rsidTr="001650CB">
        <w:trPr>
          <w:tblCellSpacing w:w="15" w:type="dxa"/>
        </w:trPr>
        <w:tc>
          <w:tcPr>
            <w:tcW w:w="0" w:type="auto"/>
            <w:hideMark/>
          </w:tcPr>
          <w:p w14:paraId="527D50D9"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Director, Disclosure Division (FOIA/Privacy Act), Office of the General Counsel, Pension Benefit Guaranty Corporation</w:t>
            </w:r>
          </w:p>
        </w:tc>
      </w:tr>
      <w:tr w:rsidR="001650CB" w14:paraId="3020CAFD" w14:textId="77777777" w:rsidTr="001650CB">
        <w:trPr>
          <w:tblCellSpacing w:w="15" w:type="dxa"/>
        </w:trPr>
        <w:tc>
          <w:tcPr>
            <w:tcW w:w="0" w:type="auto"/>
            <w:tcMar>
              <w:top w:w="40" w:type="dxa"/>
              <w:left w:w="0" w:type="dxa"/>
              <w:bottom w:w="0" w:type="dxa"/>
              <w:right w:w="0" w:type="dxa"/>
            </w:tcMar>
            <w:hideMark/>
          </w:tcPr>
          <w:p w14:paraId="3029013A"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2AF7490F" wp14:editId="6BBA81F7">
                  <wp:extent cx="205105" cy="139065"/>
                  <wp:effectExtent l="19050" t="0" r="4445" b="0"/>
                  <wp:docPr id="10" name="Picture 34"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p>
        </w:tc>
      </w:tr>
      <w:tr w:rsidR="001650CB" w14:paraId="388CFE05" w14:textId="77777777" w:rsidTr="001650CB">
        <w:trPr>
          <w:tblCellSpacing w:w="15" w:type="dxa"/>
        </w:trPr>
        <w:tc>
          <w:tcPr>
            <w:tcW w:w="0" w:type="auto"/>
            <w:tcMar>
              <w:top w:w="40" w:type="dxa"/>
              <w:left w:w="0" w:type="dxa"/>
              <w:bottom w:w="0" w:type="dxa"/>
              <w:right w:w="0" w:type="dxa"/>
            </w:tcMar>
            <w:hideMark/>
          </w:tcPr>
          <w:p w14:paraId="7518193C"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Fax: (202) 326-4042</w:t>
            </w:r>
          </w:p>
        </w:tc>
      </w:tr>
      <w:tr w:rsidR="001650CB" w14:paraId="739E865B" w14:textId="77777777" w:rsidTr="001650CB">
        <w:trPr>
          <w:tblCellSpacing w:w="15" w:type="dxa"/>
        </w:trPr>
        <w:tc>
          <w:tcPr>
            <w:tcW w:w="0" w:type="auto"/>
            <w:tcMar>
              <w:top w:w="40" w:type="dxa"/>
              <w:left w:w="0" w:type="dxa"/>
              <w:bottom w:w="0" w:type="dxa"/>
              <w:right w:w="0" w:type="dxa"/>
            </w:tcMar>
            <w:hideMark/>
          </w:tcPr>
          <w:p w14:paraId="13F9DCF6"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Direct-Dial: (202) 326-4040</w:t>
            </w:r>
          </w:p>
        </w:tc>
      </w:tr>
      <w:tr w:rsidR="001650CB" w14:paraId="318692A8" w14:textId="77777777" w:rsidTr="001650CB">
        <w:trPr>
          <w:tblCellSpacing w:w="15" w:type="dxa"/>
        </w:trPr>
        <w:tc>
          <w:tcPr>
            <w:tcW w:w="0" w:type="auto"/>
            <w:tcMar>
              <w:top w:w="40" w:type="dxa"/>
              <w:left w:w="0" w:type="dxa"/>
              <w:bottom w:w="0" w:type="dxa"/>
              <w:right w:w="0" w:type="dxa"/>
            </w:tcMar>
            <w:hideMark/>
          </w:tcPr>
          <w:p w14:paraId="23954BB8" w14:textId="77777777" w:rsidR="001650CB" w:rsidRDefault="00BE5941" w:rsidP="009F6FEE">
            <w:pPr>
              <w:jc w:val="both"/>
              <w:rPr>
                <w:rFonts w:ascii="Arial" w:hAnsi="Arial" w:cs="Arial"/>
                <w:color w:val="000000"/>
                <w:sz w:val="14"/>
                <w:szCs w:val="14"/>
              </w:rPr>
            </w:pPr>
            <w:hyperlink r:id="rId32" w:history="1">
              <w:r w:rsidR="001650CB">
                <w:rPr>
                  <w:rStyle w:val="Hyperlink"/>
                  <w:rFonts w:ascii="Arial" w:hAnsi="Arial" w:cs="Arial"/>
                  <w:color w:val="000000"/>
                  <w:sz w:val="14"/>
                  <w:szCs w:val="14"/>
                  <w:u w:val="none"/>
                </w:rPr>
                <w:t>fitzgerald.bill@pbgc.gov</w:t>
              </w:r>
            </w:hyperlink>
          </w:p>
        </w:tc>
      </w:tr>
      <w:tr w:rsidR="001650CB" w14:paraId="480464CB" w14:textId="77777777" w:rsidTr="001650CB">
        <w:trPr>
          <w:tblCellSpacing w:w="15" w:type="dxa"/>
        </w:trPr>
        <w:tc>
          <w:tcPr>
            <w:tcW w:w="0" w:type="auto"/>
            <w:hideMark/>
          </w:tcPr>
          <w:p w14:paraId="12B51572"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 </w:t>
            </w:r>
          </w:p>
        </w:tc>
      </w:tr>
      <w:tr w:rsidR="001650CB" w14:paraId="4DE0E453" w14:textId="77777777" w:rsidTr="001650CB">
        <w:trPr>
          <w:tblCellSpacing w:w="15" w:type="dxa"/>
        </w:trPr>
        <w:tc>
          <w:tcPr>
            <w:tcW w:w="0" w:type="auto"/>
            <w:hideMark/>
          </w:tcPr>
          <w:p w14:paraId="6B9BAA4B" w14:textId="77777777" w:rsidR="001650CB" w:rsidRDefault="001650CB" w:rsidP="009F6FEE">
            <w:pPr>
              <w:jc w:val="both"/>
              <w:rPr>
                <w:rFonts w:ascii="Arial" w:hAnsi="Arial" w:cs="Arial"/>
                <w:color w:val="000080"/>
                <w:sz w:val="21"/>
                <w:szCs w:val="21"/>
              </w:rPr>
            </w:pPr>
            <w:r>
              <w:rPr>
                <w:rFonts w:ascii="Arial" w:hAnsi="Arial" w:cs="Arial"/>
                <w:color w:val="000080"/>
                <w:sz w:val="21"/>
                <w:szCs w:val="21"/>
              </w:rPr>
              <w:t>Positions</w:t>
            </w:r>
          </w:p>
        </w:tc>
      </w:tr>
      <w:tr w:rsidR="001650CB" w14:paraId="7E53289D" w14:textId="77777777" w:rsidTr="001650CB">
        <w:trPr>
          <w:tblCellSpacing w:w="15" w:type="dxa"/>
        </w:trPr>
        <w:tc>
          <w:tcPr>
            <w:tcW w:w="0" w:type="auto"/>
            <w:hideMark/>
          </w:tcPr>
          <w:p w14:paraId="47A41F57" w14:textId="77777777" w:rsidR="001650CB" w:rsidRDefault="001650CB" w:rsidP="009F6FEE">
            <w:pPr>
              <w:jc w:val="both"/>
              <w:rPr>
                <w:rFonts w:ascii="Arial" w:hAnsi="Arial" w:cs="Arial"/>
                <w:color w:val="000000"/>
                <w:sz w:val="8"/>
                <w:szCs w:val="8"/>
              </w:rPr>
            </w:pPr>
            <w:r>
              <w:rPr>
                <w:rFonts w:ascii="Arial" w:hAnsi="Arial" w:cs="Arial"/>
                <w:color w:val="000000"/>
                <w:sz w:val="8"/>
                <w:szCs w:val="8"/>
              </w:rPr>
              <w:t> </w:t>
            </w:r>
          </w:p>
        </w:tc>
      </w:tr>
      <w:tr w:rsidR="001650CB" w14:paraId="4F87E549" w14:textId="77777777" w:rsidTr="001650CB">
        <w:trPr>
          <w:tblCellSpacing w:w="15" w:type="dxa"/>
        </w:trPr>
        <w:tc>
          <w:tcPr>
            <w:tcW w:w="0" w:type="auto"/>
            <w:hideMark/>
          </w:tcPr>
          <w:p w14:paraId="574A1156" w14:textId="77777777" w:rsidR="001650CB" w:rsidRDefault="001650CB" w:rsidP="009F6FEE">
            <w:pPr>
              <w:jc w:val="both"/>
              <w:rPr>
                <w:rFonts w:ascii="Arial" w:hAnsi="Arial" w:cs="Arial"/>
                <w:b/>
                <w:bCs/>
                <w:color w:val="000080"/>
                <w:sz w:val="16"/>
                <w:szCs w:val="16"/>
              </w:rPr>
            </w:pPr>
            <w:r>
              <w:rPr>
                <w:rFonts w:ascii="Arial" w:hAnsi="Arial" w:cs="Arial"/>
                <w:b/>
                <w:bCs/>
                <w:color w:val="000080"/>
                <w:sz w:val="16"/>
                <w:szCs w:val="16"/>
              </w:rPr>
              <w:t>Director, Disclosure Division (FOIA/Privacy Act), Office of the General Counsel, Pension Benefit Guaranty Corporation</w:t>
            </w:r>
            <w:r>
              <w:rPr>
                <w:rFonts w:ascii="Arial" w:hAnsi="Arial" w:cs="Arial"/>
                <w:b/>
                <w:bCs/>
                <w:noProof/>
                <w:color w:val="000000"/>
                <w:sz w:val="14"/>
                <w:szCs w:val="14"/>
              </w:rPr>
              <w:drawing>
                <wp:inline distT="0" distB="0" distL="0" distR="0" wp14:anchorId="6D18BF70" wp14:editId="69751C4D">
                  <wp:extent cx="351155" cy="153670"/>
                  <wp:effectExtent l="19050" t="0" r="0" b="0"/>
                  <wp:docPr id="11" name="Picture 35" descr="Click to view this position within the Organization's list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to view this position within the Organization's listing">
                            <a:hlinkClick r:id="rId20"/>
                          </pic:cNvPr>
                          <pic:cNvPicPr>
                            <a:picLocks noChangeAspect="1" noChangeArrowheads="1"/>
                          </pic:cNvPicPr>
                        </pic:nvPicPr>
                        <pic:blipFill>
                          <a:blip r:embed="rId21" cstate="print"/>
                          <a:srcRect/>
                          <a:stretch>
                            <a:fillRect/>
                          </a:stretch>
                        </pic:blipFill>
                        <pic:spPr bwMode="auto">
                          <a:xfrm>
                            <a:off x="0" y="0"/>
                            <a:ext cx="351155" cy="153670"/>
                          </a:xfrm>
                          <a:prstGeom prst="rect">
                            <a:avLst/>
                          </a:prstGeom>
                          <a:noFill/>
                          <a:ln w="9525">
                            <a:noFill/>
                            <a:miter lim="800000"/>
                            <a:headEnd/>
                            <a:tailEnd/>
                          </a:ln>
                        </pic:spPr>
                      </pic:pic>
                    </a:graphicData>
                  </a:graphic>
                </wp:inline>
              </w:drawing>
            </w:r>
          </w:p>
        </w:tc>
      </w:tr>
      <w:tr w:rsidR="001650CB" w14:paraId="1C6D5F5D" w14:textId="77777777" w:rsidTr="001650CB">
        <w:trPr>
          <w:tblCellSpacing w:w="15" w:type="dxa"/>
        </w:trPr>
        <w:tc>
          <w:tcPr>
            <w:tcW w:w="0" w:type="auto"/>
            <w:hideMark/>
          </w:tcPr>
          <w:p w14:paraId="2B740194"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Reports to: Judith R. Starr, General Counsel, Office of the General Counsel, Office of the Director, Pension Benefit Guaranty Corporation</w:t>
            </w:r>
          </w:p>
        </w:tc>
      </w:tr>
      <w:tr w:rsidR="001650CB" w14:paraId="74E7A10C" w14:textId="77777777" w:rsidTr="001650CB">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84"/>
              <w:gridCol w:w="8497"/>
            </w:tblGrid>
            <w:tr w:rsidR="001650CB" w14:paraId="23CC5C70" w14:textId="77777777" w:rsidTr="006B4BA7">
              <w:trPr>
                <w:tblCellSpacing w:w="15" w:type="dxa"/>
              </w:trPr>
              <w:tc>
                <w:tcPr>
                  <w:tcW w:w="500" w:type="pct"/>
                  <w:hideMark/>
                </w:tcPr>
                <w:p w14:paraId="2AF02909"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Location:</w:t>
                  </w:r>
                </w:p>
              </w:tc>
              <w:tc>
                <w:tcPr>
                  <w:tcW w:w="0" w:type="auto"/>
                  <w:hideMark/>
                </w:tcPr>
                <w:p w14:paraId="5A63053A"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4CCBB679" wp14:editId="3E242D81">
                        <wp:extent cx="205105" cy="139065"/>
                        <wp:effectExtent l="19050" t="0" r="4445" b="0"/>
                        <wp:docPr id="12" name="Picture 36"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r>
                    <w:rPr>
                      <w:rFonts w:ascii="Arial" w:hAnsi="Arial" w:cs="Arial"/>
                      <w:color w:val="000000"/>
                      <w:sz w:val="14"/>
                      <w:szCs w:val="14"/>
                    </w:rPr>
                    <w:br/>
                    <w:t>Fax: (202) 326-4042</w:t>
                  </w:r>
                  <w:r>
                    <w:rPr>
                      <w:rFonts w:ascii="Arial" w:hAnsi="Arial" w:cs="Arial"/>
                      <w:color w:val="000000"/>
                      <w:sz w:val="14"/>
                      <w:szCs w:val="14"/>
                    </w:rPr>
                    <w:br/>
                    <w:t>Direct-Dial: (202) 326-4040</w:t>
                  </w:r>
                  <w:r>
                    <w:rPr>
                      <w:rFonts w:ascii="Arial" w:hAnsi="Arial" w:cs="Arial"/>
                      <w:color w:val="000000"/>
                      <w:sz w:val="14"/>
                      <w:szCs w:val="14"/>
                    </w:rPr>
                    <w:br/>
                  </w:r>
                  <w:hyperlink r:id="rId33" w:history="1">
                    <w:r>
                      <w:rPr>
                        <w:rStyle w:val="Hyperlink"/>
                        <w:rFonts w:ascii="Arial" w:hAnsi="Arial" w:cs="Arial"/>
                        <w:color w:val="000000"/>
                        <w:sz w:val="14"/>
                        <w:szCs w:val="14"/>
                        <w:u w:val="none"/>
                      </w:rPr>
                      <w:t>fitzgerald.bill@pbgc.gov</w:t>
                    </w:r>
                  </w:hyperlink>
                </w:p>
              </w:tc>
            </w:tr>
          </w:tbl>
          <w:p w14:paraId="7202EA69" w14:textId="77777777" w:rsidR="001650CB" w:rsidRDefault="001650CB" w:rsidP="009F6FEE">
            <w:pPr>
              <w:jc w:val="both"/>
              <w:rPr>
                <w:rFonts w:ascii="Arial" w:hAnsi="Arial" w:cs="Arial"/>
                <w:color w:val="000000"/>
                <w:sz w:val="14"/>
                <w:szCs w:val="14"/>
              </w:rPr>
            </w:pPr>
          </w:p>
        </w:tc>
      </w:tr>
      <w:tr w:rsidR="001650CB" w14:paraId="0B2BFA95" w14:textId="77777777" w:rsidTr="001650CB">
        <w:trPr>
          <w:tblCellSpacing w:w="15" w:type="dxa"/>
        </w:trPr>
        <w:tc>
          <w:tcPr>
            <w:tcW w:w="0" w:type="auto"/>
            <w:hideMark/>
          </w:tcPr>
          <w:p w14:paraId="751A4091"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 </w:t>
            </w:r>
          </w:p>
        </w:tc>
      </w:tr>
      <w:tr w:rsidR="001650CB" w14:paraId="6D5CDCD7" w14:textId="77777777" w:rsidTr="001650CB">
        <w:trPr>
          <w:tblCellSpacing w:w="15" w:type="dxa"/>
        </w:trPr>
        <w:tc>
          <w:tcPr>
            <w:tcW w:w="0" w:type="auto"/>
            <w:hideMark/>
          </w:tcPr>
          <w:p w14:paraId="3138DC01" w14:textId="77777777" w:rsidR="001650CB" w:rsidRDefault="001650CB" w:rsidP="009F6FEE">
            <w:pPr>
              <w:jc w:val="both"/>
              <w:rPr>
                <w:rFonts w:ascii="Arial" w:hAnsi="Arial" w:cs="Arial"/>
                <w:color w:val="000080"/>
                <w:sz w:val="21"/>
                <w:szCs w:val="21"/>
              </w:rPr>
            </w:pPr>
            <w:r>
              <w:rPr>
                <w:rFonts w:ascii="Arial" w:hAnsi="Arial" w:cs="Arial"/>
                <w:color w:val="000080"/>
                <w:sz w:val="21"/>
                <w:szCs w:val="21"/>
              </w:rPr>
              <w:t>Career History</w:t>
            </w:r>
          </w:p>
        </w:tc>
      </w:tr>
      <w:tr w:rsidR="001650CB" w14:paraId="3E959A31" w14:textId="77777777" w:rsidTr="001650CB">
        <w:trPr>
          <w:tblCellSpacing w:w="15" w:type="dxa"/>
        </w:trPr>
        <w:tc>
          <w:tcPr>
            <w:tcW w:w="0" w:type="auto"/>
            <w:hideMark/>
          </w:tcPr>
          <w:p w14:paraId="1E911314" w14:textId="77777777" w:rsidR="001650CB" w:rsidRDefault="001650CB" w:rsidP="009F6FEE">
            <w:pPr>
              <w:jc w:val="both"/>
              <w:rPr>
                <w:rFonts w:ascii="Arial" w:hAnsi="Arial" w:cs="Arial"/>
                <w:color w:val="000000"/>
                <w:sz w:val="8"/>
                <w:szCs w:val="8"/>
              </w:rPr>
            </w:pPr>
            <w:r>
              <w:rPr>
                <w:rFonts w:ascii="Arial" w:hAnsi="Arial" w:cs="Arial"/>
                <w:color w:val="000000"/>
                <w:sz w:val="8"/>
                <w:szCs w:val="8"/>
              </w:rPr>
              <w:t> </w:t>
            </w:r>
          </w:p>
        </w:tc>
      </w:tr>
      <w:tr w:rsidR="001650CB" w14:paraId="6C340465" w14:textId="77777777" w:rsidTr="001650CB">
        <w:trPr>
          <w:tblCellSpacing w:w="15" w:type="dxa"/>
        </w:trPr>
        <w:tc>
          <w:tcPr>
            <w:tcW w:w="0" w:type="auto"/>
            <w:hideMark/>
          </w:tcPr>
          <w:p w14:paraId="0C491EEC" w14:textId="77777777" w:rsidR="001650CB" w:rsidRDefault="001650CB" w:rsidP="009F6FEE">
            <w:pPr>
              <w:jc w:val="both"/>
              <w:rPr>
                <w:rFonts w:ascii="Arial" w:hAnsi="Arial" w:cs="Arial"/>
                <w:color w:val="000000"/>
                <w:sz w:val="14"/>
                <w:szCs w:val="14"/>
              </w:rPr>
            </w:pPr>
            <w:r>
              <w:rPr>
                <w:rFonts w:ascii="Arial" w:hAnsi="Arial" w:cs="Arial"/>
                <w:color w:val="000000"/>
                <w:sz w:val="14"/>
                <w:szCs w:val="14"/>
              </w:rPr>
              <w:t>Deputy Director, Communications and Public Affairs Department, Office of the Executive Director, Pension Benefit Guaranty Corporation</w:t>
            </w:r>
          </w:p>
        </w:tc>
      </w:tr>
    </w:tbl>
    <w:p w14:paraId="22998D88" w14:textId="77777777" w:rsidR="001650CB" w:rsidRDefault="001650CB" w:rsidP="009F6FEE">
      <w:pPr>
        <w:jc w:val="both"/>
        <w:rPr>
          <w:color w:val="000000"/>
        </w:rPr>
      </w:pPr>
    </w:p>
    <w:p w14:paraId="77D7512D" w14:textId="77777777" w:rsidR="001650CB" w:rsidRPr="006F54A6" w:rsidRDefault="001650CB" w:rsidP="009F6FEE">
      <w:pPr>
        <w:spacing w:line="480" w:lineRule="auto"/>
        <w:jc w:val="both"/>
        <w:rPr>
          <w:color w:val="000000"/>
        </w:rPr>
      </w:pPr>
      <w:r>
        <w:rPr>
          <w:color w:val="000000"/>
        </w:rPr>
        <w:t xml:space="preserve">In cases where the respondent was not listed in the </w:t>
      </w:r>
      <w:r w:rsidRPr="006F54A6">
        <w:rPr>
          <w:i/>
          <w:color w:val="000000"/>
        </w:rPr>
        <w:t>Federal Yellow Book</w:t>
      </w:r>
      <w:r>
        <w:rPr>
          <w:color w:val="000000"/>
        </w:rPr>
        <w:t xml:space="preserve"> we tried to find out the location of the FOIA office and the number of layers by examining other information in the respondent communication, the </w:t>
      </w:r>
      <w:r w:rsidRPr="006F54A6">
        <w:rPr>
          <w:i/>
          <w:color w:val="000000"/>
        </w:rPr>
        <w:t>Federal Yellow Book</w:t>
      </w:r>
      <w:r>
        <w:rPr>
          <w:color w:val="000000"/>
        </w:rPr>
        <w:t>, the FOIA.gov website, and the agency website.</w:t>
      </w:r>
    </w:p>
    <w:p w14:paraId="1A522316" w14:textId="5D6889E0" w:rsidR="003D2C77" w:rsidRPr="006F54A6" w:rsidRDefault="007C2FCB" w:rsidP="009F6FEE">
      <w:pPr>
        <w:spacing w:line="480" w:lineRule="auto"/>
        <w:jc w:val="both"/>
        <w:rPr>
          <w:color w:val="000000"/>
        </w:rPr>
      </w:pPr>
      <w:proofErr w:type="spellStart"/>
      <w:r>
        <w:rPr>
          <w:b/>
          <w:color w:val="000000"/>
        </w:rPr>
        <w:t>FC</w:t>
      </w:r>
      <w:r w:rsidR="00A4782F">
        <w:rPr>
          <w:b/>
          <w:color w:val="000000"/>
        </w:rPr>
        <w:t>Location</w:t>
      </w:r>
      <w:proofErr w:type="spellEnd"/>
      <w:r w:rsidR="00990277">
        <w:rPr>
          <w:b/>
          <w:color w:val="000000"/>
        </w:rPr>
        <w:t>—</w:t>
      </w:r>
      <w:proofErr w:type="gramStart"/>
      <w:r w:rsidR="00990277">
        <w:rPr>
          <w:color w:val="000000"/>
        </w:rPr>
        <w:t>This</w:t>
      </w:r>
      <w:proofErr w:type="gramEnd"/>
      <w:r w:rsidR="00990277">
        <w:rPr>
          <w:color w:val="000000"/>
        </w:rPr>
        <w:t xml:space="preserve"> is the part of the agency where the FOIA respondent works. The most common locations are </w:t>
      </w:r>
      <w:r w:rsidR="00990277" w:rsidRPr="00266927">
        <w:rPr>
          <w:i/>
          <w:color w:val="000000"/>
        </w:rPr>
        <w:t>management</w:t>
      </w:r>
      <w:r w:rsidR="00990277">
        <w:rPr>
          <w:color w:val="000000"/>
        </w:rPr>
        <w:t xml:space="preserve"> directorates, </w:t>
      </w:r>
      <w:r w:rsidR="00990277" w:rsidRPr="00266927">
        <w:rPr>
          <w:i/>
          <w:color w:val="000000"/>
        </w:rPr>
        <w:t>general counsel</w:t>
      </w:r>
      <w:r w:rsidR="00990277" w:rsidRPr="00266927">
        <w:rPr>
          <w:color w:val="000000"/>
        </w:rPr>
        <w:t>s</w:t>
      </w:r>
      <w:r w:rsidR="00990277" w:rsidRPr="00266927">
        <w:rPr>
          <w:i/>
          <w:color w:val="000000"/>
        </w:rPr>
        <w:t>’</w:t>
      </w:r>
      <w:r w:rsidR="00990277">
        <w:rPr>
          <w:color w:val="000000"/>
        </w:rPr>
        <w:t xml:space="preserve"> offices, </w:t>
      </w:r>
      <w:r w:rsidR="00990277" w:rsidRPr="00266927">
        <w:rPr>
          <w:i/>
          <w:color w:val="000000"/>
        </w:rPr>
        <w:t>executive secretariat</w:t>
      </w:r>
      <w:r w:rsidR="00990277" w:rsidRPr="00266927">
        <w:rPr>
          <w:color w:val="000000"/>
        </w:rPr>
        <w:t>s</w:t>
      </w:r>
      <w:r w:rsidR="00990277">
        <w:rPr>
          <w:color w:val="000000"/>
        </w:rPr>
        <w:t xml:space="preserve"> (i.e., in a separate office under the secretary, administrator, or commission chair), or the office of </w:t>
      </w:r>
      <w:r w:rsidR="00990277" w:rsidRPr="00266927">
        <w:rPr>
          <w:i/>
          <w:color w:val="000000"/>
        </w:rPr>
        <w:t>public affairs</w:t>
      </w:r>
      <w:r w:rsidR="00990277">
        <w:rPr>
          <w:color w:val="000000"/>
        </w:rPr>
        <w:t xml:space="preserve">. Each agency refers to these portions of their agencies by different names (e.g., legal affairs, administration, or communications). This column labels similar parts of the agencies by the same name rather than using the name each agency uses for itself. In the case of the person listed above, this would be coded with </w:t>
      </w:r>
      <w:r w:rsidR="00990277" w:rsidRPr="00266927">
        <w:rPr>
          <w:color w:val="000000"/>
          <w:u w:val="single"/>
        </w:rPr>
        <w:t>General Counsel</w:t>
      </w:r>
      <w:r w:rsidR="00990277">
        <w:rPr>
          <w:color w:val="000000"/>
        </w:rPr>
        <w:t xml:space="preserve"> since his office is located under the General Counsel’s office. </w:t>
      </w:r>
      <w:r w:rsidR="003D2C77">
        <w:rPr>
          <w:color w:val="000000"/>
        </w:rPr>
        <w:t xml:space="preserve">In cases where the respondent was not listed in the </w:t>
      </w:r>
      <w:r w:rsidR="003D2C77" w:rsidRPr="006F54A6">
        <w:rPr>
          <w:i/>
          <w:color w:val="000000"/>
        </w:rPr>
        <w:t>Federal Yellow Book</w:t>
      </w:r>
      <w:r w:rsidR="003D2C77">
        <w:rPr>
          <w:color w:val="000000"/>
        </w:rPr>
        <w:t xml:space="preserve"> we tried to find out the location of the FOIA office and the number of layers by examining other information in </w:t>
      </w:r>
      <w:r w:rsidR="003D2C77">
        <w:rPr>
          <w:color w:val="000000"/>
        </w:rPr>
        <w:lastRenderedPageBreak/>
        <w:t xml:space="preserve">the respondent communication, the </w:t>
      </w:r>
      <w:r w:rsidR="003D2C77" w:rsidRPr="006F54A6">
        <w:rPr>
          <w:i/>
          <w:color w:val="000000"/>
        </w:rPr>
        <w:t>Federal Yellow Book</w:t>
      </w:r>
      <w:r w:rsidR="003D2C77">
        <w:rPr>
          <w:color w:val="000000"/>
        </w:rPr>
        <w:t>, the FOIA.gov website, and the agency website.</w:t>
      </w:r>
    </w:p>
    <w:p w14:paraId="5C18C0A8" w14:textId="3BA7DC24" w:rsidR="00E103B8" w:rsidRDefault="00FB4375" w:rsidP="009F6FEE">
      <w:pPr>
        <w:spacing w:line="480" w:lineRule="auto"/>
        <w:jc w:val="both"/>
        <w:rPr>
          <w:color w:val="000000"/>
        </w:rPr>
      </w:pPr>
      <w:r>
        <w:rPr>
          <w:b/>
          <w:noProof/>
          <w:color w:val="000000"/>
        </w:rPr>
        <mc:AlternateContent>
          <mc:Choice Requires="wps">
            <w:drawing>
              <wp:anchor distT="0" distB="0" distL="114300" distR="114300" simplePos="0" relativeHeight="251675648" behindDoc="0" locked="0" layoutInCell="1" allowOverlap="1" wp14:anchorId="0CF276C6" wp14:editId="4BA58798">
                <wp:simplePos x="0" y="0"/>
                <wp:positionH relativeFrom="column">
                  <wp:posOffset>1704340</wp:posOffset>
                </wp:positionH>
                <wp:positionV relativeFrom="paragraph">
                  <wp:posOffset>601980</wp:posOffset>
                </wp:positionV>
                <wp:extent cx="2538730" cy="2326640"/>
                <wp:effectExtent l="8890" t="5080" r="5080" b="1143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232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0948" id="Rectangle 16" o:spid="_x0000_s1026" style="position:absolute;margin-left:134.2pt;margin-top:47.4pt;width:199.9pt;height:18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I6egIAAP4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" filled="f"/>
            </w:pict>
          </mc:Fallback>
        </mc:AlternateContent>
      </w:r>
      <w:proofErr w:type="spellStart"/>
      <w:r w:rsidR="007C2FCB">
        <w:rPr>
          <w:b/>
          <w:color w:val="000000"/>
        </w:rPr>
        <w:t>FC</w:t>
      </w:r>
      <w:r w:rsidR="00A4782F" w:rsidRPr="00AE0858">
        <w:rPr>
          <w:b/>
          <w:color w:val="000000"/>
        </w:rPr>
        <w:t>Layers</w:t>
      </w:r>
      <w:proofErr w:type="spellEnd"/>
      <w:r w:rsidR="00E103B8">
        <w:rPr>
          <w:b/>
          <w:color w:val="000000"/>
        </w:rPr>
        <w:t>—</w:t>
      </w:r>
      <w:proofErr w:type="gramStart"/>
      <w:r w:rsidR="00E103B8">
        <w:rPr>
          <w:color w:val="000000"/>
        </w:rPr>
        <w:t>This</w:t>
      </w:r>
      <w:proofErr w:type="gramEnd"/>
      <w:r w:rsidR="00E103B8">
        <w:rPr>
          <w:color w:val="000000"/>
        </w:rPr>
        <w:t xml:space="preserve"> is the number of layers in the organization chart between the office that includes the nearest appointee in the organization chart. </w:t>
      </w:r>
    </w:p>
    <w:p w14:paraId="3CA3D9AE" w14:textId="77777777" w:rsidR="00E103B8" w:rsidRDefault="00E103B8" w:rsidP="009F6FEE">
      <w:pPr>
        <w:spacing w:line="480" w:lineRule="auto"/>
        <w:jc w:val="center"/>
        <w:rPr>
          <w:color w:val="000000"/>
        </w:rPr>
      </w:pPr>
      <w:r>
        <w:rPr>
          <w:noProof/>
          <w:color w:val="000000"/>
        </w:rPr>
        <w:drawing>
          <wp:inline distT="0" distB="0" distL="0" distR="0" wp14:anchorId="4CC3334A" wp14:editId="779381E9">
            <wp:extent cx="2446737" cy="2162217"/>
            <wp:effectExtent l="19050" t="0" r="0" b="0"/>
            <wp:docPr id="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2448398" cy="2163685"/>
                    </a:xfrm>
                    <a:prstGeom prst="rect">
                      <a:avLst/>
                    </a:prstGeom>
                    <a:noFill/>
                    <a:ln w="9525">
                      <a:noFill/>
                      <a:miter lim="800000"/>
                      <a:headEnd/>
                      <a:tailEnd/>
                    </a:ln>
                  </pic:spPr>
                </pic:pic>
              </a:graphicData>
            </a:graphic>
          </wp:inline>
        </w:drawing>
      </w:r>
    </w:p>
    <w:p w14:paraId="74E2AA38" w14:textId="77777777" w:rsidR="00E103B8" w:rsidRDefault="00E103B8" w:rsidP="009F6FEE">
      <w:pPr>
        <w:spacing w:line="480" w:lineRule="auto"/>
        <w:jc w:val="both"/>
        <w:rPr>
          <w:color w:val="000000"/>
        </w:rPr>
      </w:pPr>
      <w:r>
        <w:rPr>
          <w:color w:val="000000"/>
        </w:rPr>
        <w:t>So, for example, in the Pension Benefit Guarantee Corporation, the director of the Disclosure Division (FOIA/Privacy Act) office is E. William Fitzgerald, a careerist.</w:t>
      </w:r>
      <w:r>
        <w:rPr>
          <w:rStyle w:val="FootnoteReference"/>
          <w:color w:val="000000"/>
        </w:rPr>
        <w:footnoteReference w:id="7"/>
      </w:r>
      <w:r>
        <w:rPr>
          <w:color w:val="000000"/>
        </w:rPr>
        <w:t xml:space="preserve"> Above him in the organization chart is the Office of the General Counsel (1), headed by Judith R. Starr, another careerist. </w:t>
      </w:r>
    </w:p>
    <w:p w14:paraId="36A92785" w14:textId="2FE2588B" w:rsidR="00E103B8" w:rsidRDefault="00FB4375" w:rsidP="009F6FEE">
      <w:pPr>
        <w:spacing w:line="480" w:lineRule="auto"/>
        <w:jc w:val="center"/>
        <w:rPr>
          <w:color w:val="000000"/>
        </w:rPr>
      </w:pPr>
      <w:r>
        <w:rPr>
          <w:noProof/>
          <w:color w:val="000000"/>
        </w:rPr>
        <w:lastRenderedPageBreak/>
        <mc:AlternateContent>
          <mc:Choice Requires="wps">
            <w:drawing>
              <wp:anchor distT="0" distB="0" distL="114300" distR="114300" simplePos="0" relativeHeight="251676672" behindDoc="0" locked="0" layoutInCell="1" allowOverlap="1" wp14:anchorId="70EBB44A" wp14:editId="42ED97B8">
                <wp:simplePos x="0" y="0"/>
                <wp:positionH relativeFrom="column">
                  <wp:posOffset>482600</wp:posOffset>
                </wp:positionH>
                <wp:positionV relativeFrom="paragraph">
                  <wp:posOffset>-86360</wp:posOffset>
                </wp:positionV>
                <wp:extent cx="5047615" cy="3034665"/>
                <wp:effectExtent l="6350" t="10795" r="13335" b="12065"/>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615" cy="303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95A9" id="Rectangle 17" o:spid="_x0000_s1026" style="position:absolute;margin-left:38pt;margin-top:-6.8pt;width:397.45pt;height:2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QuegIAAP4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" filled="f"/>
            </w:pict>
          </mc:Fallback>
        </mc:AlternateContent>
      </w:r>
      <w:r w:rsidR="00E103B8">
        <w:rPr>
          <w:noProof/>
          <w:color w:val="000000"/>
        </w:rPr>
        <w:drawing>
          <wp:inline distT="0" distB="0" distL="0" distR="0" wp14:anchorId="1D706369" wp14:editId="7BA2759A">
            <wp:extent cx="4842662" cy="2864146"/>
            <wp:effectExtent l="19050" t="0" r="0" b="0"/>
            <wp:docPr id="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a:stretch>
                      <a:fillRect/>
                    </a:stretch>
                  </pic:blipFill>
                  <pic:spPr bwMode="auto">
                    <a:xfrm>
                      <a:off x="0" y="0"/>
                      <a:ext cx="4843283" cy="2864513"/>
                    </a:xfrm>
                    <a:prstGeom prst="rect">
                      <a:avLst/>
                    </a:prstGeom>
                    <a:noFill/>
                    <a:ln w="9525">
                      <a:noFill/>
                      <a:miter lim="800000"/>
                      <a:headEnd/>
                      <a:tailEnd/>
                    </a:ln>
                  </pic:spPr>
                </pic:pic>
              </a:graphicData>
            </a:graphic>
          </wp:inline>
        </w:drawing>
      </w:r>
    </w:p>
    <w:p w14:paraId="125DF8DA" w14:textId="77777777" w:rsidR="00E103B8" w:rsidRDefault="00E103B8" w:rsidP="009F6FEE">
      <w:pPr>
        <w:spacing w:line="480" w:lineRule="auto"/>
        <w:jc w:val="both"/>
        <w:rPr>
          <w:color w:val="000000"/>
        </w:rPr>
      </w:pPr>
      <w:r>
        <w:rPr>
          <w:color w:val="000000"/>
        </w:rPr>
        <w:t xml:space="preserve">Above the Office of the General Counsel is the Office of the Director (2), Joshua </w:t>
      </w:r>
      <w:proofErr w:type="spellStart"/>
      <w:r>
        <w:rPr>
          <w:color w:val="000000"/>
        </w:rPr>
        <w:t>Gotbaum</w:t>
      </w:r>
      <w:proofErr w:type="spellEnd"/>
      <w:r>
        <w:rPr>
          <w:color w:val="000000"/>
        </w:rPr>
        <w:t xml:space="preserve">, </w:t>
      </w:r>
      <w:proofErr w:type="gramStart"/>
      <w:r>
        <w:rPr>
          <w:color w:val="000000"/>
        </w:rPr>
        <w:t>a</w:t>
      </w:r>
      <w:proofErr w:type="gramEnd"/>
      <w:r>
        <w:rPr>
          <w:color w:val="000000"/>
        </w:rPr>
        <w:t xml:space="preserve"> Senate Confirmed Appointee. This is two layers above Fitzgerald. If Fitzgerald or someone in his office were the respondent in a letter, this would be coded with a 2, indicating that the respondent would have to go two levels up in the organization chart to reach and appointee. A person that was an appointee or working in an office directly headed by an appointee would be coded with a 0.</w:t>
      </w:r>
    </w:p>
    <w:p w14:paraId="3A208D60" w14:textId="77777777" w:rsidR="00E103B8" w:rsidRDefault="00E103B8" w:rsidP="009F6FEE">
      <w:pPr>
        <w:spacing w:line="480" w:lineRule="auto"/>
        <w:ind w:firstLine="720"/>
        <w:jc w:val="both"/>
        <w:rPr>
          <w:color w:val="000000"/>
        </w:rPr>
      </w:pPr>
      <w:r>
        <w:rPr>
          <w:color w:val="000000"/>
        </w:rPr>
        <w:t xml:space="preserve">In some cases the </w:t>
      </w:r>
      <w:r w:rsidRPr="001E048B">
        <w:rPr>
          <w:i/>
          <w:color w:val="000000"/>
        </w:rPr>
        <w:t>Federal Yellow Book</w:t>
      </w:r>
      <w:r>
        <w:rPr>
          <w:color w:val="000000"/>
        </w:rPr>
        <w:t xml:space="preserve"> indicates offices and divisions within agencies by their listing in the book rather than in the organization chart. So, for example, the Office of the Secretary will include offices of civil rights, general counsel, public affairs, etc. but only the Office of the Secretary will be included in the organization chart. In such cases the text listing of the Office of the Secretary will include internal organization via formatting. Namely, the office in question will be indented in the following manner:</w:t>
      </w:r>
    </w:p>
    <w:p w14:paraId="0DDC6EF9" w14:textId="77777777" w:rsidR="00E103B8" w:rsidRDefault="00E103B8" w:rsidP="009F6FEE">
      <w:pPr>
        <w:spacing w:line="480" w:lineRule="auto"/>
        <w:ind w:left="1440" w:hanging="720"/>
        <w:jc w:val="both"/>
        <w:rPr>
          <w:color w:val="000000"/>
        </w:rPr>
      </w:pPr>
      <w:r>
        <w:rPr>
          <w:color w:val="000000"/>
        </w:rPr>
        <w:t>Office of the Secretary</w:t>
      </w:r>
    </w:p>
    <w:p w14:paraId="5C9A0ACA" w14:textId="77777777" w:rsidR="00E103B8" w:rsidRDefault="00E103B8" w:rsidP="009F6FEE">
      <w:pPr>
        <w:spacing w:line="480" w:lineRule="auto"/>
        <w:ind w:left="1440" w:hanging="720"/>
        <w:jc w:val="both"/>
        <w:rPr>
          <w:color w:val="000000"/>
        </w:rPr>
      </w:pPr>
      <w:r>
        <w:rPr>
          <w:color w:val="000000"/>
        </w:rPr>
        <w:t>Chief of Staff</w:t>
      </w:r>
    </w:p>
    <w:p w14:paraId="1C9CDA66" w14:textId="77777777" w:rsidR="00E103B8" w:rsidRDefault="00E103B8" w:rsidP="009F6FEE">
      <w:pPr>
        <w:spacing w:line="480" w:lineRule="auto"/>
        <w:ind w:left="1440" w:hanging="720"/>
        <w:jc w:val="both"/>
        <w:rPr>
          <w:color w:val="000000"/>
        </w:rPr>
      </w:pPr>
      <w:r>
        <w:rPr>
          <w:color w:val="000000"/>
        </w:rPr>
        <w:t>Deputy Chief of Staff</w:t>
      </w:r>
    </w:p>
    <w:p w14:paraId="48734DED" w14:textId="77777777" w:rsidR="00E103B8" w:rsidRDefault="00E103B8" w:rsidP="009F6FEE">
      <w:pPr>
        <w:spacing w:line="480" w:lineRule="auto"/>
        <w:ind w:left="1440" w:hanging="720"/>
        <w:jc w:val="both"/>
        <w:rPr>
          <w:color w:val="000000"/>
        </w:rPr>
      </w:pPr>
      <w:r>
        <w:rPr>
          <w:color w:val="000000"/>
        </w:rPr>
        <w:tab/>
        <w:t>General Counsel</w:t>
      </w:r>
    </w:p>
    <w:p w14:paraId="0A8152E5" w14:textId="77777777" w:rsidR="00E103B8" w:rsidRDefault="00E103B8" w:rsidP="009F6FEE">
      <w:pPr>
        <w:spacing w:line="480" w:lineRule="auto"/>
        <w:ind w:left="1440" w:hanging="720"/>
        <w:jc w:val="both"/>
        <w:rPr>
          <w:color w:val="000000"/>
        </w:rPr>
      </w:pPr>
      <w:r>
        <w:rPr>
          <w:color w:val="000000"/>
        </w:rPr>
        <w:lastRenderedPageBreak/>
        <w:tab/>
        <w:t>Associate Counsel</w:t>
      </w:r>
    </w:p>
    <w:p w14:paraId="1E55CDD8" w14:textId="77777777" w:rsidR="00E103B8" w:rsidRDefault="00E103B8" w:rsidP="009F6FEE">
      <w:pPr>
        <w:spacing w:line="480" w:lineRule="auto"/>
        <w:ind w:left="1440" w:hanging="720"/>
        <w:jc w:val="both"/>
        <w:rPr>
          <w:color w:val="000000"/>
        </w:rPr>
      </w:pPr>
      <w:r>
        <w:rPr>
          <w:color w:val="000000"/>
        </w:rPr>
        <w:tab/>
        <w:t>Associate Counsel</w:t>
      </w:r>
    </w:p>
    <w:p w14:paraId="5CC6A937" w14:textId="77777777" w:rsidR="00A4782F" w:rsidRPr="00AE0858" w:rsidRDefault="00E103B8" w:rsidP="009F6FEE">
      <w:pPr>
        <w:spacing w:line="480" w:lineRule="auto"/>
        <w:jc w:val="both"/>
        <w:rPr>
          <w:b/>
          <w:color w:val="000000"/>
        </w:rPr>
      </w:pPr>
      <w:r>
        <w:rPr>
          <w:color w:val="000000"/>
        </w:rPr>
        <w:t xml:space="preserve">In such cases the indented office (e.g., General Counsel’s office) is considered as an office below the office of the secretary, but only if the text listing in the </w:t>
      </w:r>
      <w:r w:rsidRPr="001C4D5F">
        <w:rPr>
          <w:i/>
          <w:color w:val="000000"/>
        </w:rPr>
        <w:t>Federal Yellow Book</w:t>
      </w:r>
      <w:r>
        <w:rPr>
          <w:color w:val="000000"/>
        </w:rPr>
        <w:t xml:space="preserve"> includes this indenting and suggests such a structure.</w:t>
      </w:r>
    </w:p>
    <w:p w14:paraId="4C568356" w14:textId="77777777" w:rsidR="00A4782F" w:rsidRDefault="00A4782F" w:rsidP="009F6FEE">
      <w:pPr>
        <w:spacing w:line="480" w:lineRule="auto"/>
        <w:jc w:val="both"/>
        <w:rPr>
          <w:rStyle w:val="apple-style-span"/>
        </w:rPr>
      </w:pPr>
      <w:r w:rsidRPr="00AE0858">
        <w:rPr>
          <w:b/>
          <w:color w:val="000000"/>
        </w:rPr>
        <w:t>Chief FOIA Officer</w:t>
      </w:r>
      <w:r w:rsidR="00AE0858" w:rsidRPr="00AE0858">
        <w:rPr>
          <w:b/>
          <w:color w:val="000000"/>
        </w:rPr>
        <w:t>—</w:t>
      </w:r>
      <w:r w:rsidR="00AE0858" w:rsidRPr="001E5DAC">
        <w:t>According to FOIA.gov this is a high-level person in the department or agency that has responsibility for FOIA. Specifically, the site says the Chief FOIA officer is “</w:t>
      </w:r>
      <w:r w:rsidR="00AE0858" w:rsidRPr="001E5DAC">
        <w:rPr>
          <w:rStyle w:val="apple-style-span"/>
        </w:rPr>
        <w:t>A designated high-level official within each agency who has overall responsibility for the agency’s compliance with the FOIA. Each federal agency is required to have a Chief FOIA Officer, who is responsible for ensuring that their agency is compliant with the FOIA, that their agency is working efficiently on FOIA requests and appeals, and constantly improving how each agency works with the FOIA. While each agency has a Chief FOIA Officer, these officers serve in an oversight position, and are not always the main FOIA contact in each agency.”</w:t>
      </w:r>
      <w:r w:rsidR="00AE0858" w:rsidRPr="001E5DAC">
        <w:rPr>
          <w:rStyle w:val="FootnoteReference"/>
        </w:rPr>
        <w:footnoteReference w:id="8"/>
      </w:r>
      <w:r w:rsidR="006B4BA7">
        <w:rPr>
          <w:rStyle w:val="apple-style-span"/>
        </w:rPr>
        <w:t xml:space="preserve"> </w:t>
      </w:r>
    </w:p>
    <w:p w14:paraId="2DF96AB6" w14:textId="77777777" w:rsidR="006B4BA7" w:rsidRPr="00AE0858" w:rsidRDefault="006B4BA7" w:rsidP="009F6FEE">
      <w:pPr>
        <w:spacing w:line="480" w:lineRule="auto"/>
        <w:jc w:val="both"/>
        <w:rPr>
          <w:b/>
          <w:color w:val="000000"/>
        </w:rPr>
      </w:pPr>
      <w:r>
        <w:rPr>
          <w:rStyle w:val="apple-style-span"/>
        </w:rPr>
        <w:tab/>
        <w:t xml:space="preserve">One complication here is cases where the agency is a sub-cabinet agency such as the Food and Drug Administration or the Department of the Army. </w:t>
      </w:r>
      <w:r w:rsidR="00B55260">
        <w:rPr>
          <w:rStyle w:val="apple-style-span"/>
        </w:rPr>
        <w:t>Should be Chief FOIA Officer for the Army be considered the Chief FOIA Officer for the Department of Defense? Ultimately, we decided in the affirmative but note that the dataset includes an indicator for bureaus that allows the user of the data to separate out these cases easily.</w:t>
      </w:r>
    </w:p>
    <w:p w14:paraId="547F943E" w14:textId="706DDB4D" w:rsidR="00A4782F" w:rsidRPr="00E103B8" w:rsidRDefault="00A4782F" w:rsidP="009F6FEE">
      <w:pPr>
        <w:spacing w:line="480" w:lineRule="auto"/>
        <w:jc w:val="both"/>
        <w:rPr>
          <w:color w:val="000000"/>
        </w:rPr>
      </w:pPr>
      <w:r w:rsidRPr="00AE0858">
        <w:rPr>
          <w:b/>
          <w:color w:val="000000"/>
        </w:rPr>
        <w:t>Title</w:t>
      </w:r>
      <w:r w:rsidR="007C2FCB">
        <w:rPr>
          <w:b/>
          <w:color w:val="000000"/>
        </w:rPr>
        <w:t>.3</w:t>
      </w:r>
      <w:r w:rsidR="00E103B8">
        <w:rPr>
          <w:b/>
          <w:color w:val="000000"/>
        </w:rPr>
        <w:t>—</w:t>
      </w:r>
      <w:r w:rsidR="00E103B8" w:rsidRPr="00E103B8">
        <w:rPr>
          <w:color w:val="000000"/>
        </w:rPr>
        <w:t xml:space="preserve"> </w:t>
      </w:r>
      <w:proofErr w:type="gramStart"/>
      <w:r w:rsidR="00E103B8">
        <w:rPr>
          <w:color w:val="000000"/>
        </w:rPr>
        <w:t>The</w:t>
      </w:r>
      <w:proofErr w:type="gramEnd"/>
      <w:r w:rsidR="00E103B8">
        <w:rPr>
          <w:color w:val="000000"/>
        </w:rPr>
        <w:t xml:space="preserve"> title of the person listed on the FOIA.gov website as the Chief FOIA Officer.</w:t>
      </w:r>
    </w:p>
    <w:p w14:paraId="3D66FD58" w14:textId="283AC2B4" w:rsidR="00A4782F" w:rsidRDefault="007C2FCB" w:rsidP="009F6FEE">
      <w:pPr>
        <w:spacing w:line="480" w:lineRule="auto"/>
        <w:jc w:val="both"/>
        <w:rPr>
          <w:b/>
          <w:color w:val="000000"/>
        </w:rPr>
      </w:pPr>
      <w:proofErr w:type="spellStart"/>
      <w:proofErr w:type="gramStart"/>
      <w:r>
        <w:rPr>
          <w:b/>
          <w:color w:val="000000"/>
        </w:rPr>
        <w:t>CFOIA</w:t>
      </w:r>
      <w:r w:rsidR="00A4782F">
        <w:rPr>
          <w:b/>
          <w:color w:val="000000"/>
        </w:rPr>
        <w:t>Bio</w:t>
      </w:r>
      <w:proofErr w:type="spellEnd"/>
      <w:r>
        <w:rPr>
          <w:b/>
          <w:color w:val="000000"/>
        </w:rPr>
        <w:t>(</w:t>
      </w:r>
      <w:proofErr w:type="gramEnd"/>
      <w:r w:rsidR="00A4782F">
        <w:rPr>
          <w:b/>
          <w:color w:val="000000"/>
        </w:rPr>
        <w:t xml:space="preserve"> in Yellow Book</w:t>
      </w:r>
      <w:r>
        <w:rPr>
          <w:b/>
          <w:color w:val="000000"/>
        </w:rPr>
        <w:t>)</w:t>
      </w:r>
      <w:r w:rsidR="000F2E2B">
        <w:rPr>
          <w:color w:val="000000"/>
        </w:rPr>
        <w:t xml:space="preserve">—This indicates whether the </w:t>
      </w:r>
      <w:r w:rsidR="000F2E2B" w:rsidRPr="00E93268">
        <w:rPr>
          <w:i/>
          <w:color w:val="000000"/>
        </w:rPr>
        <w:t xml:space="preserve">Federal Yellow Book </w:t>
      </w:r>
      <w:r w:rsidR="000F2E2B">
        <w:rPr>
          <w:color w:val="000000"/>
        </w:rPr>
        <w:t>(</w:t>
      </w:r>
      <w:hyperlink r:id="rId34" w:history="1">
        <w:r w:rsidR="000F2E2B">
          <w:rPr>
            <w:rStyle w:val="Hyperlink"/>
          </w:rPr>
          <w:t>http://www.leadershipdirectories.com/</w:t>
        </w:r>
      </w:hyperlink>
      <w:r w:rsidR="000F2E2B">
        <w:t xml:space="preserve">, last accessed June 30, 2011) </w:t>
      </w:r>
      <w:r w:rsidR="000F2E2B">
        <w:rPr>
          <w:color w:val="000000"/>
        </w:rPr>
        <w:t>includes a listing for the person the FOIA.gov website identifies as the Chief FOIA Officer.</w:t>
      </w:r>
    </w:p>
    <w:p w14:paraId="3311E53F" w14:textId="1C0BBC6D" w:rsidR="00CA077C" w:rsidRDefault="007C2FCB" w:rsidP="009F6FEE">
      <w:pPr>
        <w:spacing w:line="480" w:lineRule="auto"/>
        <w:jc w:val="both"/>
        <w:rPr>
          <w:color w:val="000000"/>
        </w:rPr>
      </w:pPr>
      <w:proofErr w:type="spellStart"/>
      <w:r>
        <w:rPr>
          <w:b/>
          <w:color w:val="000000"/>
        </w:rPr>
        <w:lastRenderedPageBreak/>
        <w:t>CFOIA</w:t>
      </w:r>
      <w:r w:rsidR="00A4782F">
        <w:rPr>
          <w:b/>
          <w:color w:val="000000"/>
        </w:rPr>
        <w:t>Appointment</w:t>
      </w:r>
      <w:proofErr w:type="spellEnd"/>
      <w:r w:rsidR="00A4782F">
        <w:rPr>
          <w:b/>
          <w:color w:val="000000"/>
        </w:rPr>
        <w:t xml:space="preserve"> Authority</w:t>
      </w:r>
      <w:r w:rsidR="00CA077C">
        <w:rPr>
          <w:b/>
          <w:color w:val="000000"/>
        </w:rPr>
        <w:t>—</w:t>
      </w:r>
      <w:r w:rsidR="00CA077C">
        <w:rPr>
          <w:color w:val="000000"/>
        </w:rPr>
        <w:t xml:space="preserve">This column indicates whether the person is a career professional (CA), a career member of the Senior Executive Service (CA (SES)), a non-career member of the Senior Executive Service (NA), a Schedule C appointee (SC), or a Senate-confirmed political appointee. In cases where the person could not be found, these columns are left blank unless there is other evidence in the letter or </w:t>
      </w:r>
      <w:r w:rsidR="00CA077C" w:rsidRPr="00266927">
        <w:rPr>
          <w:i/>
          <w:color w:val="000000"/>
        </w:rPr>
        <w:t>Federal</w:t>
      </w:r>
      <w:r w:rsidR="00CA077C">
        <w:rPr>
          <w:color w:val="000000"/>
        </w:rPr>
        <w:t xml:space="preserve"> </w:t>
      </w:r>
      <w:r w:rsidR="00CA077C" w:rsidRPr="00266927">
        <w:rPr>
          <w:i/>
          <w:color w:val="000000"/>
        </w:rPr>
        <w:t>Yellow Book</w:t>
      </w:r>
      <w:r w:rsidR="00CA077C">
        <w:rPr>
          <w:color w:val="000000"/>
        </w:rPr>
        <w:t xml:space="preserve"> indicating the location of the FOIA office and its personnel. All persons not in the </w:t>
      </w:r>
      <w:r w:rsidR="00CA077C" w:rsidRPr="00266927">
        <w:rPr>
          <w:i/>
          <w:color w:val="000000"/>
        </w:rPr>
        <w:t>Federal Yellow Book</w:t>
      </w:r>
      <w:r w:rsidR="00CA077C">
        <w:rPr>
          <w:color w:val="000000"/>
        </w:rPr>
        <w:t xml:space="preserve"> are assumed to be career professionals. Below is an example of a FOIA contact from the Pension Benefit Guaranty Corporation.</w:t>
      </w:r>
    </w:p>
    <w:tbl>
      <w:tblPr>
        <w:tblW w:w="9601" w:type="dxa"/>
        <w:tblCellSpacing w:w="15" w:type="dxa"/>
        <w:tblCellMar>
          <w:left w:w="0" w:type="dxa"/>
          <w:right w:w="0" w:type="dxa"/>
        </w:tblCellMar>
        <w:tblLook w:val="04A0" w:firstRow="1" w:lastRow="0" w:firstColumn="1" w:lastColumn="0" w:noHBand="0" w:noVBand="1"/>
      </w:tblPr>
      <w:tblGrid>
        <w:gridCol w:w="9601"/>
      </w:tblGrid>
      <w:tr w:rsidR="00CA077C" w14:paraId="4AD18038" w14:textId="77777777" w:rsidTr="00BE5941">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541"/>
            </w:tblGrid>
            <w:tr w:rsidR="00CA077C" w14:paraId="402930EF" w14:textId="77777777" w:rsidTr="00BE5941">
              <w:trPr>
                <w:tblCellSpacing w:w="15" w:type="dxa"/>
              </w:trPr>
              <w:tc>
                <w:tcPr>
                  <w:tcW w:w="5000" w:type="pct"/>
                  <w:hideMark/>
                </w:tcPr>
                <w:tbl>
                  <w:tblPr>
                    <w:tblW w:w="9481" w:type="dxa"/>
                    <w:tblCellSpacing w:w="15" w:type="dxa"/>
                    <w:tblCellMar>
                      <w:left w:w="0" w:type="dxa"/>
                      <w:right w:w="0" w:type="dxa"/>
                    </w:tblCellMar>
                    <w:tblLook w:val="04A0" w:firstRow="1" w:lastRow="0" w:firstColumn="1" w:lastColumn="0" w:noHBand="0" w:noVBand="1"/>
                  </w:tblPr>
                  <w:tblGrid>
                    <w:gridCol w:w="9481"/>
                  </w:tblGrid>
                  <w:tr w:rsidR="00CA077C" w14:paraId="6AD72630" w14:textId="77777777" w:rsidTr="00BE5941">
                    <w:trPr>
                      <w:tblCellSpacing w:w="15" w:type="dxa"/>
                    </w:trPr>
                    <w:tc>
                      <w:tcPr>
                        <w:tcW w:w="0" w:type="auto"/>
                        <w:hideMark/>
                      </w:tcPr>
                      <w:p w14:paraId="50947847" w14:textId="455036F9" w:rsidR="00CA077C" w:rsidRDefault="00FB4375" w:rsidP="009F6FEE">
                        <w:pPr>
                          <w:jc w:val="both"/>
                          <w:rPr>
                            <w:rFonts w:ascii="Arial" w:hAnsi="Arial" w:cs="Arial"/>
                            <w:b/>
                            <w:bCs/>
                            <w:color w:val="000080"/>
                            <w:sz w:val="23"/>
                            <w:szCs w:val="23"/>
                          </w:rPr>
                        </w:pPr>
                        <w:r>
                          <w:rPr>
                            <w:b/>
                            <w:noProof/>
                            <w:color w:val="000000"/>
                          </w:rPr>
                          <mc:AlternateContent>
                            <mc:Choice Requires="wps">
                              <w:drawing>
                                <wp:anchor distT="0" distB="0" distL="114300" distR="114300" simplePos="0" relativeHeight="251677696" behindDoc="0" locked="0" layoutInCell="1" allowOverlap="1" wp14:anchorId="22869992" wp14:editId="3CBD4D6E">
                                  <wp:simplePos x="0" y="0"/>
                                  <wp:positionH relativeFrom="column">
                                    <wp:posOffset>-118745</wp:posOffset>
                                  </wp:positionH>
                                  <wp:positionV relativeFrom="paragraph">
                                    <wp:posOffset>-123190</wp:posOffset>
                                  </wp:positionV>
                                  <wp:extent cx="6188710" cy="3789045"/>
                                  <wp:effectExtent l="5080" t="11430" r="6985" b="952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3789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95B7A" id="Rectangle 18" o:spid="_x0000_s1026" style="position:absolute;margin-left:-9.35pt;margin-top:-9.7pt;width:487.3pt;height:29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d5egIAAP4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" filled="f"/>
                              </w:pict>
                            </mc:Fallback>
                          </mc:AlternateContent>
                        </w:r>
                        <w:r w:rsidR="00CA077C">
                          <w:rPr>
                            <w:rFonts w:ascii="Arial" w:hAnsi="Arial" w:cs="Arial"/>
                            <w:b/>
                            <w:bCs/>
                            <w:color w:val="000080"/>
                            <w:sz w:val="23"/>
                            <w:szCs w:val="23"/>
                          </w:rPr>
                          <w:t>E. William Fitzgerald</w:t>
                        </w:r>
                        <w:r w:rsidR="00CA077C">
                          <w:rPr>
                            <w:rStyle w:val="apple-converted-space"/>
                            <w:rFonts w:ascii="Arial" w:hAnsi="Arial" w:cs="Arial"/>
                            <w:b/>
                            <w:bCs/>
                            <w:color w:val="000080"/>
                            <w:sz w:val="23"/>
                            <w:szCs w:val="23"/>
                          </w:rPr>
                          <w:t> </w:t>
                        </w:r>
                        <w:r w:rsidR="00CA077C">
                          <w:rPr>
                            <w:rFonts w:ascii="Arial" w:hAnsi="Arial" w:cs="Arial"/>
                            <w:b/>
                            <w:bCs/>
                            <w:noProof/>
                            <w:color w:val="000000"/>
                            <w:sz w:val="14"/>
                            <w:szCs w:val="14"/>
                          </w:rPr>
                          <w:drawing>
                            <wp:inline distT="0" distB="0" distL="0" distR="0" wp14:anchorId="20BE3D00" wp14:editId="3D36DD00">
                              <wp:extent cx="380365" cy="131445"/>
                              <wp:effectExtent l="19050" t="0" r="635" b="0"/>
                              <wp:docPr id="15" name="Picture 31" descr="http://lo.bvdep.com/images/document/V_Card_small.gif">
                                <a:hlinkClick xmlns:a="http://schemas.openxmlformats.org/drawingml/2006/main" r:id="rId10" tooltip="&quot;Click to download vC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o.bvdep.com/images/document/V_Card_small.gif">
                                        <a:hlinkClick r:id="rId10" tooltip="&quot;Click to download vCard&quot;"/>
                                      </pic:cNvPr>
                                      <pic:cNvPicPr>
                                        <a:picLocks noChangeAspect="1" noChangeArrowheads="1"/>
                                      </pic:cNvPicPr>
                                    </pic:nvPicPr>
                                    <pic:blipFill>
                                      <a:blip r:embed="rId11" cstate="print"/>
                                      <a:srcRect/>
                                      <a:stretch>
                                        <a:fillRect/>
                                      </a:stretch>
                                    </pic:blipFill>
                                    <pic:spPr bwMode="auto">
                                      <a:xfrm>
                                        <a:off x="0" y="0"/>
                                        <a:ext cx="380365" cy="131445"/>
                                      </a:xfrm>
                                      <a:prstGeom prst="rect">
                                        <a:avLst/>
                                      </a:prstGeom>
                                      <a:noFill/>
                                      <a:ln w="9525">
                                        <a:noFill/>
                                        <a:miter lim="800000"/>
                                        <a:headEnd/>
                                        <a:tailEnd/>
                                      </a:ln>
                                    </pic:spPr>
                                  </pic:pic>
                                </a:graphicData>
                              </a:graphic>
                            </wp:inline>
                          </w:drawing>
                        </w:r>
                        <w:r w:rsidR="00CA077C">
                          <w:rPr>
                            <w:rStyle w:val="apple-converted-space"/>
                            <w:rFonts w:ascii="Arial" w:hAnsi="Arial" w:cs="Arial"/>
                            <w:b/>
                            <w:bCs/>
                            <w:color w:val="000080"/>
                            <w:sz w:val="23"/>
                            <w:szCs w:val="23"/>
                          </w:rPr>
                          <w:t> </w:t>
                        </w:r>
                        <w:r w:rsidR="00CA077C">
                          <w:rPr>
                            <w:rFonts w:ascii="Arial" w:hAnsi="Arial" w:cs="Arial"/>
                            <w:b/>
                            <w:bCs/>
                            <w:noProof/>
                            <w:color w:val="000000"/>
                            <w:sz w:val="14"/>
                            <w:szCs w:val="14"/>
                          </w:rPr>
                          <w:drawing>
                            <wp:inline distT="0" distB="0" distL="0" distR="0" wp14:anchorId="7CC92515" wp14:editId="4BA09FE6">
                              <wp:extent cx="307340" cy="160655"/>
                              <wp:effectExtent l="19050" t="0" r="0" b="0"/>
                              <wp:docPr id="16" name="Picture 32" descr="http://lo.bvdep.com/images/document/icon_ln.gif">
                                <a:hlinkClick xmlns:a="http://schemas.openxmlformats.org/drawingml/2006/main" r:id="rId12" tooltip="&quot;Click to view this person's netw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o.bvdep.com/images/document/icon_ln.gif">
                                        <a:hlinkClick r:id="rId12" tooltip="&quot;Click to view this person's network&quot;"/>
                                      </pic:cNvPr>
                                      <pic:cNvPicPr>
                                        <a:picLocks noChangeAspect="1" noChangeArrowheads="1"/>
                                      </pic:cNvPicPr>
                                    </pic:nvPicPr>
                                    <pic:blipFill>
                                      <a:blip r:embed="rId13" cstate="print"/>
                                      <a:srcRect/>
                                      <a:stretch>
                                        <a:fillRect/>
                                      </a:stretch>
                                    </pic:blipFill>
                                    <pic:spPr bwMode="auto">
                                      <a:xfrm>
                                        <a:off x="0" y="0"/>
                                        <a:ext cx="307340" cy="160655"/>
                                      </a:xfrm>
                                      <a:prstGeom prst="rect">
                                        <a:avLst/>
                                      </a:prstGeom>
                                      <a:noFill/>
                                      <a:ln w="9525">
                                        <a:noFill/>
                                        <a:miter lim="800000"/>
                                        <a:headEnd/>
                                        <a:tailEnd/>
                                      </a:ln>
                                    </pic:spPr>
                                  </pic:pic>
                                </a:graphicData>
                              </a:graphic>
                            </wp:inline>
                          </w:drawing>
                        </w:r>
                      </w:p>
                    </w:tc>
                  </w:tr>
                  <w:tr w:rsidR="00CA077C" w14:paraId="04548CFC" w14:textId="77777777" w:rsidTr="00BE5941">
                    <w:trPr>
                      <w:tblCellSpacing w:w="15" w:type="dxa"/>
                    </w:trPr>
                    <w:tc>
                      <w:tcPr>
                        <w:tcW w:w="0" w:type="auto"/>
                        <w:hideMark/>
                      </w:tcPr>
                      <w:p w14:paraId="5AE0FCF1" w14:textId="77777777" w:rsidR="00CA077C" w:rsidRDefault="00CA077C" w:rsidP="009F6FEE">
                        <w:pPr>
                          <w:jc w:val="both"/>
                          <w:rPr>
                            <w:rFonts w:ascii="Arial" w:hAnsi="Arial" w:cs="Arial"/>
                            <w:color w:val="000000"/>
                            <w:sz w:val="8"/>
                            <w:szCs w:val="8"/>
                          </w:rPr>
                        </w:pPr>
                        <w:r>
                          <w:rPr>
                            <w:rFonts w:ascii="Arial" w:hAnsi="Arial" w:cs="Arial"/>
                            <w:color w:val="000000"/>
                            <w:sz w:val="8"/>
                            <w:szCs w:val="8"/>
                          </w:rPr>
                          <w:t> </w:t>
                        </w:r>
                      </w:p>
                    </w:tc>
                  </w:tr>
                  <w:tr w:rsidR="00CA077C" w14:paraId="40017C65" w14:textId="77777777" w:rsidTr="00BE5941">
                    <w:trPr>
                      <w:tblCellSpacing w:w="15" w:type="dxa"/>
                    </w:trPr>
                    <w:tc>
                      <w:tcPr>
                        <w:tcW w:w="0" w:type="auto"/>
                        <w:hideMark/>
                      </w:tcPr>
                      <w:p w14:paraId="3AB15472"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Leadership® ID 2004691172</w:t>
                        </w:r>
                      </w:p>
                    </w:tc>
                  </w:tr>
                  <w:tr w:rsidR="00CA077C" w14:paraId="791C7E91" w14:textId="77777777" w:rsidTr="00BE5941">
                    <w:trPr>
                      <w:tblCellSpacing w:w="15" w:type="dxa"/>
                    </w:trPr>
                    <w:tc>
                      <w:tcPr>
                        <w:tcW w:w="0" w:type="auto"/>
                        <w:hideMark/>
                      </w:tcPr>
                      <w:p w14:paraId="140E0683" w14:textId="77777777" w:rsidR="00CA077C" w:rsidRDefault="00CA077C" w:rsidP="009F6FEE">
                        <w:pPr>
                          <w:jc w:val="both"/>
                          <w:rPr>
                            <w:rFonts w:ascii="Arial" w:hAnsi="Arial" w:cs="Arial"/>
                            <w:color w:val="000000"/>
                            <w:sz w:val="14"/>
                            <w:szCs w:val="14"/>
                          </w:rPr>
                        </w:pPr>
                        <w:r>
                          <w:rPr>
                            <w:rFonts w:ascii="Arial" w:hAnsi="Arial" w:cs="Arial"/>
                            <w:noProof/>
                            <w:color w:val="000000"/>
                            <w:sz w:val="14"/>
                            <w:szCs w:val="14"/>
                          </w:rPr>
                          <w:drawing>
                            <wp:inline distT="0" distB="0" distL="0" distR="0" wp14:anchorId="6C230B66" wp14:editId="177947E3">
                              <wp:extent cx="241300" cy="124460"/>
                              <wp:effectExtent l="19050" t="0" r="6350" b="0"/>
                              <wp:docPr id="17" name="Picture 33" descr="http://lo.bvdep.com/images/recent_articles_icon.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o.bvdep.com/images/recent_articles_icon.gif">
                                        <a:hlinkClick r:id="rId14" tgtFrame="&quot;_blank&quot;"/>
                                      </pic:cNvPr>
                                      <pic:cNvPicPr>
                                        <a:picLocks noChangeAspect="1" noChangeArrowheads="1"/>
                                      </pic:cNvPicPr>
                                    </pic:nvPicPr>
                                    <pic:blipFill>
                                      <a:blip r:embed="rId15" cstate="print"/>
                                      <a:srcRect/>
                                      <a:stretch>
                                        <a:fillRect/>
                                      </a:stretch>
                                    </pic:blipFill>
                                    <pic:spPr bwMode="auto">
                                      <a:xfrm>
                                        <a:off x="0" y="0"/>
                                        <a:ext cx="241300" cy="124460"/>
                                      </a:xfrm>
                                      <a:prstGeom prst="rect">
                                        <a:avLst/>
                                      </a:prstGeom>
                                      <a:noFill/>
                                      <a:ln w="9525">
                                        <a:noFill/>
                                        <a:miter lim="800000"/>
                                        <a:headEnd/>
                                        <a:tailEnd/>
                                      </a:ln>
                                    </pic:spPr>
                                  </pic:pic>
                                </a:graphicData>
                              </a:graphic>
                            </wp:inline>
                          </w:drawing>
                        </w:r>
                        <w:r>
                          <w:rPr>
                            <w:rStyle w:val="apple-converted-space"/>
                            <w:rFonts w:ascii="Arial" w:hAnsi="Arial" w:cs="Arial"/>
                            <w:color w:val="000000"/>
                            <w:sz w:val="14"/>
                            <w:szCs w:val="14"/>
                          </w:rPr>
                          <w:t> </w:t>
                        </w:r>
                        <w:hyperlink r:id="rId35" w:tgtFrame="_blank" w:history="1">
                          <w:r>
                            <w:rPr>
                              <w:rStyle w:val="Hyperlink"/>
                              <w:rFonts w:ascii="Arial" w:hAnsi="Arial" w:cs="Arial"/>
                              <w:color w:val="000000"/>
                              <w:sz w:val="14"/>
                              <w:szCs w:val="14"/>
                              <w:u w:val="none"/>
                            </w:rPr>
                            <w:t>Search online for more about this person</w:t>
                          </w:r>
                        </w:hyperlink>
                      </w:p>
                    </w:tc>
                  </w:tr>
                </w:tbl>
                <w:p w14:paraId="55307C9B" w14:textId="77777777" w:rsidR="00CA077C" w:rsidRDefault="00CA077C" w:rsidP="009F6FEE">
                  <w:pPr>
                    <w:jc w:val="both"/>
                    <w:rPr>
                      <w:rFonts w:ascii="Arial" w:hAnsi="Arial" w:cs="Arial"/>
                      <w:color w:val="000000"/>
                      <w:sz w:val="14"/>
                      <w:szCs w:val="14"/>
                    </w:rPr>
                  </w:pPr>
                </w:p>
              </w:tc>
            </w:tr>
          </w:tbl>
          <w:p w14:paraId="07470683" w14:textId="77777777" w:rsidR="00CA077C" w:rsidRDefault="00CA077C" w:rsidP="009F6FEE">
            <w:pPr>
              <w:jc w:val="both"/>
              <w:rPr>
                <w:rFonts w:ascii="Arial" w:hAnsi="Arial" w:cs="Arial"/>
                <w:color w:val="000000"/>
                <w:sz w:val="14"/>
                <w:szCs w:val="14"/>
              </w:rPr>
            </w:pPr>
          </w:p>
        </w:tc>
      </w:tr>
      <w:tr w:rsidR="00CA077C" w14:paraId="02534A61" w14:textId="77777777" w:rsidTr="00BE5941">
        <w:trPr>
          <w:tblCellSpacing w:w="15" w:type="dxa"/>
        </w:trPr>
        <w:tc>
          <w:tcPr>
            <w:tcW w:w="0" w:type="auto"/>
            <w:hideMark/>
          </w:tcPr>
          <w:p w14:paraId="6230B9C3"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 </w:t>
            </w:r>
          </w:p>
        </w:tc>
      </w:tr>
      <w:tr w:rsidR="00CA077C" w14:paraId="07DC2E90" w14:textId="77777777" w:rsidTr="00BE5941">
        <w:trPr>
          <w:tblCellSpacing w:w="15" w:type="dxa"/>
        </w:trPr>
        <w:tc>
          <w:tcPr>
            <w:tcW w:w="0" w:type="auto"/>
            <w:hideMark/>
          </w:tcPr>
          <w:p w14:paraId="50592B3A" w14:textId="77777777" w:rsidR="00CA077C" w:rsidRDefault="00CA077C" w:rsidP="009F6FEE">
            <w:pPr>
              <w:jc w:val="both"/>
              <w:rPr>
                <w:rFonts w:ascii="Arial" w:hAnsi="Arial" w:cs="Arial"/>
                <w:color w:val="000080"/>
                <w:sz w:val="21"/>
                <w:szCs w:val="21"/>
              </w:rPr>
            </w:pPr>
            <w:r>
              <w:rPr>
                <w:rFonts w:ascii="Arial" w:hAnsi="Arial" w:cs="Arial"/>
                <w:color w:val="000080"/>
                <w:sz w:val="21"/>
                <w:szCs w:val="21"/>
              </w:rPr>
              <w:t>Best Contact Information</w:t>
            </w:r>
          </w:p>
        </w:tc>
      </w:tr>
      <w:tr w:rsidR="00CA077C" w14:paraId="16F99756" w14:textId="77777777" w:rsidTr="00BE5941">
        <w:trPr>
          <w:tblCellSpacing w:w="15" w:type="dxa"/>
        </w:trPr>
        <w:tc>
          <w:tcPr>
            <w:tcW w:w="0" w:type="auto"/>
            <w:hideMark/>
          </w:tcPr>
          <w:p w14:paraId="24F2F04E" w14:textId="77777777" w:rsidR="00CA077C" w:rsidRDefault="00CA077C" w:rsidP="009F6FEE">
            <w:pPr>
              <w:jc w:val="both"/>
              <w:rPr>
                <w:rFonts w:ascii="Arial" w:hAnsi="Arial" w:cs="Arial"/>
                <w:color w:val="000000"/>
                <w:sz w:val="8"/>
                <w:szCs w:val="8"/>
              </w:rPr>
            </w:pPr>
            <w:r>
              <w:rPr>
                <w:rFonts w:ascii="Arial" w:hAnsi="Arial" w:cs="Arial"/>
                <w:color w:val="000000"/>
                <w:sz w:val="8"/>
                <w:szCs w:val="8"/>
              </w:rPr>
              <w:t> </w:t>
            </w:r>
          </w:p>
        </w:tc>
      </w:tr>
      <w:tr w:rsidR="00CA077C" w14:paraId="39079C0C" w14:textId="77777777" w:rsidTr="00BE5941">
        <w:trPr>
          <w:tblCellSpacing w:w="15" w:type="dxa"/>
        </w:trPr>
        <w:tc>
          <w:tcPr>
            <w:tcW w:w="0" w:type="auto"/>
            <w:hideMark/>
          </w:tcPr>
          <w:p w14:paraId="002F7E29"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Director, Disclosure Division (FOIA/Privacy Act), Office of the General Counsel, Pension Benefit Guaranty Corporation</w:t>
            </w:r>
          </w:p>
        </w:tc>
      </w:tr>
      <w:tr w:rsidR="00CA077C" w14:paraId="6616443D" w14:textId="77777777" w:rsidTr="00BE5941">
        <w:trPr>
          <w:tblCellSpacing w:w="15" w:type="dxa"/>
        </w:trPr>
        <w:tc>
          <w:tcPr>
            <w:tcW w:w="0" w:type="auto"/>
            <w:tcMar>
              <w:top w:w="40" w:type="dxa"/>
              <w:left w:w="0" w:type="dxa"/>
              <w:bottom w:w="0" w:type="dxa"/>
              <w:right w:w="0" w:type="dxa"/>
            </w:tcMar>
            <w:hideMark/>
          </w:tcPr>
          <w:p w14:paraId="73FA5831"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22C77E72" wp14:editId="5A4AB0FB">
                  <wp:extent cx="205105" cy="139065"/>
                  <wp:effectExtent l="19050" t="0" r="4445" b="0"/>
                  <wp:docPr id="18" name="Picture 34"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p>
        </w:tc>
      </w:tr>
      <w:tr w:rsidR="00CA077C" w14:paraId="0AFFE992" w14:textId="77777777" w:rsidTr="00BE5941">
        <w:trPr>
          <w:tblCellSpacing w:w="15" w:type="dxa"/>
        </w:trPr>
        <w:tc>
          <w:tcPr>
            <w:tcW w:w="0" w:type="auto"/>
            <w:tcMar>
              <w:top w:w="40" w:type="dxa"/>
              <w:left w:w="0" w:type="dxa"/>
              <w:bottom w:w="0" w:type="dxa"/>
              <w:right w:w="0" w:type="dxa"/>
            </w:tcMar>
            <w:hideMark/>
          </w:tcPr>
          <w:p w14:paraId="7F44BC7C"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Fax: (202) 326-4042</w:t>
            </w:r>
          </w:p>
        </w:tc>
      </w:tr>
      <w:tr w:rsidR="00CA077C" w14:paraId="015651BC" w14:textId="77777777" w:rsidTr="00BE5941">
        <w:trPr>
          <w:tblCellSpacing w:w="15" w:type="dxa"/>
        </w:trPr>
        <w:tc>
          <w:tcPr>
            <w:tcW w:w="0" w:type="auto"/>
            <w:tcMar>
              <w:top w:w="40" w:type="dxa"/>
              <w:left w:w="0" w:type="dxa"/>
              <w:bottom w:w="0" w:type="dxa"/>
              <w:right w:w="0" w:type="dxa"/>
            </w:tcMar>
            <w:hideMark/>
          </w:tcPr>
          <w:p w14:paraId="16B037B8"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Direct-Dial: (202) 326-4040</w:t>
            </w:r>
          </w:p>
        </w:tc>
      </w:tr>
      <w:tr w:rsidR="00CA077C" w14:paraId="3D31F650" w14:textId="77777777" w:rsidTr="00BE5941">
        <w:trPr>
          <w:tblCellSpacing w:w="15" w:type="dxa"/>
        </w:trPr>
        <w:tc>
          <w:tcPr>
            <w:tcW w:w="0" w:type="auto"/>
            <w:tcMar>
              <w:top w:w="40" w:type="dxa"/>
              <w:left w:w="0" w:type="dxa"/>
              <w:bottom w:w="0" w:type="dxa"/>
              <w:right w:w="0" w:type="dxa"/>
            </w:tcMar>
            <w:hideMark/>
          </w:tcPr>
          <w:p w14:paraId="678A3C23" w14:textId="77777777" w:rsidR="00CA077C" w:rsidRDefault="00BE5941" w:rsidP="009F6FEE">
            <w:pPr>
              <w:jc w:val="both"/>
              <w:rPr>
                <w:rFonts w:ascii="Arial" w:hAnsi="Arial" w:cs="Arial"/>
                <w:color w:val="000000"/>
                <w:sz w:val="14"/>
                <w:szCs w:val="14"/>
              </w:rPr>
            </w:pPr>
            <w:hyperlink r:id="rId36" w:history="1">
              <w:r w:rsidR="00CA077C">
                <w:rPr>
                  <w:rStyle w:val="Hyperlink"/>
                  <w:rFonts w:ascii="Arial" w:hAnsi="Arial" w:cs="Arial"/>
                  <w:color w:val="000000"/>
                  <w:sz w:val="14"/>
                  <w:szCs w:val="14"/>
                  <w:u w:val="none"/>
                </w:rPr>
                <w:t>fitzgerald.bill@pbgc.gov</w:t>
              </w:r>
            </w:hyperlink>
          </w:p>
        </w:tc>
      </w:tr>
      <w:tr w:rsidR="00CA077C" w14:paraId="1C97AAAB" w14:textId="77777777" w:rsidTr="00BE5941">
        <w:trPr>
          <w:tblCellSpacing w:w="15" w:type="dxa"/>
        </w:trPr>
        <w:tc>
          <w:tcPr>
            <w:tcW w:w="0" w:type="auto"/>
            <w:hideMark/>
          </w:tcPr>
          <w:p w14:paraId="40C33A12"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 </w:t>
            </w:r>
          </w:p>
        </w:tc>
      </w:tr>
      <w:tr w:rsidR="00CA077C" w14:paraId="6D485A1A" w14:textId="77777777" w:rsidTr="00BE5941">
        <w:trPr>
          <w:tblCellSpacing w:w="15" w:type="dxa"/>
        </w:trPr>
        <w:tc>
          <w:tcPr>
            <w:tcW w:w="0" w:type="auto"/>
            <w:hideMark/>
          </w:tcPr>
          <w:p w14:paraId="017B2BB4" w14:textId="77777777" w:rsidR="00CA077C" w:rsidRDefault="00CA077C" w:rsidP="009F6FEE">
            <w:pPr>
              <w:jc w:val="both"/>
              <w:rPr>
                <w:rFonts w:ascii="Arial" w:hAnsi="Arial" w:cs="Arial"/>
                <w:color w:val="000080"/>
                <w:sz w:val="21"/>
                <w:szCs w:val="21"/>
              </w:rPr>
            </w:pPr>
            <w:r>
              <w:rPr>
                <w:rFonts w:ascii="Arial" w:hAnsi="Arial" w:cs="Arial"/>
                <w:color w:val="000080"/>
                <w:sz w:val="21"/>
                <w:szCs w:val="21"/>
              </w:rPr>
              <w:t>Positions</w:t>
            </w:r>
          </w:p>
        </w:tc>
      </w:tr>
      <w:tr w:rsidR="00CA077C" w14:paraId="4C7FA6F1" w14:textId="77777777" w:rsidTr="00BE5941">
        <w:trPr>
          <w:tblCellSpacing w:w="15" w:type="dxa"/>
        </w:trPr>
        <w:tc>
          <w:tcPr>
            <w:tcW w:w="0" w:type="auto"/>
            <w:hideMark/>
          </w:tcPr>
          <w:p w14:paraId="0BB57CC1" w14:textId="77777777" w:rsidR="00CA077C" w:rsidRDefault="00CA077C" w:rsidP="009F6FEE">
            <w:pPr>
              <w:jc w:val="both"/>
              <w:rPr>
                <w:rFonts w:ascii="Arial" w:hAnsi="Arial" w:cs="Arial"/>
                <w:color w:val="000000"/>
                <w:sz w:val="8"/>
                <w:szCs w:val="8"/>
              </w:rPr>
            </w:pPr>
            <w:r>
              <w:rPr>
                <w:rFonts w:ascii="Arial" w:hAnsi="Arial" w:cs="Arial"/>
                <w:color w:val="000000"/>
                <w:sz w:val="8"/>
                <w:szCs w:val="8"/>
              </w:rPr>
              <w:t> </w:t>
            </w:r>
          </w:p>
        </w:tc>
      </w:tr>
      <w:tr w:rsidR="00CA077C" w14:paraId="6B5C1C36" w14:textId="77777777" w:rsidTr="00BE5941">
        <w:trPr>
          <w:tblCellSpacing w:w="15" w:type="dxa"/>
        </w:trPr>
        <w:tc>
          <w:tcPr>
            <w:tcW w:w="0" w:type="auto"/>
            <w:hideMark/>
          </w:tcPr>
          <w:p w14:paraId="5834598B" w14:textId="77777777" w:rsidR="00CA077C" w:rsidRDefault="00CA077C" w:rsidP="009F6FEE">
            <w:pPr>
              <w:jc w:val="both"/>
              <w:rPr>
                <w:rFonts w:ascii="Arial" w:hAnsi="Arial" w:cs="Arial"/>
                <w:b/>
                <w:bCs/>
                <w:color w:val="000080"/>
                <w:sz w:val="16"/>
                <w:szCs w:val="16"/>
              </w:rPr>
            </w:pPr>
            <w:r>
              <w:rPr>
                <w:rFonts w:ascii="Arial" w:hAnsi="Arial" w:cs="Arial"/>
                <w:b/>
                <w:bCs/>
                <w:color w:val="000080"/>
                <w:sz w:val="16"/>
                <w:szCs w:val="16"/>
              </w:rPr>
              <w:t>Director, Disclosure Division (FOIA/Privacy Act), Office of the General Counsel, Pension Benefit Guaranty Corporation</w:t>
            </w:r>
            <w:r>
              <w:rPr>
                <w:rFonts w:ascii="Arial" w:hAnsi="Arial" w:cs="Arial"/>
                <w:b/>
                <w:bCs/>
                <w:noProof/>
                <w:color w:val="000000"/>
                <w:sz w:val="14"/>
                <w:szCs w:val="14"/>
              </w:rPr>
              <w:drawing>
                <wp:inline distT="0" distB="0" distL="0" distR="0" wp14:anchorId="7E7477A7" wp14:editId="551F4624">
                  <wp:extent cx="351155" cy="153670"/>
                  <wp:effectExtent l="19050" t="0" r="0" b="0"/>
                  <wp:docPr id="19" name="Picture 35" descr="Click to view this position within the Organization's list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to view this position within the Organization's listing">
                            <a:hlinkClick r:id="rId20"/>
                          </pic:cNvPr>
                          <pic:cNvPicPr>
                            <a:picLocks noChangeAspect="1" noChangeArrowheads="1"/>
                          </pic:cNvPicPr>
                        </pic:nvPicPr>
                        <pic:blipFill>
                          <a:blip r:embed="rId21" cstate="print"/>
                          <a:srcRect/>
                          <a:stretch>
                            <a:fillRect/>
                          </a:stretch>
                        </pic:blipFill>
                        <pic:spPr bwMode="auto">
                          <a:xfrm>
                            <a:off x="0" y="0"/>
                            <a:ext cx="351155" cy="153670"/>
                          </a:xfrm>
                          <a:prstGeom prst="rect">
                            <a:avLst/>
                          </a:prstGeom>
                          <a:noFill/>
                          <a:ln w="9525">
                            <a:noFill/>
                            <a:miter lim="800000"/>
                            <a:headEnd/>
                            <a:tailEnd/>
                          </a:ln>
                        </pic:spPr>
                      </pic:pic>
                    </a:graphicData>
                  </a:graphic>
                </wp:inline>
              </w:drawing>
            </w:r>
          </w:p>
        </w:tc>
      </w:tr>
      <w:tr w:rsidR="00CA077C" w14:paraId="3E04FD3F" w14:textId="77777777" w:rsidTr="00BE5941">
        <w:trPr>
          <w:tblCellSpacing w:w="15" w:type="dxa"/>
        </w:trPr>
        <w:tc>
          <w:tcPr>
            <w:tcW w:w="0" w:type="auto"/>
            <w:hideMark/>
          </w:tcPr>
          <w:p w14:paraId="47B320FA"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Reports to: Judith R. Starr, General Counsel, Office of the General Counsel, Office of the Director, Pension Benefit Guaranty Corporation</w:t>
            </w:r>
          </w:p>
        </w:tc>
      </w:tr>
      <w:tr w:rsidR="00CA077C" w14:paraId="67A4C5BE" w14:textId="77777777" w:rsidTr="00BE5941">
        <w:trPr>
          <w:tblCellSpacing w:w="15" w:type="dxa"/>
        </w:trPr>
        <w:tc>
          <w:tcPr>
            <w:tcW w:w="0" w:type="auto"/>
            <w:hideMark/>
          </w:tcPr>
          <w:tbl>
            <w:tblPr>
              <w:tblW w:w="9481" w:type="dxa"/>
              <w:tblCellSpacing w:w="15" w:type="dxa"/>
              <w:tblCellMar>
                <w:left w:w="0" w:type="dxa"/>
                <w:right w:w="0" w:type="dxa"/>
              </w:tblCellMar>
              <w:tblLook w:val="04A0" w:firstRow="1" w:lastRow="0" w:firstColumn="1" w:lastColumn="0" w:noHBand="0" w:noVBand="1"/>
            </w:tblPr>
            <w:tblGrid>
              <w:gridCol w:w="984"/>
              <w:gridCol w:w="8497"/>
            </w:tblGrid>
            <w:tr w:rsidR="00CA077C" w14:paraId="59A998F7" w14:textId="77777777" w:rsidTr="00BE5941">
              <w:trPr>
                <w:tblCellSpacing w:w="15" w:type="dxa"/>
              </w:trPr>
              <w:tc>
                <w:tcPr>
                  <w:tcW w:w="500" w:type="pct"/>
                  <w:hideMark/>
                </w:tcPr>
                <w:p w14:paraId="60743F57"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Location:</w:t>
                  </w:r>
                </w:p>
              </w:tc>
              <w:tc>
                <w:tcPr>
                  <w:tcW w:w="0" w:type="auto"/>
                  <w:hideMark/>
                </w:tcPr>
                <w:p w14:paraId="66AEC432"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1200 K Street, NW, Washington, DC 20005-4026</w:t>
                  </w:r>
                  <w:r>
                    <w:rPr>
                      <w:rStyle w:val="apple-converted-space"/>
                      <w:rFonts w:ascii="Arial" w:hAnsi="Arial" w:cs="Arial"/>
                      <w:color w:val="000000"/>
                      <w:sz w:val="14"/>
                      <w:szCs w:val="14"/>
                    </w:rPr>
                    <w:t> </w:t>
                  </w:r>
                  <w:r>
                    <w:rPr>
                      <w:rFonts w:ascii="Arial" w:hAnsi="Arial" w:cs="Arial"/>
                      <w:noProof/>
                      <w:color w:val="000000"/>
                      <w:sz w:val="14"/>
                      <w:szCs w:val="14"/>
                    </w:rPr>
                    <w:drawing>
                      <wp:inline distT="0" distB="0" distL="0" distR="0" wp14:anchorId="2BD2B250" wp14:editId="4D0F7BBB">
                        <wp:extent cx="205105" cy="139065"/>
                        <wp:effectExtent l="19050" t="0" r="4445" b="0"/>
                        <wp:docPr id="20" name="Picture 36" descr="http://lo.bvdep.com/images/document/Map_it_icon.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bvdep.com/images/document/Map_it_icon.gif">
                                  <a:hlinkClick r:id="rId17" tgtFrame="&quot;_blank&quot;"/>
                                </pic:cNvPr>
                                <pic:cNvPicPr>
                                  <a:picLocks noChangeAspect="1" noChangeArrowheads="1"/>
                                </pic:cNvPicPr>
                              </pic:nvPicPr>
                              <pic:blipFill>
                                <a:blip r:embed="rId18" cstate="print"/>
                                <a:srcRect/>
                                <a:stretch>
                                  <a:fillRect/>
                                </a:stretch>
                              </pic:blipFill>
                              <pic:spPr bwMode="auto">
                                <a:xfrm>
                                  <a:off x="0" y="0"/>
                                  <a:ext cx="205105" cy="139065"/>
                                </a:xfrm>
                                <a:prstGeom prst="rect">
                                  <a:avLst/>
                                </a:prstGeom>
                                <a:noFill/>
                                <a:ln w="9525">
                                  <a:noFill/>
                                  <a:miter lim="800000"/>
                                  <a:headEnd/>
                                  <a:tailEnd/>
                                </a:ln>
                              </pic:spPr>
                            </pic:pic>
                          </a:graphicData>
                        </a:graphic>
                      </wp:inline>
                    </w:drawing>
                  </w:r>
                  <w:r>
                    <w:rPr>
                      <w:rFonts w:ascii="Arial" w:hAnsi="Arial" w:cs="Arial"/>
                      <w:color w:val="000000"/>
                      <w:sz w:val="14"/>
                      <w:szCs w:val="14"/>
                    </w:rPr>
                    <w:br/>
                    <w:t>Fax: (202) 326-4042</w:t>
                  </w:r>
                  <w:r>
                    <w:rPr>
                      <w:rFonts w:ascii="Arial" w:hAnsi="Arial" w:cs="Arial"/>
                      <w:color w:val="000000"/>
                      <w:sz w:val="14"/>
                      <w:szCs w:val="14"/>
                    </w:rPr>
                    <w:br/>
                    <w:t>Direct-Dial: (202) 326-4040</w:t>
                  </w:r>
                  <w:r>
                    <w:rPr>
                      <w:rFonts w:ascii="Arial" w:hAnsi="Arial" w:cs="Arial"/>
                      <w:color w:val="000000"/>
                      <w:sz w:val="14"/>
                      <w:szCs w:val="14"/>
                    </w:rPr>
                    <w:br/>
                  </w:r>
                  <w:hyperlink r:id="rId37" w:history="1">
                    <w:r>
                      <w:rPr>
                        <w:rStyle w:val="Hyperlink"/>
                        <w:rFonts w:ascii="Arial" w:hAnsi="Arial" w:cs="Arial"/>
                        <w:color w:val="000000"/>
                        <w:sz w:val="14"/>
                        <w:szCs w:val="14"/>
                        <w:u w:val="none"/>
                      </w:rPr>
                      <w:t>fitzgerald.bill@pbgc.gov</w:t>
                    </w:r>
                  </w:hyperlink>
                </w:p>
              </w:tc>
            </w:tr>
          </w:tbl>
          <w:p w14:paraId="5A5E1DA9" w14:textId="77777777" w:rsidR="00CA077C" w:rsidRDefault="00CA077C" w:rsidP="009F6FEE">
            <w:pPr>
              <w:jc w:val="both"/>
              <w:rPr>
                <w:rFonts w:ascii="Arial" w:hAnsi="Arial" w:cs="Arial"/>
                <w:color w:val="000000"/>
                <w:sz w:val="14"/>
                <w:szCs w:val="14"/>
              </w:rPr>
            </w:pPr>
          </w:p>
        </w:tc>
      </w:tr>
      <w:tr w:rsidR="00CA077C" w14:paraId="1E658D5A" w14:textId="77777777" w:rsidTr="00BE5941">
        <w:trPr>
          <w:tblCellSpacing w:w="15" w:type="dxa"/>
        </w:trPr>
        <w:tc>
          <w:tcPr>
            <w:tcW w:w="0" w:type="auto"/>
            <w:hideMark/>
          </w:tcPr>
          <w:p w14:paraId="3742F2B3"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 </w:t>
            </w:r>
          </w:p>
        </w:tc>
      </w:tr>
      <w:tr w:rsidR="00CA077C" w14:paraId="64AD5F10" w14:textId="77777777" w:rsidTr="00BE5941">
        <w:trPr>
          <w:tblCellSpacing w:w="15" w:type="dxa"/>
        </w:trPr>
        <w:tc>
          <w:tcPr>
            <w:tcW w:w="0" w:type="auto"/>
            <w:hideMark/>
          </w:tcPr>
          <w:p w14:paraId="38EC84BF" w14:textId="77777777" w:rsidR="00CA077C" w:rsidRDefault="00CA077C" w:rsidP="009F6FEE">
            <w:pPr>
              <w:jc w:val="both"/>
              <w:rPr>
                <w:rFonts w:ascii="Arial" w:hAnsi="Arial" w:cs="Arial"/>
                <w:color w:val="000080"/>
                <w:sz w:val="21"/>
                <w:szCs w:val="21"/>
              </w:rPr>
            </w:pPr>
            <w:r>
              <w:rPr>
                <w:rFonts w:ascii="Arial" w:hAnsi="Arial" w:cs="Arial"/>
                <w:color w:val="000080"/>
                <w:sz w:val="21"/>
                <w:szCs w:val="21"/>
              </w:rPr>
              <w:t>Career History</w:t>
            </w:r>
          </w:p>
        </w:tc>
      </w:tr>
      <w:tr w:rsidR="00CA077C" w14:paraId="21ECF414" w14:textId="77777777" w:rsidTr="00BE5941">
        <w:trPr>
          <w:tblCellSpacing w:w="15" w:type="dxa"/>
        </w:trPr>
        <w:tc>
          <w:tcPr>
            <w:tcW w:w="0" w:type="auto"/>
            <w:hideMark/>
          </w:tcPr>
          <w:p w14:paraId="6A24D42F" w14:textId="77777777" w:rsidR="00CA077C" w:rsidRDefault="00CA077C" w:rsidP="009F6FEE">
            <w:pPr>
              <w:jc w:val="both"/>
              <w:rPr>
                <w:rFonts w:ascii="Arial" w:hAnsi="Arial" w:cs="Arial"/>
                <w:color w:val="000000"/>
                <w:sz w:val="8"/>
                <w:szCs w:val="8"/>
              </w:rPr>
            </w:pPr>
            <w:r>
              <w:rPr>
                <w:rFonts w:ascii="Arial" w:hAnsi="Arial" w:cs="Arial"/>
                <w:color w:val="000000"/>
                <w:sz w:val="8"/>
                <w:szCs w:val="8"/>
              </w:rPr>
              <w:t> </w:t>
            </w:r>
          </w:p>
        </w:tc>
      </w:tr>
      <w:tr w:rsidR="00CA077C" w14:paraId="685DD04F" w14:textId="77777777" w:rsidTr="00BE5941">
        <w:trPr>
          <w:tblCellSpacing w:w="15" w:type="dxa"/>
        </w:trPr>
        <w:tc>
          <w:tcPr>
            <w:tcW w:w="0" w:type="auto"/>
            <w:hideMark/>
          </w:tcPr>
          <w:p w14:paraId="1A5C776A" w14:textId="77777777" w:rsidR="00CA077C" w:rsidRDefault="00CA077C" w:rsidP="009F6FEE">
            <w:pPr>
              <w:jc w:val="both"/>
              <w:rPr>
                <w:rFonts w:ascii="Arial" w:hAnsi="Arial" w:cs="Arial"/>
                <w:color w:val="000000"/>
                <w:sz w:val="14"/>
                <w:szCs w:val="14"/>
              </w:rPr>
            </w:pPr>
            <w:r>
              <w:rPr>
                <w:rFonts w:ascii="Arial" w:hAnsi="Arial" w:cs="Arial"/>
                <w:color w:val="000000"/>
                <w:sz w:val="14"/>
                <w:szCs w:val="14"/>
              </w:rPr>
              <w:t>Deputy Director, Communications and Public Affairs Department, Office of the Executive Director, Pension Benefit Guaranty Corporation</w:t>
            </w:r>
          </w:p>
        </w:tc>
      </w:tr>
    </w:tbl>
    <w:p w14:paraId="720D4661" w14:textId="77777777" w:rsidR="00CA077C" w:rsidRDefault="00CA077C" w:rsidP="009F6FEE">
      <w:pPr>
        <w:jc w:val="both"/>
        <w:rPr>
          <w:color w:val="000000"/>
        </w:rPr>
      </w:pPr>
    </w:p>
    <w:p w14:paraId="0251F5B9" w14:textId="77777777" w:rsidR="00CA077C" w:rsidRPr="006F54A6" w:rsidRDefault="00CA077C" w:rsidP="009F6FEE">
      <w:pPr>
        <w:spacing w:line="480" w:lineRule="auto"/>
        <w:jc w:val="both"/>
        <w:rPr>
          <w:color w:val="000000"/>
        </w:rPr>
      </w:pPr>
      <w:r>
        <w:rPr>
          <w:color w:val="000000"/>
        </w:rPr>
        <w:t xml:space="preserve">In cases where the respondent was not listed in the </w:t>
      </w:r>
      <w:r w:rsidRPr="006F54A6">
        <w:rPr>
          <w:i/>
          <w:color w:val="000000"/>
        </w:rPr>
        <w:t>Federal Yellow Book</w:t>
      </w:r>
      <w:r>
        <w:rPr>
          <w:color w:val="000000"/>
        </w:rPr>
        <w:t xml:space="preserve"> we tried to find out the location of the FOIA office and the number of layers by examining other information in the respondent communication, the </w:t>
      </w:r>
      <w:r w:rsidRPr="006F54A6">
        <w:rPr>
          <w:i/>
          <w:color w:val="000000"/>
        </w:rPr>
        <w:t>Federal Yellow Book</w:t>
      </w:r>
      <w:r>
        <w:rPr>
          <w:color w:val="000000"/>
        </w:rPr>
        <w:t>, the FOIA.gov website, and the agency website.</w:t>
      </w:r>
    </w:p>
    <w:p w14:paraId="1D4C5EB3" w14:textId="18A67E14" w:rsidR="00CA077C" w:rsidRPr="006F54A6" w:rsidRDefault="007C2FCB" w:rsidP="009F6FEE">
      <w:pPr>
        <w:spacing w:line="480" w:lineRule="auto"/>
        <w:jc w:val="both"/>
        <w:rPr>
          <w:color w:val="000000"/>
        </w:rPr>
      </w:pPr>
      <w:proofErr w:type="spellStart"/>
      <w:r>
        <w:rPr>
          <w:b/>
          <w:color w:val="000000"/>
        </w:rPr>
        <w:lastRenderedPageBreak/>
        <w:t>CFOIA</w:t>
      </w:r>
      <w:r w:rsidR="00CA077C">
        <w:rPr>
          <w:b/>
          <w:color w:val="000000"/>
        </w:rPr>
        <w:t>Location</w:t>
      </w:r>
      <w:proofErr w:type="spellEnd"/>
      <w:r w:rsidR="00CA077C">
        <w:rPr>
          <w:b/>
          <w:color w:val="000000"/>
        </w:rPr>
        <w:t>—</w:t>
      </w:r>
      <w:proofErr w:type="gramStart"/>
      <w:r w:rsidR="00CA077C">
        <w:rPr>
          <w:color w:val="000000"/>
        </w:rPr>
        <w:t>This</w:t>
      </w:r>
      <w:proofErr w:type="gramEnd"/>
      <w:r w:rsidR="00CA077C">
        <w:rPr>
          <w:color w:val="000000"/>
        </w:rPr>
        <w:t xml:space="preserve"> is the part of the agency where the FOIA respondent works. The most common locations are </w:t>
      </w:r>
      <w:r w:rsidR="00CA077C" w:rsidRPr="00266927">
        <w:rPr>
          <w:i/>
          <w:color w:val="000000"/>
        </w:rPr>
        <w:t>management</w:t>
      </w:r>
      <w:r w:rsidR="00CA077C">
        <w:rPr>
          <w:color w:val="000000"/>
        </w:rPr>
        <w:t xml:space="preserve"> directorates, </w:t>
      </w:r>
      <w:r w:rsidR="00CA077C" w:rsidRPr="00266927">
        <w:rPr>
          <w:i/>
          <w:color w:val="000000"/>
        </w:rPr>
        <w:t>general counsel</w:t>
      </w:r>
      <w:r w:rsidR="00CA077C" w:rsidRPr="00266927">
        <w:rPr>
          <w:color w:val="000000"/>
        </w:rPr>
        <w:t>s</w:t>
      </w:r>
      <w:r w:rsidR="00CA077C" w:rsidRPr="00266927">
        <w:rPr>
          <w:i/>
          <w:color w:val="000000"/>
        </w:rPr>
        <w:t>’</w:t>
      </w:r>
      <w:r w:rsidR="00CA077C">
        <w:rPr>
          <w:color w:val="000000"/>
        </w:rPr>
        <w:t xml:space="preserve"> offices, </w:t>
      </w:r>
      <w:r w:rsidR="00CA077C" w:rsidRPr="00266927">
        <w:rPr>
          <w:i/>
          <w:color w:val="000000"/>
        </w:rPr>
        <w:t>executive secretariat</w:t>
      </w:r>
      <w:r w:rsidR="00CA077C" w:rsidRPr="00266927">
        <w:rPr>
          <w:color w:val="000000"/>
        </w:rPr>
        <w:t>s</w:t>
      </w:r>
      <w:r w:rsidR="00CA077C">
        <w:rPr>
          <w:color w:val="000000"/>
        </w:rPr>
        <w:t xml:space="preserve"> (i.e., in a separate office under the secretary, administrator, or commission chair), or the office of </w:t>
      </w:r>
      <w:r w:rsidR="00CA077C" w:rsidRPr="00266927">
        <w:rPr>
          <w:i/>
          <w:color w:val="000000"/>
        </w:rPr>
        <w:t>public affairs</w:t>
      </w:r>
      <w:r w:rsidR="00CA077C">
        <w:rPr>
          <w:color w:val="000000"/>
        </w:rPr>
        <w:t xml:space="preserve">. Each agency refers to these portions of their agencies by different names (e.g., legal affairs, administration, or communications). This column labels similar parts of the agencies by the same name rather than using the name each agency uses for itself. In the case of the person listed above, this would be coded with </w:t>
      </w:r>
      <w:r w:rsidR="00CA077C" w:rsidRPr="00266927">
        <w:rPr>
          <w:color w:val="000000"/>
          <w:u w:val="single"/>
        </w:rPr>
        <w:t>General Counsel</w:t>
      </w:r>
      <w:r w:rsidR="00CA077C">
        <w:rPr>
          <w:color w:val="000000"/>
        </w:rPr>
        <w:t xml:space="preserve"> since his office is located under the General Counsel’s office. In cases where the respondent was not listed in the </w:t>
      </w:r>
      <w:r w:rsidR="00CA077C" w:rsidRPr="006F54A6">
        <w:rPr>
          <w:i/>
          <w:color w:val="000000"/>
        </w:rPr>
        <w:t>Federal Yellow Book</w:t>
      </w:r>
      <w:r w:rsidR="00CA077C">
        <w:rPr>
          <w:color w:val="000000"/>
        </w:rPr>
        <w:t xml:space="preserve"> we tried to find out the location of the FOIA office and the number of layers by examining other information in the respondent communication, the </w:t>
      </w:r>
      <w:r w:rsidR="00CA077C" w:rsidRPr="006F54A6">
        <w:rPr>
          <w:i/>
          <w:color w:val="000000"/>
        </w:rPr>
        <w:t>Federal Yellow Book</w:t>
      </w:r>
      <w:r w:rsidR="00CA077C">
        <w:rPr>
          <w:color w:val="000000"/>
        </w:rPr>
        <w:t>, the FOIA.gov website, and the agency website.</w:t>
      </w:r>
    </w:p>
    <w:p w14:paraId="15D9BE1E" w14:textId="2F6641F1" w:rsidR="00CA077C" w:rsidRDefault="00FB4375" w:rsidP="009F6FEE">
      <w:pPr>
        <w:spacing w:line="480" w:lineRule="auto"/>
        <w:jc w:val="both"/>
        <w:rPr>
          <w:color w:val="000000"/>
        </w:rPr>
      </w:pPr>
      <w:r>
        <w:rPr>
          <w:b/>
          <w:noProof/>
          <w:color w:val="000000"/>
        </w:rPr>
        <mc:AlternateContent>
          <mc:Choice Requires="wps">
            <w:drawing>
              <wp:anchor distT="0" distB="0" distL="114300" distR="114300" simplePos="0" relativeHeight="251678720" behindDoc="0" locked="0" layoutInCell="1" allowOverlap="1" wp14:anchorId="660A9883" wp14:editId="380C7104">
                <wp:simplePos x="0" y="0"/>
                <wp:positionH relativeFrom="column">
                  <wp:posOffset>1711960</wp:posOffset>
                </wp:positionH>
                <wp:positionV relativeFrom="paragraph">
                  <wp:posOffset>650875</wp:posOffset>
                </wp:positionV>
                <wp:extent cx="2442845" cy="2216785"/>
                <wp:effectExtent l="6985" t="6350" r="7620" b="571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2216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257D" id="Rectangle 19" o:spid="_x0000_s1026" style="position:absolute;margin-left:134.8pt;margin-top:51.25pt;width:192.35pt;height:17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b3eQIAAP4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" filled="f"/>
            </w:pict>
          </mc:Fallback>
        </mc:AlternateContent>
      </w:r>
      <w:r w:rsidR="007C2FCB">
        <w:rPr>
          <w:b/>
          <w:noProof/>
          <w:color w:val="000000"/>
        </w:rPr>
        <w:t>CFOIA</w:t>
      </w:r>
      <w:r w:rsidR="00CA077C" w:rsidRPr="00AE0858">
        <w:rPr>
          <w:b/>
          <w:color w:val="000000"/>
        </w:rPr>
        <w:t>Layers</w:t>
      </w:r>
      <w:r w:rsidR="00CA077C">
        <w:rPr>
          <w:b/>
          <w:color w:val="000000"/>
        </w:rPr>
        <w:t>—</w:t>
      </w:r>
      <w:proofErr w:type="gramStart"/>
      <w:r w:rsidR="00CA077C">
        <w:rPr>
          <w:color w:val="000000"/>
        </w:rPr>
        <w:t>This</w:t>
      </w:r>
      <w:proofErr w:type="gramEnd"/>
      <w:r w:rsidR="00CA077C">
        <w:rPr>
          <w:color w:val="000000"/>
        </w:rPr>
        <w:t xml:space="preserve"> is the number of layers in the organization chart between the office that includes the nearest appointee in the organization chart. </w:t>
      </w:r>
    </w:p>
    <w:p w14:paraId="5D5F3B25" w14:textId="77777777" w:rsidR="00CA077C" w:rsidRDefault="00CA077C" w:rsidP="00945AE3">
      <w:pPr>
        <w:spacing w:line="480" w:lineRule="auto"/>
        <w:jc w:val="center"/>
        <w:rPr>
          <w:color w:val="000000"/>
        </w:rPr>
      </w:pPr>
      <w:r>
        <w:rPr>
          <w:noProof/>
          <w:color w:val="000000"/>
        </w:rPr>
        <w:drawing>
          <wp:inline distT="0" distB="0" distL="0" distR="0" wp14:anchorId="3F89C2CA" wp14:editId="23029A20">
            <wp:extent cx="2446737" cy="2162217"/>
            <wp:effectExtent l="19050" t="0" r="0" b="0"/>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2448398" cy="2163685"/>
                    </a:xfrm>
                    <a:prstGeom prst="rect">
                      <a:avLst/>
                    </a:prstGeom>
                    <a:noFill/>
                    <a:ln w="9525">
                      <a:noFill/>
                      <a:miter lim="800000"/>
                      <a:headEnd/>
                      <a:tailEnd/>
                    </a:ln>
                  </pic:spPr>
                </pic:pic>
              </a:graphicData>
            </a:graphic>
          </wp:inline>
        </w:drawing>
      </w:r>
    </w:p>
    <w:p w14:paraId="296CE7C3" w14:textId="77777777" w:rsidR="00CA077C" w:rsidRDefault="00CA077C" w:rsidP="009F6FEE">
      <w:pPr>
        <w:spacing w:line="480" w:lineRule="auto"/>
        <w:jc w:val="both"/>
        <w:rPr>
          <w:color w:val="000000"/>
        </w:rPr>
      </w:pPr>
      <w:r>
        <w:rPr>
          <w:color w:val="000000"/>
        </w:rPr>
        <w:t>So, for example, in the Pension Benefit Guarantee Corporation, the director of the Disclosure Division (FOIA/Privacy Act) office is E. William Fitzgerald, a careerist.</w:t>
      </w:r>
      <w:r>
        <w:rPr>
          <w:rStyle w:val="FootnoteReference"/>
          <w:color w:val="000000"/>
        </w:rPr>
        <w:footnoteReference w:id="9"/>
      </w:r>
      <w:r>
        <w:rPr>
          <w:color w:val="000000"/>
        </w:rPr>
        <w:t xml:space="preserve"> Above him in the </w:t>
      </w:r>
      <w:r>
        <w:rPr>
          <w:color w:val="000000"/>
        </w:rPr>
        <w:lastRenderedPageBreak/>
        <w:t xml:space="preserve">organization chart is the Office of the General Counsel (1), headed by Judith R. Starr, another careerist. </w:t>
      </w:r>
    </w:p>
    <w:p w14:paraId="5203FE34" w14:textId="7CF68098" w:rsidR="00CA077C" w:rsidRDefault="00FB4375" w:rsidP="00945AE3">
      <w:pPr>
        <w:spacing w:line="480" w:lineRule="auto"/>
        <w:jc w:val="center"/>
        <w:rPr>
          <w:color w:val="000000"/>
        </w:rPr>
      </w:pPr>
      <w:r>
        <w:rPr>
          <w:noProof/>
          <w:color w:val="000000"/>
        </w:rPr>
        <mc:AlternateContent>
          <mc:Choice Requires="wps">
            <w:drawing>
              <wp:anchor distT="0" distB="0" distL="114300" distR="114300" simplePos="0" relativeHeight="251679744" behindDoc="0" locked="0" layoutInCell="1" allowOverlap="1" wp14:anchorId="35DF6FD4" wp14:editId="56685E4C">
                <wp:simplePos x="0" y="0"/>
                <wp:positionH relativeFrom="column">
                  <wp:posOffset>402590</wp:posOffset>
                </wp:positionH>
                <wp:positionV relativeFrom="paragraph">
                  <wp:posOffset>-123190</wp:posOffset>
                </wp:positionV>
                <wp:extent cx="5142230" cy="3065145"/>
                <wp:effectExtent l="12065" t="6350" r="8255" b="508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3065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023A" id="Rectangle 20" o:spid="_x0000_s1026" style="position:absolute;margin-left:31.7pt;margin-top:-9.7pt;width:404.9pt;height:24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rQeQIAAP4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" filled="f"/>
            </w:pict>
          </mc:Fallback>
        </mc:AlternateContent>
      </w:r>
      <w:r w:rsidR="00CA077C">
        <w:rPr>
          <w:noProof/>
          <w:color w:val="000000"/>
        </w:rPr>
        <w:drawing>
          <wp:inline distT="0" distB="0" distL="0" distR="0" wp14:anchorId="57D1E651" wp14:editId="2A7D8426">
            <wp:extent cx="4842662" cy="2864146"/>
            <wp:effectExtent l="19050" t="0" r="0" b="0"/>
            <wp:docPr id="2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a:stretch>
                      <a:fillRect/>
                    </a:stretch>
                  </pic:blipFill>
                  <pic:spPr bwMode="auto">
                    <a:xfrm>
                      <a:off x="0" y="0"/>
                      <a:ext cx="4843283" cy="2864513"/>
                    </a:xfrm>
                    <a:prstGeom prst="rect">
                      <a:avLst/>
                    </a:prstGeom>
                    <a:noFill/>
                    <a:ln w="9525">
                      <a:noFill/>
                      <a:miter lim="800000"/>
                      <a:headEnd/>
                      <a:tailEnd/>
                    </a:ln>
                  </pic:spPr>
                </pic:pic>
              </a:graphicData>
            </a:graphic>
          </wp:inline>
        </w:drawing>
      </w:r>
    </w:p>
    <w:p w14:paraId="7E3BECF9" w14:textId="77777777" w:rsidR="00CA077C" w:rsidRDefault="00CA077C" w:rsidP="009F6FEE">
      <w:pPr>
        <w:spacing w:line="480" w:lineRule="auto"/>
        <w:jc w:val="both"/>
        <w:rPr>
          <w:color w:val="000000"/>
        </w:rPr>
      </w:pPr>
      <w:r>
        <w:rPr>
          <w:color w:val="000000"/>
        </w:rPr>
        <w:t xml:space="preserve">Above the Office of the General Counsel is the Office of the Director (2), Joshua </w:t>
      </w:r>
      <w:proofErr w:type="spellStart"/>
      <w:r>
        <w:rPr>
          <w:color w:val="000000"/>
        </w:rPr>
        <w:t>Gotbaum</w:t>
      </w:r>
      <w:proofErr w:type="spellEnd"/>
      <w:r>
        <w:rPr>
          <w:color w:val="000000"/>
        </w:rPr>
        <w:t xml:space="preserve">, </w:t>
      </w:r>
      <w:proofErr w:type="gramStart"/>
      <w:r>
        <w:rPr>
          <w:color w:val="000000"/>
        </w:rPr>
        <w:t>a</w:t>
      </w:r>
      <w:proofErr w:type="gramEnd"/>
      <w:r>
        <w:rPr>
          <w:color w:val="000000"/>
        </w:rPr>
        <w:t xml:space="preserve"> Senate Confirmed Appointee. This is two layers above Fitzgerald. If Fitzgerald or someone in his office were the respondent in a letter, this would be coded with a 2, indicating that the respondent would have to go two levels up in the organization chart to reach and appointee. A person that was an appointee or working in an office directly headed by an appointee would be coded with a 0.</w:t>
      </w:r>
    </w:p>
    <w:p w14:paraId="5BFF15B9" w14:textId="77777777" w:rsidR="00CA077C" w:rsidRDefault="00CA077C" w:rsidP="009F6FEE">
      <w:pPr>
        <w:spacing w:line="480" w:lineRule="auto"/>
        <w:ind w:firstLine="720"/>
        <w:jc w:val="both"/>
        <w:rPr>
          <w:color w:val="000000"/>
        </w:rPr>
      </w:pPr>
      <w:r>
        <w:rPr>
          <w:color w:val="000000"/>
        </w:rPr>
        <w:t xml:space="preserve">In some cases the </w:t>
      </w:r>
      <w:r w:rsidRPr="001E048B">
        <w:rPr>
          <w:i/>
          <w:color w:val="000000"/>
        </w:rPr>
        <w:t>Federal Yellow Book</w:t>
      </w:r>
      <w:r>
        <w:rPr>
          <w:color w:val="000000"/>
        </w:rPr>
        <w:t xml:space="preserve"> indicates offices and divisions within agencies by their listing in the book rather than in the organization chart. So, for example, the Office of the Secretary will include offices of civil rights, general counsel, public affairs, etc. but only the Office of the Secretary will be included in the organization chart. In such cases the text listing of the Office of the Secretary will include internal organization via formatting. Namely, the office in question will be indented in the following manner:</w:t>
      </w:r>
    </w:p>
    <w:p w14:paraId="63F1516B" w14:textId="77777777" w:rsidR="00CA077C" w:rsidRDefault="00CA077C" w:rsidP="009F6FEE">
      <w:pPr>
        <w:spacing w:line="480" w:lineRule="auto"/>
        <w:ind w:left="1440" w:hanging="720"/>
        <w:jc w:val="both"/>
        <w:rPr>
          <w:color w:val="000000"/>
        </w:rPr>
      </w:pPr>
      <w:r>
        <w:rPr>
          <w:color w:val="000000"/>
        </w:rPr>
        <w:t>Office of the Secretary</w:t>
      </w:r>
    </w:p>
    <w:p w14:paraId="3BCD4F56" w14:textId="77777777" w:rsidR="00CA077C" w:rsidRDefault="00CA077C" w:rsidP="009F6FEE">
      <w:pPr>
        <w:spacing w:line="480" w:lineRule="auto"/>
        <w:ind w:left="1440" w:hanging="720"/>
        <w:jc w:val="both"/>
        <w:rPr>
          <w:color w:val="000000"/>
        </w:rPr>
      </w:pPr>
      <w:r>
        <w:rPr>
          <w:color w:val="000000"/>
        </w:rPr>
        <w:t>Chief of Staff</w:t>
      </w:r>
    </w:p>
    <w:p w14:paraId="4E696B6F" w14:textId="77777777" w:rsidR="00CA077C" w:rsidRDefault="00CA077C" w:rsidP="009F6FEE">
      <w:pPr>
        <w:spacing w:line="480" w:lineRule="auto"/>
        <w:ind w:left="1440" w:hanging="720"/>
        <w:jc w:val="both"/>
        <w:rPr>
          <w:color w:val="000000"/>
        </w:rPr>
      </w:pPr>
      <w:r>
        <w:rPr>
          <w:color w:val="000000"/>
        </w:rPr>
        <w:lastRenderedPageBreak/>
        <w:t>Deputy Chief of Staff</w:t>
      </w:r>
    </w:p>
    <w:p w14:paraId="3D4B6F52" w14:textId="77777777" w:rsidR="00CA077C" w:rsidRDefault="00CA077C" w:rsidP="009F6FEE">
      <w:pPr>
        <w:spacing w:line="480" w:lineRule="auto"/>
        <w:ind w:left="1440" w:hanging="720"/>
        <w:jc w:val="both"/>
        <w:rPr>
          <w:color w:val="000000"/>
        </w:rPr>
      </w:pPr>
      <w:r>
        <w:rPr>
          <w:color w:val="000000"/>
        </w:rPr>
        <w:tab/>
        <w:t>General Counsel</w:t>
      </w:r>
    </w:p>
    <w:p w14:paraId="11FA6925" w14:textId="77777777" w:rsidR="00CA077C" w:rsidRDefault="00CA077C" w:rsidP="009F6FEE">
      <w:pPr>
        <w:spacing w:line="480" w:lineRule="auto"/>
        <w:ind w:left="1440" w:hanging="720"/>
        <w:jc w:val="both"/>
        <w:rPr>
          <w:color w:val="000000"/>
        </w:rPr>
      </w:pPr>
      <w:r>
        <w:rPr>
          <w:color w:val="000000"/>
        </w:rPr>
        <w:tab/>
        <w:t>Associate Counsel</w:t>
      </w:r>
    </w:p>
    <w:p w14:paraId="4EA06770" w14:textId="77777777" w:rsidR="00CA077C" w:rsidRDefault="00CA077C" w:rsidP="009F6FEE">
      <w:pPr>
        <w:spacing w:line="480" w:lineRule="auto"/>
        <w:ind w:left="1440" w:hanging="720"/>
        <w:jc w:val="both"/>
        <w:rPr>
          <w:color w:val="000000"/>
        </w:rPr>
      </w:pPr>
      <w:r>
        <w:rPr>
          <w:color w:val="000000"/>
        </w:rPr>
        <w:tab/>
        <w:t>Associate Counsel</w:t>
      </w:r>
    </w:p>
    <w:p w14:paraId="7AAD19F6" w14:textId="65930E63" w:rsidR="00A4782F" w:rsidRDefault="00CA077C" w:rsidP="009F6FEE">
      <w:pPr>
        <w:spacing w:line="480" w:lineRule="auto"/>
        <w:jc w:val="both"/>
        <w:rPr>
          <w:color w:val="000000"/>
        </w:rPr>
      </w:pPr>
      <w:r>
        <w:rPr>
          <w:color w:val="000000"/>
        </w:rPr>
        <w:t xml:space="preserve">In such cases the indented office (e.g., General Counsel’s office) is considered as an office below the office of the secretary, but only if the text listing in the </w:t>
      </w:r>
      <w:r w:rsidRPr="001C4D5F">
        <w:rPr>
          <w:i/>
          <w:color w:val="000000"/>
        </w:rPr>
        <w:t>Federal Yellow Book</w:t>
      </w:r>
      <w:r>
        <w:rPr>
          <w:color w:val="000000"/>
        </w:rPr>
        <w:t xml:space="preserve"> includes this indenting and suggests such a structure.</w:t>
      </w:r>
    </w:p>
    <w:p w14:paraId="4A265C93" w14:textId="0F5CDB29" w:rsidR="00860141" w:rsidRPr="00860141" w:rsidRDefault="00860141" w:rsidP="009F6FEE">
      <w:pPr>
        <w:spacing w:line="480" w:lineRule="auto"/>
        <w:jc w:val="both"/>
      </w:pPr>
      <w:proofErr w:type="spellStart"/>
      <w:r w:rsidRPr="00860141">
        <w:rPr>
          <w:b/>
        </w:rPr>
        <w:t>ISAgency</w:t>
      </w:r>
      <w:proofErr w:type="spellEnd"/>
      <w:r w:rsidRPr="00860141">
        <w:t xml:space="preserve">: </w:t>
      </w:r>
      <w:r>
        <w:t xml:space="preserve">Name of agency receiving the request from Rep. </w:t>
      </w:r>
      <w:proofErr w:type="spellStart"/>
      <w:r>
        <w:t>Issa</w:t>
      </w:r>
      <w:proofErr w:type="spellEnd"/>
      <w:r>
        <w:t>.</w:t>
      </w:r>
    </w:p>
    <w:p w14:paraId="79E98497" w14:textId="57AD38F6" w:rsidR="00860141" w:rsidRDefault="00860141" w:rsidP="009F6FEE">
      <w:pPr>
        <w:spacing w:line="480" w:lineRule="auto"/>
        <w:jc w:val="both"/>
      </w:pPr>
      <w:proofErr w:type="spellStart"/>
      <w:r w:rsidRPr="00860141">
        <w:rPr>
          <w:b/>
        </w:rPr>
        <w:t>Issa</w:t>
      </w:r>
      <w:proofErr w:type="spellEnd"/>
      <w:r w:rsidRPr="00860141">
        <w:rPr>
          <w:b/>
        </w:rPr>
        <w:t xml:space="preserve"> Request</w:t>
      </w:r>
      <w:r>
        <w:t xml:space="preserve">: (1) </w:t>
      </w:r>
      <w:proofErr w:type="spellStart"/>
      <w:r>
        <w:t>Issa</w:t>
      </w:r>
      <w:proofErr w:type="spellEnd"/>
      <w:r>
        <w:t xml:space="preserve"> sent request for FOIA logs to the department or agency; (0) </w:t>
      </w:r>
      <w:proofErr w:type="spellStart"/>
      <w:r>
        <w:t>Issa</w:t>
      </w:r>
      <w:proofErr w:type="spellEnd"/>
      <w:r>
        <w:t xml:space="preserve"> did not send a request to the department or agency</w:t>
      </w:r>
      <w:r>
        <w:t xml:space="preserve">. </w:t>
      </w:r>
      <w:r>
        <w:t xml:space="preserve">Source: </w:t>
      </w:r>
      <w:proofErr w:type="spellStart"/>
      <w:r>
        <w:t>Issa</w:t>
      </w:r>
      <w:proofErr w:type="spellEnd"/>
      <w:r>
        <w:t xml:space="preserve"> Documents</w:t>
      </w:r>
    </w:p>
    <w:p w14:paraId="5BEF8F67" w14:textId="24FD6004" w:rsidR="00860141" w:rsidRDefault="00860141" w:rsidP="009F6FEE">
      <w:pPr>
        <w:spacing w:line="480" w:lineRule="auto"/>
        <w:jc w:val="both"/>
      </w:pPr>
      <w:proofErr w:type="spellStart"/>
      <w:r w:rsidRPr="00860141">
        <w:rPr>
          <w:b/>
        </w:rPr>
        <w:t>Issa</w:t>
      </w:r>
      <w:proofErr w:type="spellEnd"/>
      <w:r w:rsidRPr="00860141">
        <w:rPr>
          <w:b/>
        </w:rPr>
        <w:t xml:space="preserve"> Request Date</w:t>
      </w:r>
      <w:r w:rsidRPr="00860141">
        <w:t>:</w:t>
      </w:r>
      <w:r>
        <w:t xml:space="preserve"> If </w:t>
      </w:r>
      <w:proofErr w:type="spellStart"/>
      <w:r>
        <w:t>Issa</w:t>
      </w:r>
      <w:proofErr w:type="spellEnd"/>
      <w:r>
        <w:t xml:space="preserve"> sent the request, the date he sent the request to the department or agency</w:t>
      </w:r>
      <w:r>
        <w:t xml:space="preserve">. </w:t>
      </w:r>
      <w:r>
        <w:t>Source: 2010 Vanderbilt FOIA responses</w:t>
      </w:r>
    </w:p>
    <w:p w14:paraId="68137126" w14:textId="063587FC" w:rsidR="00860141" w:rsidRDefault="00860141" w:rsidP="009F6FEE">
      <w:pPr>
        <w:spacing w:line="480" w:lineRule="auto"/>
        <w:jc w:val="both"/>
      </w:pPr>
      <w:proofErr w:type="spellStart"/>
      <w:r w:rsidRPr="00860141">
        <w:rPr>
          <w:b/>
        </w:rPr>
        <w:t>Issa</w:t>
      </w:r>
      <w:proofErr w:type="spellEnd"/>
      <w:r w:rsidRPr="00860141">
        <w:rPr>
          <w:b/>
        </w:rPr>
        <w:t xml:space="preserve"> Receive Date</w:t>
      </w:r>
      <w:r w:rsidRPr="00860141">
        <w:t>:</w:t>
      </w:r>
      <w:r>
        <w:t xml:space="preserve"> If </w:t>
      </w:r>
      <w:proofErr w:type="spellStart"/>
      <w:r>
        <w:t>Issa</w:t>
      </w:r>
      <w:proofErr w:type="spellEnd"/>
      <w:r>
        <w:t xml:space="preserve"> sent the request, the date the department or agency sent its response</w:t>
      </w:r>
      <w:r>
        <w:t xml:space="preserve">. </w:t>
      </w:r>
      <w:r>
        <w:t>Source: 2010 Vanderbilt FOIA responses</w:t>
      </w:r>
    </w:p>
    <w:p w14:paraId="69DB4833" w14:textId="05C924DA" w:rsidR="00860141" w:rsidRDefault="00860141" w:rsidP="009F6FEE">
      <w:pPr>
        <w:spacing w:line="480" w:lineRule="auto"/>
        <w:jc w:val="both"/>
      </w:pPr>
      <w:proofErr w:type="spellStart"/>
      <w:r w:rsidRPr="00860141">
        <w:rPr>
          <w:b/>
        </w:rPr>
        <w:t>ISRespond</w:t>
      </w:r>
      <w:proofErr w:type="spellEnd"/>
      <w:r w:rsidRPr="00860141">
        <w:rPr>
          <w:b/>
        </w:rPr>
        <w:t xml:space="preserve"> (0,</w:t>
      </w:r>
      <w:r>
        <w:rPr>
          <w:b/>
        </w:rPr>
        <w:t xml:space="preserve"> </w:t>
      </w:r>
      <w:r w:rsidRPr="00860141">
        <w:rPr>
          <w:b/>
        </w:rPr>
        <w:t>1):</w:t>
      </w:r>
      <w:r w:rsidRPr="00860141">
        <w:t xml:space="preserve"> </w:t>
      </w:r>
      <w:r>
        <w:t xml:space="preserve">This is an indicator coded 1 if the agency </w:t>
      </w:r>
      <w:r>
        <w:t xml:space="preserve">responded to Rep. </w:t>
      </w:r>
      <w:proofErr w:type="spellStart"/>
      <w:r>
        <w:t>Issa’s</w:t>
      </w:r>
      <w:proofErr w:type="spellEnd"/>
      <w:r>
        <w:t xml:space="preserve"> request. </w:t>
      </w:r>
      <w:r>
        <w:t xml:space="preserve"> </w:t>
      </w:r>
      <w:r>
        <w:t xml:space="preserve">Source: </w:t>
      </w:r>
      <w:proofErr w:type="spellStart"/>
      <w:r>
        <w:t>Issa</w:t>
      </w:r>
      <w:proofErr w:type="spellEnd"/>
      <w:r>
        <w:t xml:space="preserve"> Documents.</w:t>
      </w:r>
    </w:p>
    <w:p w14:paraId="4CE8B3B1" w14:textId="54B7E211" w:rsidR="00860141" w:rsidRDefault="00860141" w:rsidP="009F6FEE">
      <w:pPr>
        <w:spacing w:line="480" w:lineRule="auto"/>
        <w:jc w:val="both"/>
      </w:pPr>
      <w:proofErr w:type="spellStart"/>
      <w:r w:rsidRPr="00860141">
        <w:rPr>
          <w:b/>
        </w:rPr>
        <w:t>IDaysRespond</w:t>
      </w:r>
      <w:proofErr w:type="spellEnd"/>
      <w:r w:rsidRPr="00860141">
        <w:rPr>
          <w:b/>
        </w:rPr>
        <w:t>:</w:t>
      </w:r>
      <w:r>
        <w:t xml:space="preserve"> The number of working days between the date of </w:t>
      </w:r>
      <w:proofErr w:type="spellStart"/>
      <w:r>
        <w:t>Issa’s</w:t>
      </w:r>
      <w:proofErr w:type="spellEnd"/>
      <w:r>
        <w:t xml:space="preserve"> request and the date the department or agency responded to it</w:t>
      </w:r>
      <w:r>
        <w:t>. Cases where the agency did not respond are coded with NA.</w:t>
      </w:r>
    </w:p>
    <w:p w14:paraId="0E8C89F5" w14:textId="7CFC237E" w:rsidR="00860141" w:rsidRDefault="00860141" w:rsidP="009F6FEE">
      <w:pPr>
        <w:spacing w:line="480" w:lineRule="auto"/>
        <w:jc w:val="both"/>
      </w:pPr>
      <w:r w:rsidRPr="00860141">
        <w:rPr>
          <w:b/>
        </w:rPr>
        <w:t>Sufficient: (1)</w:t>
      </w:r>
      <w:r>
        <w:t xml:space="preserve"> </w:t>
      </w:r>
      <w:proofErr w:type="spellStart"/>
      <w:r>
        <w:t>Issa</w:t>
      </w:r>
      <w:proofErr w:type="spellEnd"/>
      <w:r>
        <w:t xml:space="preserve"> staff considered the department or agency’s response to be sufficient; (0) </w:t>
      </w:r>
      <w:proofErr w:type="spellStart"/>
      <w:r>
        <w:t>Issa</w:t>
      </w:r>
      <w:proofErr w:type="spellEnd"/>
      <w:r>
        <w:t xml:space="preserve"> staff considered the department or agency’s response to be deficient in some way</w:t>
      </w:r>
      <w:r>
        <w:t xml:space="preserve">. </w:t>
      </w:r>
      <w:r>
        <w:t xml:space="preserve">Source: </w:t>
      </w:r>
      <w:proofErr w:type="spellStart"/>
      <w:r>
        <w:t>Issa</w:t>
      </w:r>
      <w:proofErr w:type="spellEnd"/>
      <w:r>
        <w:t xml:space="preserve"> Documents</w:t>
      </w:r>
    </w:p>
    <w:p w14:paraId="3793049D" w14:textId="053E96C0" w:rsidR="00860141" w:rsidRDefault="00860141" w:rsidP="009F6FEE">
      <w:pPr>
        <w:spacing w:line="480" w:lineRule="auto"/>
        <w:jc w:val="both"/>
      </w:pPr>
      <w:r w:rsidRPr="00860141">
        <w:rPr>
          <w:b/>
        </w:rPr>
        <w:t>Incomplete logs:</w:t>
      </w:r>
      <w:r>
        <w:t xml:space="preserve"> (1) </w:t>
      </w:r>
      <w:proofErr w:type="spellStart"/>
      <w:r>
        <w:t>Issa</w:t>
      </w:r>
      <w:proofErr w:type="spellEnd"/>
      <w:r>
        <w:t xml:space="preserve"> staff noted that the department or agency’s FOIA logs were incomplete in some way.  Examples of incomplete logs include those which fail to tell what the subject of the </w:t>
      </w:r>
      <w:r>
        <w:lastRenderedPageBreak/>
        <w:t xml:space="preserve">request was, who requested it, or whether records were ever released; (0) </w:t>
      </w:r>
      <w:proofErr w:type="spellStart"/>
      <w:r>
        <w:t>Issa</w:t>
      </w:r>
      <w:proofErr w:type="spellEnd"/>
      <w:r>
        <w:t xml:space="preserve"> staff did not consider the department or agency’s FOIA logs incomplete</w:t>
      </w:r>
      <w:r>
        <w:t xml:space="preserve">. </w:t>
      </w:r>
      <w:r>
        <w:t xml:space="preserve">Source: </w:t>
      </w:r>
      <w:proofErr w:type="spellStart"/>
      <w:r>
        <w:t>Issa</w:t>
      </w:r>
      <w:proofErr w:type="spellEnd"/>
      <w:r>
        <w:t xml:space="preserve"> Documents</w:t>
      </w:r>
    </w:p>
    <w:p w14:paraId="048BF81F" w14:textId="224C956E" w:rsidR="00860141" w:rsidRDefault="00860141" w:rsidP="009F6FEE">
      <w:pPr>
        <w:spacing w:line="480" w:lineRule="auto"/>
        <w:jc w:val="both"/>
      </w:pPr>
      <w:r w:rsidRPr="00860141">
        <w:rPr>
          <w:b/>
        </w:rPr>
        <w:t xml:space="preserve">No electronic log: </w:t>
      </w:r>
      <w:r>
        <w:t xml:space="preserve">(1) </w:t>
      </w:r>
      <w:proofErr w:type="spellStart"/>
      <w:r>
        <w:t>Issa</w:t>
      </w:r>
      <w:proofErr w:type="spellEnd"/>
      <w:r>
        <w:t xml:space="preserve"> staff noted that the department or agency did not produce its FOIA logs in electronic format as requested; (0) </w:t>
      </w:r>
      <w:proofErr w:type="spellStart"/>
      <w:r>
        <w:t>Issa</w:t>
      </w:r>
      <w:proofErr w:type="spellEnd"/>
      <w:r>
        <w:t xml:space="preserve"> staff noted that the department or agency produced logs electronically</w:t>
      </w:r>
      <w:r>
        <w:t xml:space="preserve">. </w:t>
      </w:r>
      <w:r>
        <w:t xml:space="preserve">Source: </w:t>
      </w:r>
      <w:proofErr w:type="spellStart"/>
      <w:r>
        <w:t>Issa</w:t>
      </w:r>
      <w:proofErr w:type="spellEnd"/>
      <w:r>
        <w:t xml:space="preserve"> Documents</w:t>
      </w:r>
    </w:p>
    <w:p w14:paraId="747B0935" w14:textId="3D8B7F56" w:rsidR="00860141" w:rsidRDefault="00860141" w:rsidP="009F6FEE">
      <w:pPr>
        <w:spacing w:line="480" w:lineRule="auto"/>
        <w:jc w:val="both"/>
      </w:pPr>
      <w:r w:rsidRPr="00860141">
        <w:rPr>
          <w:b/>
        </w:rPr>
        <w:t>No log:</w:t>
      </w:r>
      <w:r>
        <w:t xml:space="preserve"> (1) </w:t>
      </w:r>
      <w:proofErr w:type="spellStart"/>
      <w:r>
        <w:t>Issa</w:t>
      </w:r>
      <w:proofErr w:type="spellEnd"/>
      <w:r>
        <w:t xml:space="preserve"> staff noted that the department or agency did not produce any logs in response to </w:t>
      </w:r>
      <w:proofErr w:type="spellStart"/>
      <w:r>
        <w:t>Issa’s</w:t>
      </w:r>
      <w:proofErr w:type="spellEnd"/>
      <w:r>
        <w:t xml:space="preserve"> request; (0) </w:t>
      </w:r>
      <w:proofErr w:type="spellStart"/>
      <w:r>
        <w:t>Issa</w:t>
      </w:r>
      <w:proofErr w:type="spellEnd"/>
      <w:r>
        <w:t xml:space="preserve"> staff noted that the department or agency produced at least one log (however incomplete or deficient)</w:t>
      </w:r>
      <w:r>
        <w:t xml:space="preserve">. </w:t>
      </w:r>
      <w:r>
        <w:t xml:space="preserve">Source: </w:t>
      </w:r>
      <w:proofErr w:type="spellStart"/>
      <w:r>
        <w:t>Issa</w:t>
      </w:r>
      <w:proofErr w:type="spellEnd"/>
      <w:r>
        <w:t xml:space="preserve"> Documents</w:t>
      </w:r>
    </w:p>
    <w:p w14:paraId="2F1D2CDE" w14:textId="77777777" w:rsidR="00860141" w:rsidRDefault="00860141" w:rsidP="009F6FEE">
      <w:pPr>
        <w:spacing w:line="480" w:lineRule="auto"/>
        <w:jc w:val="both"/>
      </w:pPr>
      <w:r w:rsidRPr="00860141">
        <w:rPr>
          <w:b/>
        </w:rPr>
        <w:t>JLS Request Date</w:t>
      </w:r>
      <w:r>
        <w:t>: The date the Vanderbilt request was sent to the department or agency</w:t>
      </w:r>
    </w:p>
    <w:p w14:paraId="0D4F08CF" w14:textId="77777777" w:rsidR="00860141" w:rsidRDefault="00860141" w:rsidP="009F6FEE">
      <w:pPr>
        <w:spacing w:line="480" w:lineRule="auto"/>
        <w:jc w:val="both"/>
      </w:pPr>
      <w:r w:rsidRPr="00860141">
        <w:rPr>
          <w:b/>
        </w:rPr>
        <w:t>JLS Receive Date</w:t>
      </w:r>
      <w:r>
        <w:t>: The date the department or agency sent its response to the Vanderbilt request</w:t>
      </w:r>
    </w:p>
    <w:p w14:paraId="2C119D9B" w14:textId="77777777" w:rsidR="00860141" w:rsidRDefault="00860141" w:rsidP="009F6FEE">
      <w:pPr>
        <w:spacing w:line="480" w:lineRule="auto"/>
        <w:jc w:val="both"/>
      </w:pPr>
      <w:proofErr w:type="spellStart"/>
      <w:r w:rsidRPr="00860141">
        <w:rPr>
          <w:b/>
        </w:rPr>
        <w:t>JDaysRespond</w:t>
      </w:r>
      <w:proofErr w:type="spellEnd"/>
      <w:r w:rsidRPr="00860141">
        <w:rPr>
          <w:b/>
        </w:rPr>
        <w:t>:</w:t>
      </w:r>
      <w:r>
        <w:t xml:space="preserve"> The number of working days between the date of the Vanderbilt request and the date the department or agency responded to it</w:t>
      </w:r>
    </w:p>
    <w:p w14:paraId="3AD803D3" w14:textId="23BC084F" w:rsidR="00860141" w:rsidRDefault="00860141" w:rsidP="009F6FEE">
      <w:pPr>
        <w:spacing w:line="480" w:lineRule="auto"/>
        <w:jc w:val="both"/>
      </w:pPr>
      <w:r w:rsidRPr="00860141">
        <w:rPr>
          <w:b/>
        </w:rPr>
        <w:t xml:space="preserve">Include </w:t>
      </w:r>
      <w:proofErr w:type="spellStart"/>
      <w:r w:rsidRPr="00860141">
        <w:rPr>
          <w:b/>
        </w:rPr>
        <w:t>Issa</w:t>
      </w:r>
      <w:proofErr w:type="spellEnd"/>
      <w:r>
        <w:t xml:space="preserve"> (0</w:t>
      </w:r>
      <w:proofErr w:type="gramStart"/>
      <w:r>
        <w:t>,1</w:t>
      </w:r>
      <w:proofErr w:type="gramEnd"/>
      <w:r>
        <w:t>)</w:t>
      </w:r>
      <w:r>
        <w:t xml:space="preserve">: (1) The Vanderbilt response included the </w:t>
      </w:r>
      <w:proofErr w:type="spellStart"/>
      <w:r>
        <w:t>Issa</w:t>
      </w:r>
      <w:proofErr w:type="spellEnd"/>
      <w:r>
        <w:t xml:space="preserve"> request; (0) the Vanderbilt response did not include the </w:t>
      </w:r>
      <w:proofErr w:type="spellStart"/>
      <w:r>
        <w:t>Issa</w:t>
      </w:r>
      <w:proofErr w:type="spellEnd"/>
      <w:r>
        <w:t xml:space="preserve"> request; (.) </w:t>
      </w:r>
      <w:proofErr w:type="spellStart"/>
      <w:r>
        <w:t>Issa</w:t>
      </w:r>
      <w:proofErr w:type="spellEnd"/>
      <w:r>
        <w:t xml:space="preserve"> did not sent the agency a request</w:t>
      </w:r>
      <w:r w:rsidR="004618AE">
        <w:t>.</w:t>
      </w:r>
    </w:p>
    <w:p w14:paraId="7F977432" w14:textId="41B040DC" w:rsidR="004618AE" w:rsidRDefault="004618AE" w:rsidP="009F6FEE">
      <w:pPr>
        <w:spacing w:line="480" w:lineRule="auto"/>
        <w:jc w:val="both"/>
      </w:pPr>
      <w:proofErr w:type="spellStart"/>
      <w:r w:rsidRPr="004618AE">
        <w:rPr>
          <w:b/>
        </w:rPr>
        <w:t>TotalPart</w:t>
      </w:r>
      <w:proofErr w:type="spellEnd"/>
      <w:r w:rsidR="005D0134">
        <w:rPr>
          <w:b/>
        </w:rPr>
        <w:t xml:space="preserve">: </w:t>
      </w:r>
      <w:r w:rsidR="005D0134">
        <w:t>Total number of programs an agency had evaluated in the PART program assessments during the Bush Administration.</w:t>
      </w:r>
    </w:p>
    <w:p w14:paraId="21B4FDD5" w14:textId="742B3D2D" w:rsidR="005D0134" w:rsidRDefault="005D0134" w:rsidP="009F6FEE">
      <w:pPr>
        <w:spacing w:line="480" w:lineRule="auto"/>
        <w:jc w:val="both"/>
      </w:pPr>
      <w:proofErr w:type="spellStart"/>
      <w:r w:rsidRPr="005D0134">
        <w:rPr>
          <w:b/>
        </w:rPr>
        <w:t>DMest</w:t>
      </w:r>
      <w:proofErr w:type="spellEnd"/>
      <w:r>
        <w:t xml:space="preserve">: Selin (2015) measure of agency insulation on the decision maker dimension. </w:t>
      </w:r>
      <w:proofErr w:type="spellStart"/>
      <w:r>
        <w:t>Selin’s</w:t>
      </w:r>
      <w:proofErr w:type="spellEnd"/>
      <w:r>
        <w:t xml:space="preserve"> estimates of agency insulation include two dimensions, one related to decision makers and one related to whether agency decisions can be reviewed by other actors in the political system.</w:t>
      </w:r>
    </w:p>
    <w:p w14:paraId="73409209" w14:textId="77E8E46D" w:rsidR="005D0134" w:rsidRPr="005D0134" w:rsidRDefault="005D0134" w:rsidP="009F6FEE">
      <w:pPr>
        <w:spacing w:line="480" w:lineRule="auto"/>
        <w:jc w:val="both"/>
      </w:pPr>
      <w:proofErr w:type="spellStart"/>
      <w:r w:rsidRPr="005D0134">
        <w:rPr>
          <w:b/>
        </w:rPr>
        <w:t>DMstdev</w:t>
      </w:r>
      <w:proofErr w:type="spellEnd"/>
      <w:r>
        <w:t xml:space="preserve">: Standard deviation of </w:t>
      </w:r>
      <w:proofErr w:type="spellStart"/>
      <w:r>
        <w:t>DMest</w:t>
      </w:r>
      <w:proofErr w:type="spellEnd"/>
      <w:r>
        <w:t xml:space="preserve"> estimate.</w:t>
      </w:r>
    </w:p>
    <w:p w14:paraId="6306448A" w14:textId="12D5CC8B" w:rsidR="005D0134" w:rsidRPr="005D0134" w:rsidRDefault="005D0134" w:rsidP="009F6FEE">
      <w:pPr>
        <w:spacing w:line="480" w:lineRule="auto"/>
        <w:jc w:val="both"/>
        <w:rPr>
          <w:b/>
        </w:rPr>
      </w:pPr>
      <w:proofErr w:type="spellStart"/>
      <w:r w:rsidRPr="005D0134">
        <w:rPr>
          <w:b/>
        </w:rPr>
        <w:t>PRest</w:t>
      </w:r>
      <w:proofErr w:type="spellEnd"/>
      <w:r>
        <w:t xml:space="preserve">: </w:t>
      </w:r>
      <w:r>
        <w:t xml:space="preserve">Selin (2015) measure of agency insulation on the </w:t>
      </w:r>
      <w:r>
        <w:t>review of policy decisions</w:t>
      </w:r>
      <w:r>
        <w:t xml:space="preserve"> dimension</w:t>
      </w:r>
      <w:r>
        <w:t xml:space="preserve">. </w:t>
      </w:r>
      <w:proofErr w:type="spellStart"/>
      <w:r>
        <w:t>Selin’s</w:t>
      </w:r>
      <w:proofErr w:type="spellEnd"/>
      <w:r>
        <w:t xml:space="preserve"> estimates of agency insulation include two dimensions, one related to decision makers and one related to whether agency decisions can be reviewed by other actors in the political system.</w:t>
      </w:r>
    </w:p>
    <w:p w14:paraId="4F00E23E" w14:textId="1A26E3B0" w:rsidR="005D0134" w:rsidRPr="005D0134" w:rsidRDefault="005D0134" w:rsidP="009F6FEE">
      <w:pPr>
        <w:spacing w:line="480" w:lineRule="auto"/>
        <w:jc w:val="both"/>
      </w:pPr>
      <w:proofErr w:type="spellStart"/>
      <w:r w:rsidRPr="005D0134">
        <w:rPr>
          <w:b/>
        </w:rPr>
        <w:lastRenderedPageBreak/>
        <w:t>PRstdev</w:t>
      </w:r>
      <w:proofErr w:type="spellEnd"/>
      <w:r>
        <w:t>:</w:t>
      </w:r>
      <w:r w:rsidRPr="005D0134">
        <w:t xml:space="preserve"> </w:t>
      </w:r>
      <w:r>
        <w:t>Standard dev</w:t>
      </w:r>
      <w:r>
        <w:t xml:space="preserve">iation of </w:t>
      </w:r>
      <w:proofErr w:type="spellStart"/>
      <w:r>
        <w:t>PR</w:t>
      </w:r>
      <w:r>
        <w:t>est</w:t>
      </w:r>
      <w:proofErr w:type="spellEnd"/>
      <w:r>
        <w:t xml:space="preserve"> estimate</w:t>
      </w:r>
    </w:p>
    <w:p w14:paraId="650AE232" w14:textId="13636AA2" w:rsidR="009F6FEE" w:rsidRPr="003A4B1D" w:rsidRDefault="004618AE" w:rsidP="009F6FEE">
      <w:pPr>
        <w:spacing w:line="480" w:lineRule="auto"/>
        <w:jc w:val="both"/>
      </w:pPr>
      <w:r w:rsidRPr="004618AE">
        <w:rPr>
          <w:b/>
        </w:rPr>
        <w:t>SFGS_pol1</w:t>
      </w:r>
      <w:r w:rsidR="009F6FEE">
        <w:rPr>
          <w:b/>
        </w:rPr>
        <w:t>:</w:t>
      </w:r>
      <w:r w:rsidR="009F6FEE" w:rsidRPr="009F6FEE">
        <w:t xml:space="preserve"> </w:t>
      </w:r>
      <w:r w:rsidR="009F6FEE">
        <w:t>T</w:t>
      </w:r>
      <w:r w:rsidR="009F6FEE" w:rsidRPr="00B93206">
        <w:t>he 2007-</w:t>
      </w:r>
      <w:r w:rsidR="009F6FEE">
        <w:t>200</w:t>
      </w:r>
      <w:r w:rsidR="009F6FEE" w:rsidRPr="00B93206">
        <w:t>8 Survey on the Future of Government Service</w:t>
      </w:r>
      <w:r w:rsidR="009F6FEE">
        <w:t xml:space="preserve"> (SFGS) asked top </w:t>
      </w:r>
      <w:r w:rsidR="009F6FEE" w:rsidRPr="00B93206">
        <w:t>career federal executives “</w:t>
      </w:r>
      <w:r w:rsidR="009F6FEE">
        <w:t>H</w:t>
      </w:r>
      <w:r w:rsidR="009F6FEE" w:rsidRPr="00B93206">
        <w:t xml:space="preserve">ow much influence do the following groups have over policy decisions in your agency? [Political appointees, </w:t>
      </w:r>
      <w:proofErr w:type="gramStart"/>
      <w:r w:rsidR="009F6FEE" w:rsidRPr="00B93206">
        <w:t>Senior</w:t>
      </w:r>
      <w:proofErr w:type="gramEnd"/>
      <w:r w:rsidR="009F6FEE" w:rsidRPr="00B93206">
        <w:t xml:space="preserve"> civil servants]”</w:t>
      </w:r>
      <w:r w:rsidR="009F6FEE">
        <w:t xml:space="preserve">.  </w:t>
      </w:r>
      <w:r w:rsidR="009F6FEE">
        <w:t>This is the difference in average responses for political appointees and career professionals by agency. Source: 2007-8 Survey on the Future of Government Service.</w:t>
      </w:r>
      <w:bookmarkStart w:id="0" w:name="_GoBack"/>
      <w:bookmarkEnd w:id="0"/>
    </w:p>
    <w:p w14:paraId="5DC9F03F" w14:textId="77777777" w:rsidR="00C03E2B" w:rsidRDefault="00C03E2B" w:rsidP="009F6FEE">
      <w:pPr>
        <w:spacing w:line="480" w:lineRule="auto"/>
        <w:jc w:val="both"/>
        <w:rPr>
          <w:color w:val="000000"/>
        </w:rPr>
      </w:pPr>
      <w:r>
        <w:rPr>
          <w:color w:val="000000"/>
        </w:rPr>
        <w:br w:type="page"/>
      </w:r>
    </w:p>
    <w:p w14:paraId="271280B9" w14:textId="77777777" w:rsidR="00C03E2B" w:rsidRDefault="00C03E2B" w:rsidP="00945AE3">
      <w:pPr>
        <w:jc w:val="center"/>
        <w:rPr>
          <w:b/>
        </w:rPr>
      </w:pPr>
      <w:r>
        <w:rPr>
          <w:b/>
        </w:rPr>
        <w:lastRenderedPageBreak/>
        <w:t>Appendix A</w:t>
      </w:r>
    </w:p>
    <w:p w14:paraId="0BE0F8E6" w14:textId="77777777" w:rsidR="00C03E2B" w:rsidRDefault="00C03E2B" w:rsidP="009F6FEE">
      <w:pPr>
        <w:jc w:val="both"/>
      </w:pPr>
    </w:p>
    <w:p w14:paraId="50B9522A" w14:textId="77777777" w:rsidR="00B84954" w:rsidRDefault="00B84954" w:rsidP="009F6FEE">
      <w:pPr>
        <w:jc w:val="both"/>
        <w:sectPr w:rsidR="00B84954">
          <w:footerReference w:type="default" r:id="rId38"/>
          <w:pgSz w:w="12240" w:h="15840"/>
          <w:pgMar w:top="1440" w:right="1440" w:bottom="1440" w:left="1440" w:header="720" w:footer="720" w:gutter="0"/>
          <w:pgNumType w:start="0"/>
          <w:cols w:space="720"/>
          <w:titlePg/>
          <w:docGrid w:linePitch="360"/>
        </w:sectPr>
      </w:pPr>
    </w:p>
    <w:p w14:paraId="70920174" w14:textId="77777777" w:rsidR="00C03E2B" w:rsidRDefault="00C03E2B" w:rsidP="009F6FEE">
      <w:pPr>
        <w:jc w:val="both"/>
      </w:pPr>
      <w:r>
        <w:t xml:space="preserve">Below is a list of all the agencies we included in our initial list, which we obtained from the Department of Justice.  Offices with one asterisk (*) were not included in the letters that went to the Offices of the Inspectors General, because they lacked a stand-alone OIG.  Agencies with a double asterisk (**) were excluded from all requests. </w:t>
      </w:r>
    </w:p>
    <w:p w14:paraId="2C4EA412" w14:textId="77777777" w:rsidR="00C03E2B" w:rsidRDefault="00C03E2B" w:rsidP="009F6FEE">
      <w:pPr>
        <w:jc w:val="both"/>
      </w:pPr>
    </w:p>
    <w:p w14:paraId="5FF913CA" w14:textId="77777777" w:rsidR="00C03E2B" w:rsidRDefault="00C03E2B" w:rsidP="009F6FEE">
      <w:pPr>
        <w:jc w:val="both"/>
        <w:sectPr w:rsidR="00C03E2B">
          <w:type w:val="continuous"/>
          <w:pgSz w:w="12240" w:h="15840"/>
          <w:pgMar w:top="1440" w:right="1440" w:bottom="1440" w:left="1440" w:header="720" w:footer="720" w:gutter="0"/>
          <w:cols w:space="720"/>
          <w:docGrid w:linePitch="360"/>
        </w:sectPr>
      </w:pPr>
    </w:p>
    <w:p w14:paraId="717910A2" w14:textId="77777777" w:rsidR="00C03E2B" w:rsidRPr="006F1B88" w:rsidRDefault="00C03E2B" w:rsidP="009F6FEE">
      <w:pPr>
        <w:jc w:val="both"/>
        <w:rPr>
          <w:sz w:val="20"/>
          <w:szCs w:val="20"/>
        </w:rPr>
      </w:pPr>
      <w:r w:rsidRPr="006F1B88">
        <w:rPr>
          <w:sz w:val="20"/>
          <w:szCs w:val="20"/>
        </w:rPr>
        <w:t>Department of Agriculture</w:t>
      </w:r>
    </w:p>
    <w:p w14:paraId="4C801867" w14:textId="77777777" w:rsidR="00C03E2B" w:rsidRPr="006F1B88" w:rsidRDefault="00C03E2B" w:rsidP="009F6FEE">
      <w:pPr>
        <w:jc w:val="both"/>
        <w:rPr>
          <w:sz w:val="20"/>
          <w:szCs w:val="20"/>
        </w:rPr>
      </w:pPr>
      <w:r w:rsidRPr="006F1B88">
        <w:rPr>
          <w:sz w:val="20"/>
          <w:szCs w:val="20"/>
        </w:rPr>
        <w:t>Department of Commerce</w:t>
      </w:r>
    </w:p>
    <w:p w14:paraId="69350381" w14:textId="77777777" w:rsidR="00C03E2B" w:rsidRPr="006F1B88" w:rsidRDefault="00C03E2B" w:rsidP="009F6FEE">
      <w:pPr>
        <w:jc w:val="both"/>
        <w:rPr>
          <w:sz w:val="20"/>
          <w:szCs w:val="20"/>
        </w:rPr>
      </w:pPr>
      <w:r w:rsidRPr="006F1B88">
        <w:rPr>
          <w:sz w:val="20"/>
          <w:szCs w:val="20"/>
        </w:rPr>
        <w:t>National Oceanic and Atmospheric Administration*</w:t>
      </w:r>
    </w:p>
    <w:p w14:paraId="31D44EC5" w14:textId="77777777" w:rsidR="00C03E2B" w:rsidRPr="006F1B88" w:rsidRDefault="00C03E2B" w:rsidP="009F6FEE">
      <w:pPr>
        <w:jc w:val="both"/>
        <w:rPr>
          <w:sz w:val="20"/>
          <w:szCs w:val="20"/>
        </w:rPr>
      </w:pPr>
      <w:r w:rsidRPr="006F1B88">
        <w:rPr>
          <w:sz w:val="20"/>
          <w:szCs w:val="20"/>
        </w:rPr>
        <w:t>Department of Defense*</w:t>
      </w:r>
    </w:p>
    <w:p w14:paraId="38DEAC6A" w14:textId="77777777" w:rsidR="00C03E2B" w:rsidRPr="006F1B88" w:rsidRDefault="00C03E2B" w:rsidP="009F6FEE">
      <w:pPr>
        <w:jc w:val="both"/>
        <w:rPr>
          <w:sz w:val="20"/>
          <w:szCs w:val="20"/>
        </w:rPr>
      </w:pPr>
      <w:r w:rsidRPr="006F1B88">
        <w:rPr>
          <w:sz w:val="20"/>
          <w:szCs w:val="20"/>
        </w:rPr>
        <w:t>Air Force</w:t>
      </w:r>
    </w:p>
    <w:p w14:paraId="518937F9" w14:textId="77777777" w:rsidR="00C03E2B" w:rsidRPr="006F1B88" w:rsidRDefault="00C03E2B" w:rsidP="009F6FEE">
      <w:pPr>
        <w:jc w:val="both"/>
        <w:rPr>
          <w:sz w:val="20"/>
          <w:szCs w:val="20"/>
        </w:rPr>
      </w:pPr>
      <w:r w:rsidRPr="006F1B88">
        <w:rPr>
          <w:sz w:val="20"/>
          <w:szCs w:val="20"/>
        </w:rPr>
        <w:t>Army</w:t>
      </w:r>
    </w:p>
    <w:p w14:paraId="183520A7" w14:textId="77777777" w:rsidR="00C03E2B" w:rsidRPr="006F1B88" w:rsidRDefault="00C03E2B" w:rsidP="009F6FEE">
      <w:pPr>
        <w:jc w:val="both"/>
        <w:rPr>
          <w:sz w:val="20"/>
          <w:szCs w:val="20"/>
        </w:rPr>
      </w:pPr>
      <w:r w:rsidRPr="006F1B88">
        <w:rPr>
          <w:sz w:val="20"/>
          <w:szCs w:val="20"/>
        </w:rPr>
        <w:t>Defense Commissary Agency (</w:t>
      </w:r>
      <w:proofErr w:type="spellStart"/>
      <w:r w:rsidRPr="006F1B88">
        <w:rPr>
          <w:sz w:val="20"/>
          <w:szCs w:val="20"/>
        </w:rPr>
        <w:t>DeCA</w:t>
      </w:r>
      <w:proofErr w:type="spellEnd"/>
      <w:r w:rsidRPr="006F1B88">
        <w:rPr>
          <w:sz w:val="20"/>
          <w:szCs w:val="20"/>
        </w:rPr>
        <w:t xml:space="preserve">) </w:t>
      </w:r>
    </w:p>
    <w:p w14:paraId="49326E4D" w14:textId="77777777" w:rsidR="00C03E2B" w:rsidRPr="006F1B88" w:rsidRDefault="00C03E2B" w:rsidP="009F6FEE">
      <w:pPr>
        <w:jc w:val="both"/>
        <w:rPr>
          <w:sz w:val="20"/>
          <w:szCs w:val="20"/>
        </w:rPr>
      </w:pPr>
      <w:r w:rsidRPr="006F1B88">
        <w:rPr>
          <w:sz w:val="20"/>
          <w:szCs w:val="20"/>
        </w:rPr>
        <w:t>Defense Contract Audit Agency*</w:t>
      </w:r>
    </w:p>
    <w:p w14:paraId="2EBE4C53" w14:textId="77777777" w:rsidR="00C03E2B" w:rsidRPr="006F1B88" w:rsidRDefault="00C03E2B" w:rsidP="009F6FEE">
      <w:pPr>
        <w:jc w:val="both"/>
        <w:rPr>
          <w:sz w:val="20"/>
          <w:szCs w:val="20"/>
        </w:rPr>
      </w:pPr>
      <w:r w:rsidRPr="006F1B88">
        <w:rPr>
          <w:sz w:val="20"/>
          <w:szCs w:val="20"/>
        </w:rPr>
        <w:t>Defense Contract Management Agency*</w:t>
      </w:r>
    </w:p>
    <w:p w14:paraId="5582E983" w14:textId="77777777" w:rsidR="00C03E2B" w:rsidRPr="006F1B88" w:rsidRDefault="00C03E2B" w:rsidP="009F6FEE">
      <w:pPr>
        <w:jc w:val="both"/>
        <w:rPr>
          <w:sz w:val="20"/>
          <w:szCs w:val="20"/>
        </w:rPr>
      </w:pPr>
      <w:r w:rsidRPr="006F1B88">
        <w:rPr>
          <w:sz w:val="20"/>
          <w:szCs w:val="20"/>
        </w:rPr>
        <w:t>Defense Finance and Accounting Service*</w:t>
      </w:r>
    </w:p>
    <w:p w14:paraId="1A452CDF" w14:textId="77777777" w:rsidR="00C03E2B" w:rsidRPr="006F1B88" w:rsidRDefault="00C03E2B" w:rsidP="009F6FEE">
      <w:pPr>
        <w:jc w:val="both"/>
        <w:rPr>
          <w:sz w:val="20"/>
          <w:szCs w:val="20"/>
        </w:rPr>
      </w:pPr>
      <w:r w:rsidRPr="006F1B88">
        <w:rPr>
          <w:sz w:val="20"/>
          <w:szCs w:val="20"/>
        </w:rPr>
        <w:t>Defense Information Systems Agency</w:t>
      </w:r>
    </w:p>
    <w:p w14:paraId="6AD7182A" w14:textId="77777777" w:rsidR="00C03E2B" w:rsidRPr="006F1B88" w:rsidRDefault="00C03E2B" w:rsidP="009F6FEE">
      <w:pPr>
        <w:jc w:val="both"/>
        <w:rPr>
          <w:sz w:val="20"/>
          <w:szCs w:val="20"/>
        </w:rPr>
      </w:pPr>
      <w:r w:rsidRPr="006F1B88">
        <w:rPr>
          <w:sz w:val="20"/>
          <w:szCs w:val="20"/>
        </w:rPr>
        <w:t>Defense Intelligence Agency</w:t>
      </w:r>
    </w:p>
    <w:p w14:paraId="58C6E317" w14:textId="77777777" w:rsidR="00C03E2B" w:rsidRPr="006F1B88" w:rsidRDefault="00C03E2B" w:rsidP="009F6FEE">
      <w:pPr>
        <w:jc w:val="both"/>
        <w:rPr>
          <w:sz w:val="20"/>
          <w:szCs w:val="20"/>
        </w:rPr>
      </w:pPr>
      <w:r w:rsidRPr="006F1B88">
        <w:rPr>
          <w:sz w:val="20"/>
          <w:szCs w:val="20"/>
        </w:rPr>
        <w:t>Defense Logistics Agency</w:t>
      </w:r>
    </w:p>
    <w:p w14:paraId="6102CF7B" w14:textId="77777777" w:rsidR="00C03E2B" w:rsidRPr="006F1B88" w:rsidRDefault="00C03E2B" w:rsidP="009F6FEE">
      <w:pPr>
        <w:jc w:val="both"/>
        <w:rPr>
          <w:sz w:val="20"/>
          <w:szCs w:val="20"/>
        </w:rPr>
      </w:pPr>
      <w:r w:rsidRPr="006F1B88">
        <w:rPr>
          <w:sz w:val="20"/>
          <w:szCs w:val="20"/>
        </w:rPr>
        <w:t xml:space="preserve">Defense Security Service </w:t>
      </w:r>
    </w:p>
    <w:p w14:paraId="43DE91A0" w14:textId="77777777" w:rsidR="00C03E2B" w:rsidRPr="006F1B88" w:rsidRDefault="00C03E2B" w:rsidP="009F6FEE">
      <w:pPr>
        <w:jc w:val="both"/>
        <w:rPr>
          <w:sz w:val="20"/>
          <w:szCs w:val="20"/>
        </w:rPr>
      </w:pPr>
      <w:r w:rsidRPr="006F1B88">
        <w:rPr>
          <w:sz w:val="20"/>
          <w:szCs w:val="20"/>
        </w:rPr>
        <w:t>Defense Technical Information Center*</w:t>
      </w:r>
    </w:p>
    <w:p w14:paraId="4C858F33" w14:textId="77777777" w:rsidR="00C03E2B" w:rsidRPr="006F1B88" w:rsidRDefault="00C03E2B" w:rsidP="009F6FEE">
      <w:pPr>
        <w:jc w:val="both"/>
        <w:rPr>
          <w:sz w:val="20"/>
          <w:szCs w:val="20"/>
        </w:rPr>
      </w:pPr>
      <w:r w:rsidRPr="006F1B88">
        <w:rPr>
          <w:sz w:val="20"/>
          <w:szCs w:val="20"/>
        </w:rPr>
        <w:t>Defense Threat Reduction Agency*</w:t>
      </w:r>
    </w:p>
    <w:p w14:paraId="3AD37CD5" w14:textId="77777777" w:rsidR="00C03E2B" w:rsidRPr="006F1B88" w:rsidRDefault="00C03E2B" w:rsidP="009F6FEE">
      <w:pPr>
        <w:jc w:val="both"/>
        <w:rPr>
          <w:sz w:val="20"/>
          <w:szCs w:val="20"/>
        </w:rPr>
      </w:pPr>
      <w:r w:rsidRPr="006F1B88">
        <w:rPr>
          <w:sz w:val="20"/>
          <w:szCs w:val="20"/>
        </w:rPr>
        <w:t>Department of Defense Education Activity</w:t>
      </w:r>
    </w:p>
    <w:p w14:paraId="5E68C108" w14:textId="77777777" w:rsidR="00C03E2B" w:rsidRPr="006F1B88" w:rsidRDefault="00C03E2B" w:rsidP="009F6FEE">
      <w:pPr>
        <w:jc w:val="both"/>
        <w:rPr>
          <w:sz w:val="20"/>
          <w:szCs w:val="20"/>
        </w:rPr>
      </w:pPr>
      <w:r w:rsidRPr="006F1B88">
        <w:rPr>
          <w:sz w:val="20"/>
          <w:szCs w:val="20"/>
        </w:rPr>
        <w:t>Marine Corps</w:t>
      </w:r>
    </w:p>
    <w:p w14:paraId="73C23EF2" w14:textId="77777777" w:rsidR="00C03E2B" w:rsidRPr="006F1B88" w:rsidRDefault="00C03E2B" w:rsidP="009F6FEE">
      <w:pPr>
        <w:jc w:val="both"/>
        <w:rPr>
          <w:sz w:val="20"/>
          <w:szCs w:val="20"/>
        </w:rPr>
      </w:pPr>
      <w:r w:rsidRPr="006F1B88">
        <w:rPr>
          <w:sz w:val="20"/>
          <w:szCs w:val="20"/>
        </w:rPr>
        <w:t>Missile Defense Agency*</w:t>
      </w:r>
    </w:p>
    <w:p w14:paraId="7DF5D175" w14:textId="77777777" w:rsidR="00C03E2B" w:rsidRPr="006F1B88" w:rsidRDefault="00C03E2B" w:rsidP="009F6FEE">
      <w:pPr>
        <w:jc w:val="both"/>
        <w:rPr>
          <w:sz w:val="20"/>
          <w:szCs w:val="20"/>
        </w:rPr>
      </w:pPr>
      <w:r w:rsidRPr="006F1B88">
        <w:rPr>
          <w:sz w:val="20"/>
          <w:szCs w:val="20"/>
        </w:rPr>
        <w:t>National Geospatial-Intelligence Agency</w:t>
      </w:r>
    </w:p>
    <w:p w14:paraId="5A7165F8" w14:textId="77777777" w:rsidR="00C03E2B" w:rsidRPr="006F1B88" w:rsidRDefault="00C03E2B" w:rsidP="009F6FEE">
      <w:pPr>
        <w:jc w:val="both"/>
        <w:rPr>
          <w:sz w:val="20"/>
          <w:szCs w:val="20"/>
        </w:rPr>
      </w:pPr>
      <w:r w:rsidRPr="006F1B88">
        <w:rPr>
          <w:sz w:val="20"/>
          <w:szCs w:val="20"/>
        </w:rPr>
        <w:t xml:space="preserve">National Guard Bureau/JA-FOIA* </w:t>
      </w:r>
    </w:p>
    <w:p w14:paraId="4B61CDA9" w14:textId="77777777" w:rsidR="00C03E2B" w:rsidRPr="006F1B88" w:rsidRDefault="00C03E2B" w:rsidP="009F6FEE">
      <w:pPr>
        <w:jc w:val="both"/>
        <w:rPr>
          <w:sz w:val="20"/>
          <w:szCs w:val="20"/>
        </w:rPr>
      </w:pPr>
      <w:r w:rsidRPr="006F1B88">
        <w:rPr>
          <w:sz w:val="20"/>
          <w:szCs w:val="20"/>
        </w:rPr>
        <w:t>National Reconnaissance Office</w:t>
      </w:r>
    </w:p>
    <w:p w14:paraId="021B9BD3" w14:textId="77777777" w:rsidR="00C03E2B" w:rsidRPr="006F1B88" w:rsidRDefault="00C03E2B" w:rsidP="009F6FEE">
      <w:pPr>
        <w:jc w:val="both"/>
        <w:rPr>
          <w:sz w:val="20"/>
          <w:szCs w:val="20"/>
        </w:rPr>
      </w:pPr>
      <w:r w:rsidRPr="006F1B88">
        <w:rPr>
          <w:sz w:val="20"/>
          <w:szCs w:val="20"/>
        </w:rPr>
        <w:t>National Security Agency</w:t>
      </w:r>
    </w:p>
    <w:p w14:paraId="78358F71" w14:textId="77777777" w:rsidR="00C03E2B" w:rsidRPr="006F1B88" w:rsidRDefault="00C03E2B" w:rsidP="009F6FEE">
      <w:pPr>
        <w:jc w:val="both"/>
        <w:rPr>
          <w:sz w:val="20"/>
          <w:szCs w:val="20"/>
        </w:rPr>
      </w:pPr>
      <w:r w:rsidRPr="006F1B88">
        <w:rPr>
          <w:sz w:val="20"/>
          <w:szCs w:val="20"/>
        </w:rPr>
        <w:t>Navy</w:t>
      </w:r>
    </w:p>
    <w:p w14:paraId="39CCDF2F" w14:textId="77777777" w:rsidR="00C03E2B" w:rsidRPr="006F1B88" w:rsidRDefault="00C03E2B" w:rsidP="009F6FEE">
      <w:pPr>
        <w:jc w:val="both"/>
        <w:rPr>
          <w:sz w:val="20"/>
          <w:szCs w:val="20"/>
        </w:rPr>
      </w:pPr>
      <w:r w:rsidRPr="006F1B88">
        <w:rPr>
          <w:sz w:val="20"/>
          <w:szCs w:val="20"/>
        </w:rPr>
        <w:t>Department of Defense Office of the Inspector General**</w:t>
      </w:r>
    </w:p>
    <w:p w14:paraId="039AE5AB" w14:textId="77777777" w:rsidR="00C03E2B" w:rsidRPr="006F1B88" w:rsidRDefault="00C03E2B" w:rsidP="009F6FEE">
      <w:pPr>
        <w:jc w:val="both"/>
        <w:rPr>
          <w:sz w:val="20"/>
          <w:szCs w:val="20"/>
        </w:rPr>
      </w:pPr>
      <w:r w:rsidRPr="006F1B88">
        <w:rPr>
          <w:sz w:val="20"/>
          <w:szCs w:val="20"/>
        </w:rPr>
        <w:t>Office of the Secretary of Defense and Joint Staff*</w:t>
      </w:r>
    </w:p>
    <w:p w14:paraId="6869918F" w14:textId="77777777" w:rsidR="00C03E2B" w:rsidRPr="006F1B88" w:rsidRDefault="00C03E2B" w:rsidP="009F6FEE">
      <w:pPr>
        <w:jc w:val="both"/>
        <w:rPr>
          <w:sz w:val="20"/>
          <w:szCs w:val="20"/>
        </w:rPr>
      </w:pPr>
      <w:r w:rsidRPr="006F1B88">
        <w:rPr>
          <w:sz w:val="20"/>
          <w:szCs w:val="20"/>
        </w:rPr>
        <w:t>TRICARE Management Activity*</w:t>
      </w:r>
    </w:p>
    <w:p w14:paraId="3501FCE2" w14:textId="77777777" w:rsidR="00C03E2B" w:rsidRPr="006F1B88" w:rsidRDefault="00C03E2B" w:rsidP="009F6FEE">
      <w:pPr>
        <w:jc w:val="both"/>
        <w:rPr>
          <w:sz w:val="20"/>
          <w:szCs w:val="20"/>
        </w:rPr>
      </w:pPr>
      <w:r w:rsidRPr="006F1B88">
        <w:rPr>
          <w:sz w:val="20"/>
          <w:szCs w:val="20"/>
        </w:rPr>
        <w:t>United States Africa Command FOIA Requester Service Center**</w:t>
      </w:r>
    </w:p>
    <w:p w14:paraId="284F2D17" w14:textId="77777777" w:rsidR="00C03E2B" w:rsidRPr="006F1B88" w:rsidRDefault="00C03E2B" w:rsidP="009F6FEE">
      <w:pPr>
        <w:jc w:val="both"/>
        <w:rPr>
          <w:sz w:val="20"/>
          <w:szCs w:val="20"/>
        </w:rPr>
      </w:pPr>
      <w:r w:rsidRPr="006F1B88">
        <w:rPr>
          <w:sz w:val="20"/>
          <w:szCs w:val="20"/>
        </w:rPr>
        <w:t>United States Central Command FOIA Requester Service Center**</w:t>
      </w:r>
    </w:p>
    <w:p w14:paraId="00818DAC" w14:textId="77777777" w:rsidR="00C03E2B" w:rsidRPr="006F1B88" w:rsidRDefault="00C03E2B" w:rsidP="009F6FEE">
      <w:pPr>
        <w:jc w:val="both"/>
        <w:rPr>
          <w:sz w:val="20"/>
          <w:szCs w:val="20"/>
        </w:rPr>
      </w:pPr>
      <w:r w:rsidRPr="006F1B88">
        <w:rPr>
          <w:sz w:val="20"/>
          <w:szCs w:val="20"/>
        </w:rPr>
        <w:t>United States European Command FOIA Requester Service Center**</w:t>
      </w:r>
    </w:p>
    <w:p w14:paraId="0524A973" w14:textId="77777777" w:rsidR="00C03E2B" w:rsidRPr="006F1B88" w:rsidRDefault="00C03E2B" w:rsidP="009F6FEE">
      <w:pPr>
        <w:jc w:val="both"/>
        <w:rPr>
          <w:sz w:val="20"/>
          <w:szCs w:val="20"/>
        </w:rPr>
      </w:pPr>
      <w:r w:rsidRPr="006F1B88">
        <w:rPr>
          <w:sz w:val="20"/>
          <w:szCs w:val="20"/>
        </w:rPr>
        <w:t>United States Joint Forces Command FOIA Requester Service Center**</w:t>
      </w:r>
    </w:p>
    <w:p w14:paraId="6A854976" w14:textId="77777777" w:rsidR="00C03E2B" w:rsidRPr="006F1B88" w:rsidRDefault="00C03E2B" w:rsidP="009F6FEE">
      <w:pPr>
        <w:jc w:val="both"/>
        <w:rPr>
          <w:sz w:val="20"/>
          <w:szCs w:val="20"/>
        </w:rPr>
      </w:pPr>
      <w:r w:rsidRPr="006F1B88">
        <w:rPr>
          <w:sz w:val="20"/>
          <w:szCs w:val="20"/>
        </w:rPr>
        <w:t>United States Northern Command FOIA Requester Service Center**</w:t>
      </w:r>
    </w:p>
    <w:p w14:paraId="16603168" w14:textId="77777777" w:rsidR="00C03E2B" w:rsidRPr="006F1B88" w:rsidRDefault="00C03E2B" w:rsidP="009F6FEE">
      <w:pPr>
        <w:jc w:val="both"/>
        <w:rPr>
          <w:sz w:val="20"/>
          <w:szCs w:val="20"/>
        </w:rPr>
      </w:pPr>
      <w:r w:rsidRPr="006F1B88">
        <w:rPr>
          <w:sz w:val="20"/>
          <w:szCs w:val="20"/>
        </w:rPr>
        <w:t>United States Pacific Command FOIA Requester Service Center**</w:t>
      </w:r>
    </w:p>
    <w:p w14:paraId="03542ED6" w14:textId="77777777" w:rsidR="00C03E2B" w:rsidRPr="006F1B88" w:rsidRDefault="00C03E2B" w:rsidP="009F6FEE">
      <w:pPr>
        <w:jc w:val="both"/>
        <w:rPr>
          <w:sz w:val="20"/>
          <w:szCs w:val="20"/>
        </w:rPr>
      </w:pPr>
      <w:r w:rsidRPr="006F1B88">
        <w:rPr>
          <w:sz w:val="20"/>
          <w:szCs w:val="20"/>
        </w:rPr>
        <w:t>United States Special Operations Command FOIA Requester Service Center**</w:t>
      </w:r>
    </w:p>
    <w:p w14:paraId="4F95893B" w14:textId="77777777" w:rsidR="00C03E2B" w:rsidRPr="006F1B88" w:rsidRDefault="00C03E2B" w:rsidP="009F6FEE">
      <w:pPr>
        <w:jc w:val="both"/>
        <w:rPr>
          <w:sz w:val="20"/>
          <w:szCs w:val="20"/>
        </w:rPr>
      </w:pPr>
      <w:r w:rsidRPr="006F1B88">
        <w:rPr>
          <w:sz w:val="20"/>
          <w:szCs w:val="20"/>
        </w:rPr>
        <w:t>United States Southern Command FOIA Requester Service Center**</w:t>
      </w:r>
    </w:p>
    <w:p w14:paraId="36BE6CD6" w14:textId="77777777" w:rsidR="00C03E2B" w:rsidRPr="006F1B88" w:rsidRDefault="00C03E2B" w:rsidP="009F6FEE">
      <w:pPr>
        <w:jc w:val="both"/>
        <w:rPr>
          <w:sz w:val="20"/>
          <w:szCs w:val="20"/>
        </w:rPr>
      </w:pPr>
      <w:r w:rsidRPr="006F1B88">
        <w:rPr>
          <w:sz w:val="20"/>
          <w:szCs w:val="20"/>
        </w:rPr>
        <w:t>United States Strategic Command FOIA Requester Service Center**</w:t>
      </w:r>
    </w:p>
    <w:p w14:paraId="42621466" w14:textId="77777777" w:rsidR="00C03E2B" w:rsidRPr="006F1B88" w:rsidRDefault="00C03E2B" w:rsidP="009F6FEE">
      <w:pPr>
        <w:jc w:val="both"/>
        <w:rPr>
          <w:sz w:val="20"/>
          <w:szCs w:val="20"/>
        </w:rPr>
      </w:pPr>
      <w:r w:rsidRPr="006F1B88">
        <w:rPr>
          <w:sz w:val="20"/>
          <w:szCs w:val="20"/>
        </w:rPr>
        <w:t>United States Transportation Command FOIA Requester Service Center**</w:t>
      </w:r>
    </w:p>
    <w:p w14:paraId="47B571E8" w14:textId="77777777" w:rsidR="00C03E2B" w:rsidRPr="006F1B88" w:rsidRDefault="00C03E2B" w:rsidP="009F6FEE">
      <w:pPr>
        <w:jc w:val="both"/>
        <w:rPr>
          <w:sz w:val="20"/>
          <w:szCs w:val="20"/>
        </w:rPr>
      </w:pPr>
      <w:r w:rsidRPr="006F1B88">
        <w:rPr>
          <w:sz w:val="20"/>
          <w:szCs w:val="20"/>
        </w:rPr>
        <w:t>Department of Education</w:t>
      </w:r>
    </w:p>
    <w:p w14:paraId="16DFBDDB" w14:textId="77777777" w:rsidR="00C03E2B" w:rsidRPr="006F1B88" w:rsidRDefault="00C03E2B" w:rsidP="009F6FEE">
      <w:pPr>
        <w:jc w:val="both"/>
        <w:rPr>
          <w:sz w:val="20"/>
          <w:szCs w:val="20"/>
        </w:rPr>
      </w:pPr>
      <w:r w:rsidRPr="006F1B88">
        <w:rPr>
          <w:sz w:val="20"/>
          <w:szCs w:val="20"/>
        </w:rPr>
        <w:t>Department of Energy</w:t>
      </w:r>
    </w:p>
    <w:p w14:paraId="2083359B" w14:textId="77777777" w:rsidR="00C03E2B" w:rsidRPr="006F1B88" w:rsidRDefault="00C03E2B" w:rsidP="009F6FEE">
      <w:pPr>
        <w:jc w:val="both"/>
        <w:rPr>
          <w:sz w:val="20"/>
          <w:szCs w:val="20"/>
        </w:rPr>
      </w:pPr>
      <w:r w:rsidRPr="006F1B88">
        <w:rPr>
          <w:sz w:val="20"/>
          <w:szCs w:val="20"/>
        </w:rPr>
        <w:t>Department of Health and Human Services</w:t>
      </w:r>
    </w:p>
    <w:p w14:paraId="64AC33E1" w14:textId="77777777" w:rsidR="00C03E2B" w:rsidRPr="006F1B88" w:rsidRDefault="00C03E2B" w:rsidP="009F6FEE">
      <w:pPr>
        <w:jc w:val="both"/>
        <w:rPr>
          <w:sz w:val="20"/>
          <w:szCs w:val="20"/>
        </w:rPr>
      </w:pPr>
      <w:r w:rsidRPr="006F1B88">
        <w:rPr>
          <w:sz w:val="20"/>
          <w:szCs w:val="20"/>
        </w:rPr>
        <w:t>Centers for Medicare &amp; Medicaid Services*</w:t>
      </w:r>
    </w:p>
    <w:p w14:paraId="3D4F1DE6" w14:textId="77777777" w:rsidR="00C03E2B" w:rsidRPr="006F1B88" w:rsidRDefault="00C03E2B" w:rsidP="009F6FEE">
      <w:pPr>
        <w:jc w:val="both"/>
        <w:rPr>
          <w:sz w:val="20"/>
          <w:szCs w:val="20"/>
        </w:rPr>
      </w:pPr>
      <w:r w:rsidRPr="006F1B88">
        <w:rPr>
          <w:sz w:val="20"/>
          <w:szCs w:val="20"/>
        </w:rPr>
        <w:t>Food and Drug Administration*</w:t>
      </w:r>
    </w:p>
    <w:p w14:paraId="1F3ACE42" w14:textId="77777777" w:rsidR="00C03E2B" w:rsidRPr="006F1B88" w:rsidRDefault="00C03E2B" w:rsidP="009F6FEE">
      <w:pPr>
        <w:jc w:val="both"/>
        <w:rPr>
          <w:sz w:val="20"/>
          <w:szCs w:val="20"/>
        </w:rPr>
      </w:pPr>
      <w:r w:rsidRPr="006F1B88">
        <w:rPr>
          <w:sz w:val="20"/>
          <w:szCs w:val="20"/>
        </w:rPr>
        <w:t>National Institutes of Health*</w:t>
      </w:r>
    </w:p>
    <w:p w14:paraId="2E077B51" w14:textId="77777777" w:rsidR="00C03E2B" w:rsidRPr="006F1B88" w:rsidRDefault="00C03E2B" w:rsidP="009F6FEE">
      <w:pPr>
        <w:jc w:val="both"/>
        <w:rPr>
          <w:sz w:val="20"/>
          <w:szCs w:val="20"/>
        </w:rPr>
      </w:pPr>
      <w:r w:rsidRPr="006F1B88">
        <w:rPr>
          <w:sz w:val="20"/>
          <w:szCs w:val="20"/>
        </w:rPr>
        <w:t>Public Health Service*</w:t>
      </w:r>
    </w:p>
    <w:p w14:paraId="701294E2" w14:textId="77777777" w:rsidR="00C03E2B" w:rsidRPr="006F1B88" w:rsidRDefault="00C03E2B" w:rsidP="009F6FEE">
      <w:pPr>
        <w:jc w:val="both"/>
        <w:rPr>
          <w:sz w:val="20"/>
          <w:szCs w:val="20"/>
        </w:rPr>
      </w:pPr>
      <w:r w:rsidRPr="006F1B88">
        <w:rPr>
          <w:sz w:val="20"/>
          <w:szCs w:val="20"/>
        </w:rPr>
        <w:t>Department of Homeland Security*</w:t>
      </w:r>
    </w:p>
    <w:p w14:paraId="13E6A6BA" w14:textId="77777777" w:rsidR="00C03E2B" w:rsidRPr="006F1B88" w:rsidRDefault="00C03E2B" w:rsidP="009F6FEE">
      <w:pPr>
        <w:jc w:val="both"/>
        <w:rPr>
          <w:sz w:val="20"/>
          <w:szCs w:val="20"/>
        </w:rPr>
      </w:pPr>
      <w:r w:rsidRPr="006F1B88">
        <w:rPr>
          <w:sz w:val="20"/>
          <w:szCs w:val="20"/>
        </w:rPr>
        <w:t>Bureau of Customs and Border Protection*</w:t>
      </w:r>
    </w:p>
    <w:p w14:paraId="1296F488" w14:textId="77777777" w:rsidR="00C03E2B" w:rsidRPr="006F1B88" w:rsidRDefault="00C03E2B" w:rsidP="009F6FEE">
      <w:pPr>
        <w:jc w:val="both"/>
        <w:rPr>
          <w:sz w:val="20"/>
          <w:szCs w:val="20"/>
        </w:rPr>
      </w:pPr>
      <w:r w:rsidRPr="006F1B88">
        <w:rPr>
          <w:sz w:val="20"/>
          <w:szCs w:val="20"/>
        </w:rPr>
        <w:t>United States Citizenship and Immigration Services*</w:t>
      </w:r>
    </w:p>
    <w:p w14:paraId="442FB968" w14:textId="77777777" w:rsidR="00C03E2B" w:rsidRPr="006F1B88" w:rsidRDefault="00C03E2B" w:rsidP="009F6FEE">
      <w:pPr>
        <w:jc w:val="both"/>
        <w:rPr>
          <w:sz w:val="20"/>
          <w:szCs w:val="20"/>
        </w:rPr>
      </w:pPr>
      <w:r w:rsidRPr="006F1B88">
        <w:rPr>
          <w:sz w:val="20"/>
          <w:szCs w:val="20"/>
        </w:rPr>
        <w:t>United States Coast Guard*</w:t>
      </w:r>
    </w:p>
    <w:p w14:paraId="75E8A6DD" w14:textId="77777777" w:rsidR="00C03E2B" w:rsidRPr="006F1B88" w:rsidRDefault="00C03E2B" w:rsidP="009F6FEE">
      <w:pPr>
        <w:jc w:val="both"/>
        <w:rPr>
          <w:sz w:val="20"/>
          <w:szCs w:val="20"/>
        </w:rPr>
      </w:pPr>
      <w:r w:rsidRPr="006F1B88">
        <w:rPr>
          <w:sz w:val="20"/>
          <w:szCs w:val="20"/>
        </w:rPr>
        <w:t>Federal Emergency Management Agency*</w:t>
      </w:r>
    </w:p>
    <w:p w14:paraId="7956758D" w14:textId="77777777" w:rsidR="00C03E2B" w:rsidRPr="006F1B88" w:rsidRDefault="00C03E2B" w:rsidP="009F6FEE">
      <w:pPr>
        <w:jc w:val="both"/>
        <w:rPr>
          <w:sz w:val="20"/>
          <w:szCs w:val="20"/>
        </w:rPr>
      </w:pPr>
      <w:r w:rsidRPr="006F1B88">
        <w:rPr>
          <w:sz w:val="20"/>
          <w:szCs w:val="20"/>
        </w:rPr>
        <w:t>Federal Law Enforcement Training Center*</w:t>
      </w:r>
    </w:p>
    <w:p w14:paraId="04E89970" w14:textId="77777777" w:rsidR="00C03E2B" w:rsidRPr="006F1B88" w:rsidRDefault="00C03E2B" w:rsidP="009F6FEE">
      <w:pPr>
        <w:jc w:val="both"/>
        <w:rPr>
          <w:sz w:val="20"/>
          <w:szCs w:val="20"/>
        </w:rPr>
      </w:pPr>
      <w:r w:rsidRPr="006F1B88">
        <w:rPr>
          <w:sz w:val="20"/>
          <w:szCs w:val="20"/>
        </w:rPr>
        <w:t>United States Immigration and Customs Enforcement*</w:t>
      </w:r>
    </w:p>
    <w:p w14:paraId="6A5310DC" w14:textId="77777777" w:rsidR="00C03E2B" w:rsidRPr="006F1B88" w:rsidRDefault="00C03E2B" w:rsidP="009F6FEE">
      <w:pPr>
        <w:jc w:val="both"/>
        <w:rPr>
          <w:sz w:val="20"/>
          <w:szCs w:val="20"/>
        </w:rPr>
      </w:pPr>
      <w:r w:rsidRPr="006F1B88">
        <w:rPr>
          <w:sz w:val="20"/>
          <w:szCs w:val="20"/>
        </w:rPr>
        <w:t>DHS Office of Inspector General**</w:t>
      </w:r>
    </w:p>
    <w:p w14:paraId="0FBACA73" w14:textId="77777777" w:rsidR="00C03E2B" w:rsidRPr="006F1B88" w:rsidRDefault="00C03E2B" w:rsidP="009F6FEE">
      <w:pPr>
        <w:jc w:val="both"/>
        <w:rPr>
          <w:sz w:val="20"/>
          <w:szCs w:val="20"/>
        </w:rPr>
      </w:pPr>
      <w:r w:rsidRPr="006F1B88">
        <w:rPr>
          <w:sz w:val="20"/>
          <w:szCs w:val="20"/>
        </w:rPr>
        <w:t>United States Secret Service*</w:t>
      </w:r>
    </w:p>
    <w:p w14:paraId="0BF5614B" w14:textId="77777777" w:rsidR="00C03E2B" w:rsidRPr="006F1B88" w:rsidRDefault="00C03E2B" w:rsidP="009F6FEE">
      <w:pPr>
        <w:jc w:val="both"/>
        <w:rPr>
          <w:sz w:val="20"/>
          <w:szCs w:val="20"/>
        </w:rPr>
      </w:pPr>
      <w:r w:rsidRPr="006F1B88">
        <w:rPr>
          <w:sz w:val="20"/>
          <w:szCs w:val="20"/>
        </w:rPr>
        <w:t>Transportation Security Administration*</w:t>
      </w:r>
    </w:p>
    <w:p w14:paraId="5FA2209C" w14:textId="77777777" w:rsidR="00C03E2B" w:rsidRPr="006F1B88" w:rsidRDefault="00C03E2B" w:rsidP="009F6FEE">
      <w:pPr>
        <w:jc w:val="both"/>
        <w:rPr>
          <w:sz w:val="20"/>
          <w:szCs w:val="20"/>
        </w:rPr>
      </w:pPr>
      <w:r w:rsidRPr="006F1B88">
        <w:rPr>
          <w:sz w:val="20"/>
          <w:szCs w:val="20"/>
        </w:rPr>
        <w:t>US-VISIT**</w:t>
      </w:r>
    </w:p>
    <w:p w14:paraId="69C9DA82" w14:textId="77777777" w:rsidR="00C03E2B" w:rsidRPr="006F1B88" w:rsidRDefault="00C03E2B" w:rsidP="009F6FEE">
      <w:pPr>
        <w:jc w:val="both"/>
        <w:rPr>
          <w:sz w:val="20"/>
          <w:szCs w:val="20"/>
        </w:rPr>
      </w:pPr>
      <w:r w:rsidRPr="006F1B88">
        <w:rPr>
          <w:sz w:val="20"/>
          <w:szCs w:val="20"/>
        </w:rPr>
        <w:t>Department of Housing and Urban Development</w:t>
      </w:r>
    </w:p>
    <w:p w14:paraId="7FD0A542" w14:textId="77777777" w:rsidR="00C03E2B" w:rsidRPr="006F1B88" w:rsidRDefault="00C03E2B" w:rsidP="009F6FEE">
      <w:pPr>
        <w:jc w:val="both"/>
        <w:rPr>
          <w:sz w:val="20"/>
          <w:szCs w:val="20"/>
        </w:rPr>
      </w:pPr>
      <w:r w:rsidRPr="006F1B88">
        <w:rPr>
          <w:sz w:val="20"/>
          <w:szCs w:val="20"/>
        </w:rPr>
        <w:t>Department of the Interior</w:t>
      </w:r>
    </w:p>
    <w:p w14:paraId="0260D4BC" w14:textId="77777777" w:rsidR="00C03E2B" w:rsidRPr="006F1B88" w:rsidRDefault="00C03E2B" w:rsidP="009F6FEE">
      <w:pPr>
        <w:jc w:val="both"/>
        <w:rPr>
          <w:sz w:val="20"/>
          <w:szCs w:val="20"/>
        </w:rPr>
      </w:pPr>
      <w:r w:rsidRPr="006F1B88">
        <w:rPr>
          <w:sz w:val="20"/>
          <w:szCs w:val="20"/>
        </w:rPr>
        <w:t>Department of Justice</w:t>
      </w:r>
    </w:p>
    <w:p w14:paraId="57CDD83C" w14:textId="77777777" w:rsidR="00C03E2B" w:rsidRPr="006F1B88" w:rsidRDefault="00C03E2B" w:rsidP="009F6FEE">
      <w:pPr>
        <w:jc w:val="both"/>
        <w:rPr>
          <w:sz w:val="20"/>
          <w:szCs w:val="20"/>
        </w:rPr>
      </w:pPr>
      <w:r w:rsidRPr="006F1B88">
        <w:rPr>
          <w:sz w:val="20"/>
          <w:szCs w:val="20"/>
        </w:rPr>
        <w:t>Department of Labor</w:t>
      </w:r>
    </w:p>
    <w:p w14:paraId="0EED4886" w14:textId="77777777" w:rsidR="00C03E2B" w:rsidRPr="006F1B88" w:rsidRDefault="00C03E2B" w:rsidP="009F6FEE">
      <w:pPr>
        <w:jc w:val="both"/>
        <w:rPr>
          <w:sz w:val="20"/>
          <w:szCs w:val="20"/>
        </w:rPr>
      </w:pPr>
      <w:r w:rsidRPr="006F1B88">
        <w:rPr>
          <w:sz w:val="20"/>
          <w:szCs w:val="20"/>
        </w:rPr>
        <w:t>Department of State</w:t>
      </w:r>
    </w:p>
    <w:p w14:paraId="4003F52D" w14:textId="77777777" w:rsidR="00C03E2B" w:rsidRPr="006F1B88" w:rsidRDefault="00C03E2B" w:rsidP="009F6FEE">
      <w:pPr>
        <w:jc w:val="both"/>
        <w:rPr>
          <w:sz w:val="20"/>
          <w:szCs w:val="20"/>
        </w:rPr>
      </w:pPr>
      <w:r w:rsidRPr="006F1B88">
        <w:rPr>
          <w:sz w:val="20"/>
          <w:szCs w:val="20"/>
        </w:rPr>
        <w:t>Department of Transportation</w:t>
      </w:r>
    </w:p>
    <w:p w14:paraId="72E19789" w14:textId="77777777" w:rsidR="00C03E2B" w:rsidRPr="006F1B88" w:rsidRDefault="00C03E2B" w:rsidP="009F6FEE">
      <w:pPr>
        <w:jc w:val="both"/>
        <w:rPr>
          <w:sz w:val="20"/>
          <w:szCs w:val="20"/>
        </w:rPr>
      </w:pPr>
      <w:r w:rsidRPr="006F1B88">
        <w:rPr>
          <w:sz w:val="20"/>
          <w:szCs w:val="20"/>
        </w:rPr>
        <w:t>Federal Aviation Administration*</w:t>
      </w:r>
    </w:p>
    <w:p w14:paraId="537F5AF4" w14:textId="77777777" w:rsidR="00C03E2B" w:rsidRPr="006F1B88" w:rsidRDefault="00C03E2B" w:rsidP="009F6FEE">
      <w:pPr>
        <w:jc w:val="both"/>
        <w:rPr>
          <w:sz w:val="20"/>
          <w:szCs w:val="20"/>
        </w:rPr>
      </w:pPr>
      <w:r w:rsidRPr="006F1B88">
        <w:rPr>
          <w:sz w:val="20"/>
          <w:szCs w:val="20"/>
        </w:rPr>
        <w:t>Department of the Treasury</w:t>
      </w:r>
    </w:p>
    <w:p w14:paraId="57D129F7" w14:textId="77777777" w:rsidR="00C03E2B" w:rsidRPr="006F1B88" w:rsidRDefault="00C03E2B" w:rsidP="009F6FEE">
      <w:pPr>
        <w:jc w:val="both"/>
        <w:rPr>
          <w:sz w:val="20"/>
          <w:szCs w:val="20"/>
        </w:rPr>
      </w:pPr>
      <w:r w:rsidRPr="006F1B88">
        <w:rPr>
          <w:sz w:val="20"/>
          <w:szCs w:val="20"/>
        </w:rPr>
        <w:t>Comptroller of the Currency*</w:t>
      </w:r>
    </w:p>
    <w:p w14:paraId="0E43D515" w14:textId="77777777" w:rsidR="00C03E2B" w:rsidRPr="006F1B88" w:rsidRDefault="00C03E2B" w:rsidP="009F6FEE">
      <w:pPr>
        <w:jc w:val="both"/>
        <w:rPr>
          <w:sz w:val="20"/>
          <w:szCs w:val="20"/>
        </w:rPr>
      </w:pPr>
      <w:r w:rsidRPr="006F1B88">
        <w:rPr>
          <w:sz w:val="20"/>
          <w:szCs w:val="20"/>
        </w:rPr>
        <w:t>Internal Revenue Service*</w:t>
      </w:r>
    </w:p>
    <w:p w14:paraId="5B522CC4" w14:textId="77777777" w:rsidR="00C03E2B" w:rsidRPr="006F1B88" w:rsidRDefault="00C03E2B" w:rsidP="009F6FEE">
      <w:pPr>
        <w:jc w:val="both"/>
        <w:rPr>
          <w:sz w:val="20"/>
          <w:szCs w:val="20"/>
        </w:rPr>
      </w:pPr>
      <w:r w:rsidRPr="006F1B88">
        <w:rPr>
          <w:sz w:val="20"/>
          <w:szCs w:val="20"/>
        </w:rPr>
        <w:t>Office of Thrift Supervision*</w:t>
      </w:r>
    </w:p>
    <w:p w14:paraId="7A8C467F" w14:textId="77777777" w:rsidR="00C03E2B" w:rsidRPr="006F1B88" w:rsidRDefault="00C03E2B" w:rsidP="009F6FEE">
      <w:pPr>
        <w:jc w:val="both"/>
        <w:rPr>
          <w:sz w:val="20"/>
          <w:szCs w:val="20"/>
        </w:rPr>
      </w:pPr>
      <w:r w:rsidRPr="006F1B88">
        <w:rPr>
          <w:sz w:val="20"/>
          <w:szCs w:val="20"/>
        </w:rPr>
        <w:t>Department of Veterans Affairs</w:t>
      </w:r>
    </w:p>
    <w:p w14:paraId="72797A88" w14:textId="77777777" w:rsidR="00C03E2B" w:rsidRPr="006F1B88" w:rsidRDefault="00C03E2B" w:rsidP="009F6FEE">
      <w:pPr>
        <w:jc w:val="both"/>
        <w:rPr>
          <w:sz w:val="20"/>
          <w:szCs w:val="20"/>
        </w:rPr>
      </w:pPr>
      <w:r w:rsidRPr="006F1B88">
        <w:rPr>
          <w:sz w:val="20"/>
          <w:szCs w:val="20"/>
        </w:rPr>
        <w:t>Agency for International Development</w:t>
      </w:r>
    </w:p>
    <w:p w14:paraId="395EB21C" w14:textId="77777777" w:rsidR="00C03E2B" w:rsidRPr="006F1B88" w:rsidRDefault="00C03E2B" w:rsidP="009F6FEE">
      <w:pPr>
        <w:jc w:val="both"/>
        <w:rPr>
          <w:sz w:val="20"/>
          <w:szCs w:val="20"/>
        </w:rPr>
      </w:pPr>
      <w:r w:rsidRPr="006F1B88">
        <w:rPr>
          <w:sz w:val="20"/>
          <w:szCs w:val="20"/>
        </w:rPr>
        <w:t>American Battle Monuments Commission*</w:t>
      </w:r>
    </w:p>
    <w:p w14:paraId="00E3BC02" w14:textId="77777777" w:rsidR="00C03E2B" w:rsidRPr="006F1B88" w:rsidRDefault="00C03E2B" w:rsidP="009F6FEE">
      <w:pPr>
        <w:jc w:val="both"/>
        <w:rPr>
          <w:sz w:val="20"/>
          <w:szCs w:val="20"/>
        </w:rPr>
      </w:pPr>
      <w:r w:rsidRPr="006F1B88">
        <w:rPr>
          <w:sz w:val="20"/>
          <w:szCs w:val="20"/>
        </w:rPr>
        <w:t>Amtrak (National Railroad Passenger Corporation)*</w:t>
      </w:r>
    </w:p>
    <w:p w14:paraId="3BB0586B" w14:textId="77777777" w:rsidR="00C03E2B" w:rsidRPr="006F1B88" w:rsidRDefault="00C03E2B" w:rsidP="009F6FEE">
      <w:pPr>
        <w:jc w:val="both"/>
        <w:rPr>
          <w:sz w:val="20"/>
          <w:szCs w:val="20"/>
        </w:rPr>
      </w:pPr>
      <w:r w:rsidRPr="006F1B88">
        <w:rPr>
          <w:sz w:val="20"/>
          <w:szCs w:val="20"/>
        </w:rPr>
        <w:t>Broadcasting Board of Governors*</w:t>
      </w:r>
    </w:p>
    <w:p w14:paraId="773CC37B" w14:textId="77777777" w:rsidR="00C03E2B" w:rsidRPr="006F1B88" w:rsidRDefault="00C03E2B" w:rsidP="009F6FEE">
      <w:pPr>
        <w:jc w:val="both"/>
        <w:rPr>
          <w:sz w:val="20"/>
          <w:szCs w:val="20"/>
        </w:rPr>
      </w:pPr>
      <w:r w:rsidRPr="006F1B88">
        <w:rPr>
          <w:sz w:val="20"/>
          <w:szCs w:val="20"/>
        </w:rPr>
        <w:t>Central Intelligence Agency</w:t>
      </w:r>
    </w:p>
    <w:p w14:paraId="71243D57" w14:textId="77777777" w:rsidR="00C03E2B" w:rsidRPr="006F1B88" w:rsidRDefault="00C03E2B" w:rsidP="009F6FEE">
      <w:pPr>
        <w:jc w:val="both"/>
        <w:rPr>
          <w:sz w:val="20"/>
          <w:szCs w:val="20"/>
        </w:rPr>
      </w:pPr>
      <w:r w:rsidRPr="006F1B88">
        <w:rPr>
          <w:sz w:val="20"/>
          <w:szCs w:val="20"/>
        </w:rPr>
        <w:t>Chemical Safety and Hazard Investigation Board*</w:t>
      </w:r>
    </w:p>
    <w:p w14:paraId="165235F5" w14:textId="77777777" w:rsidR="00C03E2B" w:rsidRPr="006F1B88" w:rsidRDefault="00C03E2B" w:rsidP="009F6FEE">
      <w:pPr>
        <w:jc w:val="both"/>
        <w:rPr>
          <w:sz w:val="20"/>
          <w:szCs w:val="20"/>
        </w:rPr>
      </w:pPr>
      <w:r w:rsidRPr="006F1B88">
        <w:rPr>
          <w:sz w:val="20"/>
          <w:szCs w:val="20"/>
        </w:rPr>
        <w:t>Commission on Civil Rights*</w:t>
      </w:r>
    </w:p>
    <w:p w14:paraId="6AECBB83" w14:textId="77777777" w:rsidR="00C03E2B" w:rsidRPr="006F1B88" w:rsidRDefault="00C03E2B" w:rsidP="009F6FEE">
      <w:pPr>
        <w:jc w:val="both"/>
        <w:rPr>
          <w:sz w:val="20"/>
          <w:szCs w:val="20"/>
        </w:rPr>
      </w:pPr>
      <w:r w:rsidRPr="006F1B88">
        <w:rPr>
          <w:sz w:val="20"/>
          <w:szCs w:val="20"/>
        </w:rPr>
        <w:t xml:space="preserve">Committee for Purchase from People who </w:t>
      </w:r>
      <w:proofErr w:type="gramStart"/>
      <w:r w:rsidRPr="006F1B88">
        <w:rPr>
          <w:sz w:val="20"/>
          <w:szCs w:val="20"/>
        </w:rPr>
        <w:t>Are</w:t>
      </w:r>
      <w:proofErr w:type="gramEnd"/>
      <w:r w:rsidRPr="006F1B88">
        <w:rPr>
          <w:sz w:val="20"/>
          <w:szCs w:val="20"/>
        </w:rPr>
        <w:t xml:space="preserve"> Blind or Severely Disabled*</w:t>
      </w:r>
    </w:p>
    <w:p w14:paraId="16E283AF" w14:textId="77777777" w:rsidR="00C03E2B" w:rsidRPr="006F1B88" w:rsidRDefault="00C03E2B" w:rsidP="009F6FEE">
      <w:pPr>
        <w:jc w:val="both"/>
        <w:rPr>
          <w:sz w:val="20"/>
          <w:szCs w:val="20"/>
        </w:rPr>
      </w:pPr>
      <w:r w:rsidRPr="006F1B88">
        <w:rPr>
          <w:sz w:val="20"/>
          <w:szCs w:val="20"/>
        </w:rPr>
        <w:t>Commodity Futures Trading Commission</w:t>
      </w:r>
    </w:p>
    <w:p w14:paraId="0AE2840E" w14:textId="77777777" w:rsidR="00C03E2B" w:rsidRPr="006F1B88" w:rsidRDefault="00C03E2B" w:rsidP="009F6FEE">
      <w:pPr>
        <w:jc w:val="both"/>
        <w:rPr>
          <w:sz w:val="20"/>
          <w:szCs w:val="20"/>
        </w:rPr>
      </w:pPr>
      <w:r w:rsidRPr="006F1B88">
        <w:rPr>
          <w:sz w:val="20"/>
          <w:szCs w:val="20"/>
        </w:rPr>
        <w:t>Consumer Product Safety Commission</w:t>
      </w:r>
    </w:p>
    <w:p w14:paraId="2EF0B865" w14:textId="77777777" w:rsidR="00C03E2B" w:rsidRPr="006F1B88" w:rsidRDefault="00C03E2B" w:rsidP="009F6FEE">
      <w:pPr>
        <w:jc w:val="both"/>
        <w:rPr>
          <w:sz w:val="20"/>
          <w:szCs w:val="20"/>
        </w:rPr>
      </w:pPr>
      <w:r w:rsidRPr="006F1B88">
        <w:rPr>
          <w:sz w:val="20"/>
          <w:szCs w:val="20"/>
        </w:rPr>
        <w:t>Corporation for National Service</w:t>
      </w:r>
    </w:p>
    <w:p w14:paraId="63DED414" w14:textId="77777777" w:rsidR="00C03E2B" w:rsidRPr="006F1B88" w:rsidRDefault="00C03E2B" w:rsidP="009F6FEE">
      <w:pPr>
        <w:jc w:val="both"/>
        <w:rPr>
          <w:sz w:val="20"/>
          <w:szCs w:val="20"/>
        </w:rPr>
      </w:pPr>
      <w:r w:rsidRPr="006F1B88">
        <w:rPr>
          <w:sz w:val="20"/>
          <w:szCs w:val="20"/>
        </w:rPr>
        <w:t>Court Services and Offender Supervision Agency*</w:t>
      </w:r>
    </w:p>
    <w:p w14:paraId="767AF7DA" w14:textId="77777777" w:rsidR="00C03E2B" w:rsidRPr="006F1B88" w:rsidRDefault="00C03E2B" w:rsidP="009F6FEE">
      <w:pPr>
        <w:jc w:val="both"/>
        <w:rPr>
          <w:sz w:val="20"/>
          <w:szCs w:val="20"/>
        </w:rPr>
      </w:pPr>
      <w:r w:rsidRPr="006F1B88">
        <w:rPr>
          <w:sz w:val="20"/>
          <w:szCs w:val="20"/>
        </w:rPr>
        <w:t>Defense Nuclear Facilities Safety Board*</w:t>
      </w:r>
    </w:p>
    <w:p w14:paraId="6683584F" w14:textId="77777777" w:rsidR="00C03E2B" w:rsidRPr="006F1B88" w:rsidRDefault="00C03E2B" w:rsidP="009F6FEE">
      <w:pPr>
        <w:jc w:val="both"/>
        <w:rPr>
          <w:sz w:val="20"/>
          <w:szCs w:val="20"/>
        </w:rPr>
      </w:pPr>
      <w:r w:rsidRPr="006F1B88">
        <w:rPr>
          <w:sz w:val="20"/>
          <w:szCs w:val="20"/>
        </w:rPr>
        <w:lastRenderedPageBreak/>
        <w:t>Environmental Protection Agency</w:t>
      </w:r>
    </w:p>
    <w:p w14:paraId="57DFC11D" w14:textId="77777777" w:rsidR="00C03E2B" w:rsidRPr="006F1B88" w:rsidRDefault="00C03E2B" w:rsidP="009F6FEE">
      <w:pPr>
        <w:jc w:val="both"/>
        <w:rPr>
          <w:sz w:val="20"/>
          <w:szCs w:val="20"/>
        </w:rPr>
      </w:pPr>
      <w:r w:rsidRPr="006F1B88">
        <w:rPr>
          <w:sz w:val="20"/>
          <w:szCs w:val="20"/>
        </w:rPr>
        <w:t>Equal Employment Opportunity Commission</w:t>
      </w:r>
    </w:p>
    <w:p w14:paraId="3E005D63" w14:textId="77777777" w:rsidR="00C03E2B" w:rsidRPr="006F1B88" w:rsidRDefault="00C03E2B" w:rsidP="009F6FEE">
      <w:pPr>
        <w:jc w:val="both"/>
        <w:rPr>
          <w:sz w:val="20"/>
          <w:szCs w:val="20"/>
        </w:rPr>
      </w:pPr>
      <w:r w:rsidRPr="006F1B88">
        <w:rPr>
          <w:sz w:val="20"/>
          <w:szCs w:val="20"/>
        </w:rPr>
        <w:t>Council on Environmental Quality*</w:t>
      </w:r>
    </w:p>
    <w:p w14:paraId="2F0B6F5D" w14:textId="77777777" w:rsidR="00C03E2B" w:rsidRPr="006F1B88" w:rsidRDefault="00C03E2B" w:rsidP="009F6FEE">
      <w:pPr>
        <w:jc w:val="both"/>
        <w:rPr>
          <w:sz w:val="20"/>
          <w:szCs w:val="20"/>
        </w:rPr>
      </w:pPr>
      <w:r w:rsidRPr="006F1B88">
        <w:rPr>
          <w:sz w:val="20"/>
          <w:szCs w:val="20"/>
        </w:rPr>
        <w:t>Office of Management and Budget*</w:t>
      </w:r>
    </w:p>
    <w:p w14:paraId="64BC18CD" w14:textId="77777777" w:rsidR="00C03E2B" w:rsidRPr="006F1B88" w:rsidRDefault="00C03E2B" w:rsidP="009F6FEE">
      <w:pPr>
        <w:jc w:val="both"/>
        <w:rPr>
          <w:sz w:val="20"/>
          <w:szCs w:val="20"/>
        </w:rPr>
      </w:pPr>
      <w:r w:rsidRPr="006F1B88">
        <w:rPr>
          <w:sz w:val="20"/>
          <w:szCs w:val="20"/>
        </w:rPr>
        <w:t>Office of National Drug Control Policy*</w:t>
      </w:r>
    </w:p>
    <w:p w14:paraId="1F105E65" w14:textId="77777777" w:rsidR="00C03E2B" w:rsidRPr="006F1B88" w:rsidRDefault="00C03E2B" w:rsidP="009F6FEE">
      <w:pPr>
        <w:jc w:val="both"/>
        <w:rPr>
          <w:sz w:val="20"/>
          <w:szCs w:val="20"/>
        </w:rPr>
      </w:pPr>
      <w:r w:rsidRPr="006F1B88">
        <w:rPr>
          <w:sz w:val="20"/>
          <w:szCs w:val="20"/>
        </w:rPr>
        <w:t>Office of Science and Technology Policy*</w:t>
      </w:r>
    </w:p>
    <w:p w14:paraId="52020E13" w14:textId="77777777" w:rsidR="00C03E2B" w:rsidRPr="006F1B88" w:rsidRDefault="00C03E2B" w:rsidP="009F6FEE">
      <w:pPr>
        <w:jc w:val="both"/>
        <w:rPr>
          <w:sz w:val="20"/>
          <w:szCs w:val="20"/>
        </w:rPr>
      </w:pPr>
      <w:r w:rsidRPr="006F1B88">
        <w:rPr>
          <w:sz w:val="20"/>
          <w:szCs w:val="20"/>
        </w:rPr>
        <w:t>Office of the United States Trade Representative*</w:t>
      </w:r>
    </w:p>
    <w:p w14:paraId="33E2D063" w14:textId="77777777" w:rsidR="00C03E2B" w:rsidRPr="006F1B88" w:rsidRDefault="00C03E2B" w:rsidP="009F6FEE">
      <w:pPr>
        <w:jc w:val="both"/>
        <w:rPr>
          <w:sz w:val="20"/>
          <w:szCs w:val="20"/>
        </w:rPr>
      </w:pPr>
      <w:r w:rsidRPr="006F1B88">
        <w:rPr>
          <w:sz w:val="20"/>
          <w:szCs w:val="20"/>
        </w:rPr>
        <w:t>Export-Import Bank</w:t>
      </w:r>
    </w:p>
    <w:p w14:paraId="1F612582" w14:textId="77777777" w:rsidR="00C03E2B" w:rsidRPr="006F1B88" w:rsidRDefault="00C03E2B" w:rsidP="009F6FEE">
      <w:pPr>
        <w:jc w:val="both"/>
        <w:rPr>
          <w:sz w:val="20"/>
          <w:szCs w:val="20"/>
        </w:rPr>
      </w:pPr>
      <w:r w:rsidRPr="006F1B88">
        <w:rPr>
          <w:sz w:val="20"/>
          <w:szCs w:val="20"/>
        </w:rPr>
        <w:t>Farm Credit Administration</w:t>
      </w:r>
    </w:p>
    <w:p w14:paraId="6CE8A0E6" w14:textId="77777777" w:rsidR="00C03E2B" w:rsidRPr="006F1B88" w:rsidRDefault="00C03E2B" w:rsidP="009F6FEE">
      <w:pPr>
        <w:jc w:val="both"/>
        <w:rPr>
          <w:sz w:val="20"/>
          <w:szCs w:val="20"/>
        </w:rPr>
      </w:pPr>
      <w:r w:rsidRPr="006F1B88">
        <w:rPr>
          <w:sz w:val="20"/>
          <w:szCs w:val="20"/>
        </w:rPr>
        <w:t>Farm Credit System Insurance Corporation*</w:t>
      </w:r>
    </w:p>
    <w:p w14:paraId="33718BFF" w14:textId="77777777" w:rsidR="00C03E2B" w:rsidRPr="006F1B88" w:rsidRDefault="00C03E2B" w:rsidP="009F6FEE">
      <w:pPr>
        <w:jc w:val="both"/>
        <w:rPr>
          <w:sz w:val="20"/>
          <w:szCs w:val="20"/>
        </w:rPr>
      </w:pPr>
      <w:r w:rsidRPr="006F1B88">
        <w:rPr>
          <w:sz w:val="20"/>
          <w:szCs w:val="20"/>
        </w:rPr>
        <w:t>Federal Communications Commission</w:t>
      </w:r>
    </w:p>
    <w:p w14:paraId="2614739B" w14:textId="77777777" w:rsidR="00C03E2B" w:rsidRPr="006F1B88" w:rsidRDefault="00C03E2B" w:rsidP="009F6FEE">
      <w:pPr>
        <w:jc w:val="both"/>
        <w:rPr>
          <w:sz w:val="20"/>
          <w:szCs w:val="20"/>
        </w:rPr>
      </w:pPr>
      <w:r w:rsidRPr="006F1B88">
        <w:rPr>
          <w:sz w:val="20"/>
          <w:szCs w:val="20"/>
        </w:rPr>
        <w:t>Federal Deposit Insurance Corporation</w:t>
      </w:r>
    </w:p>
    <w:p w14:paraId="79A3BD19" w14:textId="77777777" w:rsidR="00C03E2B" w:rsidRPr="006F1B88" w:rsidRDefault="00C03E2B" w:rsidP="009F6FEE">
      <w:pPr>
        <w:jc w:val="both"/>
        <w:rPr>
          <w:sz w:val="20"/>
          <w:szCs w:val="20"/>
        </w:rPr>
      </w:pPr>
      <w:r w:rsidRPr="006F1B88">
        <w:rPr>
          <w:sz w:val="20"/>
          <w:szCs w:val="20"/>
        </w:rPr>
        <w:t>Federal Election Commission</w:t>
      </w:r>
    </w:p>
    <w:p w14:paraId="199A6657" w14:textId="77777777" w:rsidR="00C03E2B" w:rsidRPr="006F1B88" w:rsidRDefault="00C03E2B" w:rsidP="009F6FEE">
      <w:pPr>
        <w:jc w:val="both"/>
        <w:rPr>
          <w:sz w:val="20"/>
          <w:szCs w:val="20"/>
        </w:rPr>
      </w:pPr>
      <w:r w:rsidRPr="006F1B88">
        <w:rPr>
          <w:sz w:val="20"/>
          <w:szCs w:val="20"/>
        </w:rPr>
        <w:t>Federal Energy Regulatory Commission*</w:t>
      </w:r>
    </w:p>
    <w:p w14:paraId="5354CDA1" w14:textId="77777777" w:rsidR="00C03E2B" w:rsidRPr="006F1B88" w:rsidRDefault="00C03E2B" w:rsidP="009F6FEE">
      <w:pPr>
        <w:jc w:val="both"/>
        <w:rPr>
          <w:sz w:val="20"/>
          <w:szCs w:val="20"/>
        </w:rPr>
      </w:pPr>
      <w:r w:rsidRPr="006F1B88">
        <w:rPr>
          <w:sz w:val="20"/>
          <w:szCs w:val="20"/>
        </w:rPr>
        <w:t>Federal Financial Institutions Examination Council*</w:t>
      </w:r>
    </w:p>
    <w:p w14:paraId="776171E7" w14:textId="77777777" w:rsidR="00C03E2B" w:rsidRPr="006F1B88" w:rsidRDefault="00C03E2B" w:rsidP="009F6FEE">
      <w:pPr>
        <w:jc w:val="both"/>
        <w:rPr>
          <w:sz w:val="20"/>
          <w:szCs w:val="20"/>
        </w:rPr>
      </w:pPr>
      <w:r w:rsidRPr="006F1B88">
        <w:rPr>
          <w:sz w:val="20"/>
          <w:szCs w:val="20"/>
        </w:rPr>
        <w:t>Federal Housing Finance Agency</w:t>
      </w:r>
    </w:p>
    <w:p w14:paraId="705B91A4" w14:textId="77777777" w:rsidR="00C03E2B" w:rsidRPr="006F1B88" w:rsidRDefault="00C03E2B" w:rsidP="009F6FEE">
      <w:pPr>
        <w:jc w:val="both"/>
        <w:rPr>
          <w:sz w:val="20"/>
          <w:szCs w:val="20"/>
        </w:rPr>
      </w:pPr>
      <w:r w:rsidRPr="006F1B88">
        <w:rPr>
          <w:sz w:val="20"/>
          <w:szCs w:val="20"/>
        </w:rPr>
        <w:t>Federal Labor Relations Authority</w:t>
      </w:r>
    </w:p>
    <w:p w14:paraId="03EF41FC" w14:textId="77777777" w:rsidR="00C03E2B" w:rsidRPr="006F1B88" w:rsidRDefault="00C03E2B" w:rsidP="009F6FEE">
      <w:pPr>
        <w:jc w:val="both"/>
        <w:rPr>
          <w:sz w:val="20"/>
          <w:szCs w:val="20"/>
        </w:rPr>
      </w:pPr>
      <w:r w:rsidRPr="006F1B88">
        <w:rPr>
          <w:sz w:val="20"/>
          <w:szCs w:val="20"/>
        </w:rPr>
        <w:t>Federal Maritime Commission</w:t>
      </w:r>
    </w:p>
    <w:p w14:paraId="0CC30856" w14:textId="77777777" w:rsidR="00C03E2B" w:rsidRPr="006F1B88" w:rsidRDefault="00C03E2B" w:rsidP="009F6FEE">
      <w:pPr>
        <w:jc w:val="both"/>
        <w:rPr>
          <w:sz w:val="20"/>
          <w:szCs w:val="20"/>
        </w:rPr>
      </w:pPr>
      <w:r w:rsidRPr="006F1B88">
        <w:rPr>
          <w:sz w:val="20"/>
          <w:szCs w:val="20"/>
        </w:rPr>
        <w:t>Federal Mediation and Conciliation Service*</w:t>
      </w:r>
    </w:p>
    <w:p w14:paraId="31239007" w14:textId="77777777" w:rsidR="00C03E2B" w:rsidRPr="006F1B88" w:rsidRDefault="00C03E2B" w:rsidP="009F6FEE">
      <w:pPr>
        <w:jc w:val="both"/>
        <w:rPr>
          <w:sz w:val="20"/>
          <w:szCs w:val="20"/>
        </w:rPr>
      </w:pPr>
      <w:r w:rsidRPr="006F1B88">
        <w:rPr>
          <w:sz w:val="20"/>
          <w:szCs w:val="20"/>
        </w:rPr>
        <w:t>Federal Mine Safety and Health Review Commission*</w:t>
      </w:r>
    </w:p>
    <w:p w14:paraId="3C592CA4" w14:textId="77777777" w:rsidR="00C03E2B" w:rsidRPr="006F1B88" w:rsidRDefault="00C03E2B" w:rsidP="009F6FEE">
      <w:pPr>
        <w:jc w:val="both"/>
        <w:rPr>
          <w:sz w:val="20"/>
          <w:szCs w:val="20"/>
        </w:rPr>
      </w:pPr>
      <w:r w:rsidRPr="006F1B88">
        <w:rPr>
          <w:sz w:val="20"/>
          <w:szCs w:val="20"/>
        </w:rPr>
        <w:t>Federal Open Market Committee**</w:t>
      </w:r>
    </w:p>
    <w:p w14:paraId="44127016" w14:textId="77777777" w:rsidR="00C03E2B" w:rsidRPr="006F1B88" w:rsidRDefault="00C03E2B" w:rsidP="009F6FEE">
      <w:pPr>
        <w:jc w:val="both"/>
        <w:rPr>
          <w:sz w:val="20"/>
          <w:szCs w:val="20"/>
        </w:rPr>
      </w:pPr>
      <w:r w:rsidRPr="006F1B88">
        <w:rPr>
          <w:sz w:val="20"/>
          <w:szCs w:val="20"/>
        </w:rPr>
        <w:t>Federal Reserve System</w:t>
      </w:r>
    </w:p>
    <w:p w14:paraId="1262D409" w14:textId="77777777" w:rsidR="00C03E2B" w:rsidRPr="006F1B88" w:rsidRDefault="00C03E2B" w:rsidP="009F6FEE">
      <w:pPr>
        <w:jc w:val="both"/>
        <w:rPr>
          <w:sz w:val="20"/>
          <w:szCs w:val="20"/>
        </w:rPr>
      </w:pPr>
      <w:r w:rsidRPr="006F1B88">
        <w:rPr>
          <w:sz w:val="20"/>
          <w:szCs w:val="20"/>
        </w:rPr>
        <w:t>Federal Retirement Thrift Investment Board*</w:t>
      </w:r>
    </w:p>
    <w:p w14:paraId="746D2127" w14:textId="77777777" w:rsidR="00C03E2B" w:rsidRPr="006F1B88" w:rsidRDefault="00C03E2B" w:rsidP="009F6FEE">
      <w:pPr>
        <w:jc w:val="both"/>
        <w:rPr>
          <w:sz w:val="20"/>
          <w:szCs w:val="20"/>
        </w:rPr>
      </w:pPr>
      <w:r w:rsidRPr="006F1B88">
        <w:rPr>
          <w:sz w:val="20"/>
          <w:szCs w:val="20"/>
        </w:rPr>
        <w:t>Federal Trade Commission</w:t>
      </w:r>
    </w:p>
    <w:p w14:paraId="199DC4BD" w14:textId="77777777" w:rsidR="00C03E2B" w:rsidRPr="006F1B88" w:rsidRDefault="00C03E2B" w:rsidP="009F6FEE">
      <w:pPr>
        <w:jc w:val="both"/>
        <w:rPr>
          <w:sz w:val="20"/>
          <w:szCs w:val="20"/>
        </w:rPr>
      </w:pPr>
      <w:r w:rsidRPr="006F1B88">
        <w:rPr>
          <w:sz w:val="20"/>
          <w:szCs w:val="20"/>
        </w:rPr>
        <w:t>General Services Administration</w:t>
      </w:r>
    </w:p>
    <w:p w14:paraId="54914BF8" w14:textId="77777777" w:rsidR="00C03E2B" w:rsidRPr="006F1B88" w:rsidRDefault="00C03E2B" w:rsidP="009F6FEE">
      <w:pPr>
        <w:jc w:val="both"/>
        <w:rPr>
          <w:sz w:val="20"/>
          <w:szCs w:val="20"/>
        </w:rPr>
      </w:pPr>
      <w:r w:rsidRPr="006F1B88">
        <w:rPr>
          <w:sz w:val="20"/>
          <w:szCs w:val="20"/>
        </w:rPr>
        <w:t>Institute of Museum and Library Services*</w:t>
      </w:r>
    </w:p>
    <w:p w14:paraId="651C439B" w14:textId="77777777" w:rsidR="00C03E2B" w:rsidRPr="006F1B88" w:rsidRDefault="00C03E2B" w:rsidP="009F6FEE">
      <w:pPr>
        <w:jc w:val="both"/>
        <w:rPr>
          <w:sz w:val="20"/>
          <w:szCs w:val="20"/>
        </w:rPr>
      </w:pPr>
      <w:r w:rsidRPr="006F1B88">
        <w:rPr>
          <w:sz w:val="20"/>
          <w:szCs w:val="20"/>
        </w:rPr>
        <w:t>Inter-American Foundation*</w:t>
      </w:r>
    </w:p>
    <w:p w14:paraId="085A7B56" w14:textId="77777777" w:rsidR="00C03E2B" w:rsidRPr="006F1B88" w:rsidRDefault="00C03E2B" w:rsidP="009F6FEE">
      <w:pPr>
        <w:jc w:val="both"/>
        <w:rPr>
          <w:sz w:val="20"/>
          <w:szCs w:val="20"/>
        </w:rPr>
      </w:pPr>
      <w:r w:rsidRPr="006F1B88">
        <w:rPr>
          <w:sz w:val="20"/>
          <w:szCs w:val="20"/>
        </w:rPr>
        <w:t>Legal Services Corporation</w:t>
      </w:r>
    </w:p>
    <w:p w14:paraId="123A468C" w14:textId="77777777" w:rsidR="00C03E2B" w:rsidRPr="006F1B88" w:rsidRDefault="00C03E2B" w:rsidP="009F6FEE">
      <w:pPr>
        <w:jc w:val="both"/>
        <w:rPr>
          <w:sz w:val="20"/>
          <w:szCs w:val="20"/>
        </w:rPr>
      </w:pPr>
      <w:r w:rsidRPr="006F1B88">
        <w:rPr>
          <w:sz w:val="20"/>
          <w:szCs w:val="20"/>
        </w:rPr>
        <w:t>Merit Systems Protection Board</w:t>
      </w:r>
    </w:p>
    <w:p w14:paraId="60B11417" w14:textId="77777777" w:rsidR="00C03E2B" w:rsidRPr="006F1B88" w:rsidRDefault="00C03E2B" w:rsidP="009F6FEE">
      <w:pPr>
        <w:jc w:val="both"/>
        <w:rPr>
          <w:sz w:val="20"/>
          <w:szCs w:val="20"/>
        </w:rPr>
      </w:pPr>
      <w:r w:rsidRPr="006F1B88">
        <w:rPr>
          <w:sz w:val="20"/>
          <w:szCs w:val="20"/>
        </w:rPr>
        <w:t>Millennium Challenge Corporation*</w:t>
      </w:r>
    </w:p>
    <w:p w14:paraId="045CAF25" w14:textId="77777777" w:rsidR="00C03E2B" w:rsidRPr="006F1B88" w:rsidRDefault="00C03E2B" w:rsidP="009F6FEE">
      <w:pPr>
        <w:jc w:val="both"/>
        <w:rPr>
          <w:sz w:val="20"/>
          <w:szCs w:val="20"/>
        </w:rPr>
      </w:pPr>
      <w:r w:rsidRPr="006F1B88">
        <w:rPr>
          <w:sz w:val="20"/>
          <w:szCs w:val="20"/>
        </w:rPr>
        <w:t>National Aeronautics and Space Administration</w:t>
      </w:r>
    </w:p>
    <w:p w14:paraId="72B7CA6C" w14:textId="77777777" w:rsidR="00C03E2B" w:rsidRPr="006F1B88" w:rsidRDefault="00C03E2B" w:rsidP="009F6FEE">
      <w:pPr>
        <w:jc w:val="both"/>
        <w:rPr>
          <w:sz w:val="20"/>
          <w:szCs w:val="20"/>
        </w:rPr>
      </w:pPr>
      <w:r w:rsidRPr="006F1B88">
        <w:rPr>
          <w:sz w:val="20"/>
          <w:szCs w:val="20"/>
        </w:rPr>
        <w:t>National Archives and Records Administration</w:t>
      </w:r>
    </w:p>
    <w:p w14:paraId="0FDD82FB" w14:textId="77777777" w:rsidR="00C03E2B" w:rsidRPr="006F1B88" w:rsidRDefault="00C03E2B" w:rsidP="009F6FEE">
      <w:pPr>
        <w:jc w:val="both"/>
        <w:rPr>
          <w:sz w:val="20"/>
          <w:szCs w:val="20"/>
        </w:rPr>
      </w:pPr>
      <w:r w:rsidRPr="006F1B88">
        <w:rPr>
          <w:sz w:val="20"/>
          <w:szCs w:val="20"/>
        </w:rPr>
        <w:t>National Capital Planning Commission*</w:t>
      </w:r>
    </w:p>
    <w:p w14:paraId="3FF68078" w14:textId="77777777" w:rsidR="00C03E2B" w:rsidRPr="006F1B88" w:rsidRDefault="00C03E2B" w:rsidP="009F6FEE">
      <w:pPr>
        <w:jc w:val="both"/>
        <w:rPr>
          <w:sz w:val="20"/>
          <w:szCs w:val="20"/>
        </w:rPr>
      </w:pPr>
      <w:r w:rsidRPr="006F1B88">
        <w:rPr>
          <w:sz w:val="20"/>
          <w:szCs w:val="20"/>
        </w:rPr>
        <w:t>National Credit Union Administration</w:t>
      </w:r>
    </w:p>
    <w:p w14:paraId="6EAB58A7" w14:textId="77777777" w:rsidR="00C03E2B" w:rsidRPr="006F1B88" w:rsidRDefault="00C03E2B" w:rsidP="009F6FEE">
      <w:pPr>
        <w:jc w:val="both"/>
        <w:rPr>
          <w:sz w:val="20"/>
          <w:szCs w:val="20"/>
        </w:rPr>
      </w:pPr>
      <w:r w:rsidRPr="006F1B88">
        <w:rPr>
          <w:sz w:val="20"/>
          <w:szCs w:val="20"/>
        </w:rPr>
        <w:t>National Endowment for the Arts</w:t>
      </w:r>
    </w:p>
    <w:p w14:paraId="3E74EF6F" w14:textId="77777777" w:rsidR="00C03E2B" w:rsidRPr="006F1B88" w:rsidRDefault="00C03E2B" w:rsidP="009F6FEE">
      <w:pPr>
        <w:jc w:val="both"/>
        <w:rPr>
          <w:sz w:val="20"/>
          <w:szCs w:val="20"/>
        </w:rPr>
      </w:pPr>
      <w:r w:rsidRPr="006F1B88">
        <w:rPr>
          <w:sz w:val="20"/>
          <w:szCs w:val="20"/>
        </w:rPr>
        <w:t>National Endowment for the Humanities</w:t>
      </w:r>
    </w:p>
    <w:p w14:paraId="27125D67" w14:textId="77777777" w:rsidR="00C03E2B" w:rsidRPr="006F1B88" w:rsidRDefault="00C03E2B" w:rsidP="009F6FEE">
      <w:pPr>
        <w:jc w:val="both"/>
        <w:rPr>
          <w:sz w:val="20"/>
          <w:szCs w:val="20"/>
        </w:rPr>
      </w:pPr>
      <w:r w:rsidRPr="006F1B88">
        <w:rPr>
          <w:sz w:val="20"/>
          <w:szCs w:val="20"/>
        </w:rPr>
        <w:t>National Indian Gaming Commission*</w:t>
      </w:r>
    </w:p>
    <w:p w14:paraId="0695F75D" w14:textId="77777777" w:rsidR="00C03E2B" w:rsidRPr="006F1B88" w:rsidRDefault="00C03E2B" w:rsidP="009F6FEE">
      <w:pPr>
        <w:jc w:val="both"/>
        <w:rPr>
          <w:sz w:val="20"/>
          <w:szCs w:val="20"/>
        </w:rPr>
      </w:pPr>
      <w:r w:rsidRPr="006F1B88">
        <w:rPr>
          <w:sz w:val="20"/>
          <w:szCs w:val="20"/>
        </w:rPr>
        <w:t>National Labor Relations Board</w:t>
      </w:r>
    </w:p>
    <w:p w14:paraId="423F4E14" w14:textId="77777777" w:rsidR="00C03E2B" w:rsidRPr="006F1B88" w:rsidRDefault="00C03E2B" w:rsidP="009F6FEE">
      <w:pPr>
        <w:jc w:val="both"/>
        <w:rPr>
          <w:sz w:val="20"/>
          <w:szCs w:val="20"/>
        </w:rPr>
      </w:pPr>
      <w:r w:rsidRPr="006F1B88">
        <w:rPr>
          <w:sz w:val="20"/>
          <w:szCs w:val="20"/>
        </w:rPr>
        <w:t>National Mediation Board</w:t>
      </w:r>
    </w:p>
    <w:p w14:paraId="11A31DF3" w14:textId="77777777" w:rsidR="00C03E2B" w:rsidRPr="006F1B88" w:rsidRDefault="00C03E2B" w:rsidP="009F6FEE">
      <w:pPr>
        <w:jc w:val="both"/>
        <w:rPr>
          <w:sz w:val="20"/>
          <w:szCs w:val="20"/>
        </w:rPr>
      </w:pPr>
      <w:r w:rsidRPr="006F1B88">
        <w:rPr>
          <w:sz w:val="20"/>
          <w:szCs w:val="20"/>
        </w:rPr>
        <w:t>National Science Foundation</w:t>
      </w:r>
    </w:p>
    <w:p w14:paraId="39C0AE19" w14:textId="77777777" w:rsidR="00C03E2B" w:rsidRPr="006F1B88" w:rsidRDefault="00C03E2B" w:rsidP="009F6FEE">
      <w:pPr>
        <w:jc w:val="both"/>
        <w:rPr>
          <w:sz w:val="20"/>
          <w:szCs w:val="20"/>
        </w:rPr>
      </w:pPr>
      <w:r w:rsidRPr="006F1B88">
        <w:rPr>
          <w:sz w:val="20"/>
          <w:szCs w:val="20"/>
        </w:rPr>
        <w:t>National Transportation Safety Board*</w:t>
      </w:r>
    </w:p>
    <w:p w14:paraId="2FE3BF1D" w14:textId="77777777" w:rsidR="00C03E2B" w:rsidRPr="006F1B88" w:rsidRDefault="00C03E2B" w:rsidP="009F6FEE">
      <w:pPr>
        <w:jc w:val="both"/>
        <w:rPr>
          <w:sz w:val="20"/>
          <w:szCs w:val="20"/>
        </w:rPr>
      </w:pPr>
      <w:r w:rsidRPr="006F1B88">
        <w:rPr>
          <w:sz w:val="20"/>
          <w:szCs w:val="20"/>
        </w:rPr>
        <w:t>Nuclear Regulatory Commission</w:t>
      </w:r>
    </w:p>
    <w:p w14:paraId="4F2780B2" w14:textId="77777777" w:rsidR="00C03E2B" w:rsidRPr="006F1B88" w:rsidRDefault="00C03E2B" w:rsidP="009F6FEE">
      <w:pPr>
        <w:jc w:val="both"/>
        <w:rPr>
          <w:sz w:val="20"/>
          <w:szCs w:val="20"/>
        </w:rPr>
      </w:pPr>
      <w:r w:rsidRPr="006F1B88">
        <w:rPr>
          <w:sz w:val="20"/>
          <w:szCs w:val="20"/>
        </w:rPr>
        <w:t>Occupational Safety and Health Review Commission*</w:t>
      </w:r>
    </w:p>
    <w:p w14:paraId="3980F93E" w14:textId="77777777" w:rsidR="00C03E2B" w:rsidRPr="006F1B88" w:rsidRDefault="00C03E2B" w:rsidP="009F6FEE">
      <w:pPr>
        <w:jc w:val="both"/>
        <w:rPr>
          <w:sz w:val="20"/>
          <w:szCs w:val="20"/>
        </w:rPr>
      </w:pPr>
      <w:r w:rsidRPr="006F1B88">
        <w:rPr>
          <w:sz w:val="20"/>
          <w:szCs w:val="20"/>
        </w:rPr>
        <w:t>Office of the Director of National Intelligence</w:t>
      </w:r>
    </w:p>
    <w:p w14:paraId="23E68B6E" w14:textId="77777777" w:rsidR="00C03E2B" w:rsidRPr="006F1B88" w:rsidRDefault="00C03E2B" w:rsidP="009F6FEE">
      <w:pPr>
        <w:jc w:val="both"/>
        <w:rPr>
          <w:sz w:val="20"/>
          <w:szCs w:val="20"/>
        </w:rPr>
      </w:pPr>
      <w:r w:rsidRPr="006F1B88">
        <w:rPr>
          <w:sz w:val="20"/>
          <w:szCs w:val="20"/>
        </w:rPr>
        <w:t>Office of Government Ethics*</w:t>
      </w:r>
    </w:p>
    <w:p w14:paraId="5E7FAE83" w14:textId="77777777" w:rsidR="00C03E2B" w:rsidRPr="006F1B88" w:rsidRDefault="00C03E2B" w:rsidP="009F6FEE">
      <w:pPr>
        <w:jc w:val="both"/>
        <w:rPr>
          <w:sz w:val="20"/>
          <w:szCs w:val="20"/>
        </w:rPr>
      </w:pPr>
      <w:r w:rsidRPr="006F1B88">
        <w:rPr>
          <w:sz w:val="20"/>
          <w:szCs w:val="20"/>
        </w:rPr>
        <w:t>Office of Navajo and Hopi Indian Relocation*</w:t>
      </w:r>
    </w:p>
    <w:p w14:paraId="6356B03A" w14:textId="77777777" w:rsidR="00C03E2B" w:rsidRPr="006F1B88" w:rsidRDefault="00C03E2B" w:rsidP="009F6FEE">
      <w:pPr>
        <w:jc w:val="both"/>
        <w:rPr>
          <w:sz w:val="20"/>
          <w:szCs w:val="20"/>
        </w:rPr>
      </w:pPr>
      <w:r w:rsidRPr="006F1B88">
        <w:rPr>
          <w:sz w:val="20"/>
          <w:szCs w:val="20"/>
        </w:rPr>
        <w:t>Office of Personnel Management</w:t>
      </w:r>
    </w:p>
    <w:p w14:paraId="0FB39CB5" w14:textId="77777777" w:rsidR="00C03E2B" w:rsidRPr="006F1B88" w:rsidRDefault="00C03E2B" w:rsidP="009F6FEE">
      <w:pPr>
        <w:jc w:val="both"/>
        <w:rPr>
          <w:sz w:val="20"/>
          <w:szCs w:val="20"/>
        </w:rPr>
      </w:pPr>
      <w:r w:rsidRPr="006F1B88">
        <w:rPr>
          <w:sz w:val="20"/>
          <w:szCs w:val="20"/>
        </w:rPr>
        <w:t>Office of Special Counsel</w:t>
      </w:r>
    </w:p>
    <w:p w14:paraId="788F73FD" w14:textId="77777777" w:rsidR="00C03E2B" w:rsidRPr="006F1B88" w:rsidRDefault="00C03E2B" w:rsidP="009F6FEE">
      <w:pPr>
        <w:jc w:val="both"/>
        <w:rPr>
          <w:sz w:val="20"/>
          <w:szCs w:val="20"/>
        </w:rPr>
      </w:pPr>
      <w:r w:rsidRPr="006F1B88">
        <w:rPr>
          <w:sz w:val="20"/>
          <w:szCs w:val="20"/>
        </w:rPr>
        <w:t>Overseas Private Investment Corporation</w:t>
      </w:r>
    </w:p>
    <w:p w14:paraId="32619F81" w14:textId="77777777" w:rsidR="00C03E2B" w:rsidRPr="006F1B88" w:rsidRDefault="00C03E2B" w:rsidP="009F6FEE">
      <w:pPr>
        <w:jc w:val="both"/>
        <w:rPr>
          <w:sz w:val="20"/>
          <w:szCs w:val="20"/>
        </w:rPr>
      </w:pPr>
      <w:r w:rsidRPr="006F1B88">
        <w:rPr>
          <w:sz w:val="20"/>
          <w:szCs w:val="20"/>
        </w:rPr>
        <w:t>Peace Corps</w:t>
      </w:r>
    </w:p>
    <w:p w14:paraId="6630F599" w14:textId="77777777" w:rsidR="00C03E2B" w:rsidRPr="006F1B88" w:rsidRDefault="00C03E2B" w:rsidP="009F6FEE">
      <w:pPr>
        <w:jc w:val="both"/>
        <w:rPr>
          <w:sz w:val="20"/>
          <w:szCs w:val="20"/>
        </w:rPr>
      </w:pPr>
      <w:r w:rsidRPr="006F1B88">
        <w:rPr>
          <w:sz w:val="20"/>
          <w:szCs w:val="20"/>
        </w:rPr>
        <w:t>Pension Benefit Guaranty Corporation</w:t>
      </w:r>
    </w:p>
    <w:p w14:paraId="7F4AD155" w14:textId="77777777" w:rsidR="00C03E2B" w:rsidRPr="006F1B88" w:rsidRDefault="00C03E2B" w:rsidP="009F6FEE">
      <w:pPr>
        <w:jc w:val="both"/>
        <w:rPr>
          <w:sz w:val="20"/>
          <w:szCs w:val="20"/>
        </w:rPr>
      </w:pPr>
      <w:r w:rsidRPr="006F1B88">
        <w:rPr>
          <w:sz w:val="20"/>
          <w:szCs w:val="20"/>
        </w:rPr>
        <w:t>Postal Regulatory Commission</w:t>
      </w:r>
    </w:p>
    <w:p w14:paraId="744DB983" w14:textId="77777777" w:rsidR="00C03E2B" w:rsidRPr="006F1B88" w:rsidRDefault="00C03E2B" w:rsidP="009F6FEE">
      <w:pPr>
        <w:jc w:val="both"/>
        <w:rPr>
          <w:sz w:val="20"/>
          <w:szCs w:val="20"/>
        </w:rPr>
      </w:pPr>
      <w:r w:rsidRPr="006F1B88">
        <w:rPr>
          <w:sz w:val="20"/>
          <w:szCs w:val="20"/>
        </w:rPr>
        <w:t>Railroad Retirement Board</w:t>
      </w:r>
    </w:p>
    <w:p w14:paraId="64D2DEBC" w14:textId="77777777" w:rsidR="00C03E2B" w:rsidRPr="006F1B88" w:rsidRDefault="00C03E2B" w:rsidP="009F6FEE">
      <w:pPr>
        <w:jc w:val="both"/>
        <w:rPr>
          <w:sz w:val="20"/>
          <w:szCs w:val="20"/>
        </w:rPr>
      </w:pPr>
      <w:r w:rsidRPr="006F1B88">
        <w:rPr>
          <w:sz w:val="20"/>
          <w:szCs w:val="20"/>
        </w:rPr>
        <w:t>Securities and Exchange Commission</w:t>
      </w:r>
    </w:p>
    <w:p w14:paraId="08B7ADCA" w14:textId="77777777" w:rsidR="00C03E2B" w:rsidRPr="006F1B88" w:rsidRDefault="00C03E2B" w:rsidP="009F6FEE">
      <w:pPr>
        <w:jc w:val="both"/>
        <w:rPr>
          <w:sz w:val="20"/>
          <w:szCs w:val="20"/>
        </w:rPr>
      </w:pPr>
      <w:r w:rsidRPr="006F1B88">
        <w:rPr>
          <w:sz w:val="20"/>
          <w:szCs w:val="20"/>
        </w:rPr>
        <w:t>Selective Service System*</w:t>
      </w:r>
    </w:p>
    <w:p w14:paraId="0992C98C" w14:textId="77777777" w:rsidR="00C03E2B" w:rsidRPr="006F1B88" w:rsidRDefault="00C03E2B" w:rsidP="009F6FEE">
      <w:pPr>
        <w:jc w:val="both"/>
        <w:rPr>
          <w:sz w:val="20"/>
          <w:szCs w:val="20"/>
        </w:rPr>
      </w:pPr>
      <w:r w:rsidRPr="006F1B88">
        <w:rPr>
          <w:sz w:val="20"/>
          <w:szCs w:val="20"/>
        </w:rPr>
        <w:t>Small Business Administration</w:t>
      </w:r>
    </w:p>
    <w:p w14:paraId="5F4AA4F3" w14:textId="77777777" w:rsidR="00C03E2B" w:rsidRPr="006F1B88" w:rsidRDefault="00C03E2B" w:rsidP="009F6FEE">
      <w:pPr>
        <w:jc w:val="both"/>
        <w:rPr>
          <w:sz w:val="20"/>
          <w:szCs w:val="20"/>
        </w:rPr>
      </w:pPr>
      <w:r w:rsidRPr="006F1B88">
        <w:rPr>
          <w:sz w:val="20"/>
          <w:szCs w:val="20"/>
        </w:rPr>
        <w:t>Social Security Administration</w:t>
      </w:r>
    </w:p>
    <w:p w14:paraId="4DA6D4BE" w14:textId="77777777" w:rsidR="00C03E2B" w:rsidRPr="006F1B88" w:rsidRDefault="00C03E2B" w:rsidP="009F6FEE">
      <w:pPr>
        <w:jc w:val="both"/>
        <w:rPr>
          <w:sz w:val="20"/>
          <w:szCs w:val="20"/>
        </w:rPr>
      </w:pPr>
      <w:r w:rsidRPr="006F1B88">
        <w:rPr>
          <w:sz w:val="20"/>
          <w:szCs w:val="20"/>
        </w:rPr>
        <w:t>Special Inspector General for Iraq Reconstruction*</w:t>
      </w:r>
    </w:p>
    <w:p w14:paraId="143C6E65" w14:textId="77777777" w:rsidR="00C03E2B" w:rsidRPr="006F1B88" w:rsidRDefault="00C03E2B" w:rsidP="009F6FEE">
      <w:pPr>
        <w:jc w:val="both"/>
        <w:rPr>
          <w:sz w:val="20"/>
          <w:szCs w:val="20"/>
        </w:rPr>
      </w:pPr>
      <w:r w:rsidRPr="006F1B88">
        <w:rPr>
          <w:sz w:val="20"/>
          <w:szCs w:val="20"/>
        </w:rPr>
        <w:t>Surface Transportation Board*</w:t>
      </w:r>
    </w:p>
    <w:p w14:paraId="6D63C559" w14:textId="77777777" w:rsidR="00C03E2B" w:rsidRPr="006F1B88" w:rsidRDefault="00C03E2B" w:rsidP="009F6FEE">
      <w:pPr>
        <w:jc w:val="both"/>
        <w:rPr>
          <w:sz w:val="20"/>
          <w:szCs w:val="20"/>
        </w:rPr>
      </w:pPr>
      <w:r w:rsidRPr="006F1B88">
        <w:rPr>
          <w:sz w:val="20"/>
          <w:szCs w:val="20"/>
        </w:rPr>
        <w:t>Tennessee Valley Authority</w:t>
      </w:r>
    </w:p>
    <w:p w14:paraId="2796CB10" w14:textId="77777777" w:rsidR="00C03E2B" w:rsidRPr="006F1B88" w:rsidRDefault="00C03E2B" w:rsidP="009F6FEE">
      <w:pPr>
        <w:jc w:val="both"/>
        <w:rPr>
          <w:sz w:val="20"/>
          <w:szCs w:val="20"/>
        </w:rPr>
      </w:pPr>
      <w:r w:rsidRPr="006F1B88">
        <w:rPr>
          <w:sz w:val="20"/>
          <w:szCs w:val="20"/>
        </w:rPr>
        <w:t>United States African Development Foundation*</w:t>
      </w:r>
    </w:p>
    <w:p w14:paraId="5EF8F5A9" w14:textId="77777777" w:rsidR="00C03E2B" w:rsidRPr="006F1B88" w:rsidRDefault="00C03E2B" w:rsidP="009F6FEE">
      <w:pPr>
        <w:jc w:val="both"/>
        <w:rPr>
          <w:sz w:val="20"/>
          <w:szCs w:val="20"/>
        </w:rPr>
      </w:pPr>
      <w:r w:rsidRPr="006F1B88">
        <w:rPr>
          <w:sz w:val="20"/>
          <w:szCs w:val="20"/>
        </w:rPr>
        <w:t>United States Copyright Office*</w:t>
      </w:r>
    </w:p>
    <w:p w14:paraId="0FF52DDD" w14:textId="77777777" w:rsidR="00C03E2B" w:rsidRPr="006F1B88" w:rsidRDefault="00C03E2B" w:rsidP="009F6FEE">
      <w:pPr>
        <w:jc w:val="both"/>
        <w:rPr>
          <w:sz w:val="20"/>
          <w:szCs w:val="20"/>
        </w:rPr>
      </w:pPr>
      <w:r w:rsidRPr="006F1B88">
        <w:rPr>
          <w:sz w:val="20"/>
          <w:szCs w:val="20"/>
        </w:rPr>
        <w:t>United States International Boundary and Water Commission*</w:t>
      </w:r>
    </w:p>
    <w:p w14:paraId="4BED261D" w14:textId="77777777" w:rsidR="00C03E2B" w:rsidRPr="006F1B88" w:rsidRDefault="00C03E2B" w:rsidP="009F6FEE">
      <w:pPr>
        <w:jc w:val="both"/>
        <w:rPr>
          <w:sz w:val="20"/>
          <w:szCs w:val="20"/>
        </w:rPr>
      </w:pPr>
      <w:r w:rsidRPr="006F1B88">
        <w:rPr>
          <w:sz w:val="20"/>
          <w:szCs w:val="20"/>
        </w:rPr>
        <w:t>United States International Trade Commission</w:t>
      </w:r>
    </w:p>
    <w:p w14:paraId="63DC1487" w14:textId="77777777" w:rsidR="00C03E2B" w:rsidRPr="006F1B88" w:rsidRDefault="00C03E2B" w:rsidP="009F6FEE">
      <w:pPr>
        <w:jc w:val="both"/>
        <w:rPr>
          <w:sz w:val="20"/>
          <w:szCs w:val="20"/>
        </w:rPr>
      </w:pPr>
      <w:r w:rsidRPr="006F1B88">
        <w:rPr>
          <w:sz w:val="20"/>
          <w:szCs w:val="20"/>
        </w:rPr>
        <w:t>United States Postal Service</w:t>
      </w:r>
    </w:p>
    <w:p w14:paraId="0D0C71C3" w14:textId="77777777" w:rsidR="00C03E2B" w:rsidRPr="006F1B88" w:rsidRDefault="00C03E2B" w:rsidP="009F6FEE">
      <w:pPr>
        <w:jc w:val="both"/>
        <w:rPr>
          <w:sz w:val="20"/>
          <w:szCs w:val="20"/>
        </w:rPr>
      </w:pPr>
      <w:r w:rsidRPr="006F1B88">
        <w:rPr>
          <w:sz w:val="20"/>
          <w:szCs w:val="20"/>
        </w:rPr>
        <w:t>United States Trade and Development Agency*</w:t>
      </w:r>
    </w:p>
    <w:p w14:paraId="3174FCD7" w14:textId="77777777" w:rsidR="00C03E2B" w:rsidRDefault="00C03E2B" w:rsidP="009F6FEE">
      <w:pPr>
        <w:jc w:val="both"/>
        <w:rPr>
          <w:b/>
        </w:rPr>
        <w:sectPr w:rsidR="00C03E2B">
          <w:type w:val="continuous"/>
          <w:pgSz w:w="12240" w:h="15840"/>
          <w:pgMar w:top="1440" w:right="1440" w:bottom="1440" w:left="1440" w:header="720" w:footer="720" w:gutter="0"/>
          <w:cols w:num="2" w:space="720"/>
          <w:docGrid w:linePitch="360"/>
        </w:sectPr>
      </w:pPr>
    </w:p>
    <w:p w14:paraId="70148404" w14:textId="77777777" w:rsidR="00C03E2B" w:rsidRDefault="00C03E2B" w:rsidP="009F6FEE">
      <w:pPr>
        <w:jc w:val="both"/>
        <w:rPr>
          <w:b/>
        </w:rPr>
      </w:pPr>
      <w:r>
        <w:rPr>
          <w:b/>
        </w:rPr>
        <w:lastRenderedPageBreak/>
        <w:t>Appendix B</w:t>
      </w:r>
    </w:p>
    <w:p w14:paraId="5E198B55" w14:textId="77777777" w:rsidR="00B84954" w:rsidRDefault="00B84954" w:rsidP="009F6FEE">
      <w:pPr>
        <w:jc w:val="both"/>
        <w:rPr>
          <w:b/>
        </w:rPr>
      </w:pPr>
    </w:p>
    <w:p w14:paraId="15031BB7" w14:textId="77777777" w:rsidR="00C03E2B" w:rsidRDefault="00C03E2B" w:rsidP="009F6FEE">
      <w:pPr>
        <w:jc w:val="both"/>
      </w:pPr>
      <w:r>
        <w:t>Below are examples of letters that we sent to target the FOIA office itself, the political liaison’s office, human resources office, and office of inspector general.</w:t>
      </w:r>
    </w:p>
    <w:p w14:paraId="334AFB2C" w14:textId="03517885" w:rsidR="00C03E2B" w:rsidRDefault="00FB4375" w:rsidP="009F6FEE">
      <w:pPr>
        <w:jc w:val="both"/>
      </w:pPr>
      <w:r>
        <w:rPr>
          <w:noProof/>
        </w:rPr>
        <mc:AlternateContent>
          <mc:Choice Requires="wps">
            <w:drawing>
              <wp:anchor distT="0" distB="0" distL="114300" distR="114300" simplePos="0" relativeHeight="251668480" behindDoc="0" locked="0" layoutInCell="1" allowOverlap="1" wp14:anchorId="2C436DAA" wp14:editId="5CA6BA99">
                <wp:simplePos x="0" y="0"/>
                <wp:positionH relativeFrom="column">
                  <wp:posOffset>-31750</wp:posOffset>
                </wp:positionH>
                <wp:positionV relativeFrom="paragraph">
                  <wp:posOffset>168910</wp:posOffset>
                </wp:positionV>
                <wp:extent cx="6186170" cy="4861560"/>
                <wp:effectExtent l="6350" t="12700" r="8255" b="1206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861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6094" id="Rectangle 9" o:spid="_x0000_s1026" style="position:absolute;margin-left:-2.5pt;margin-top:13.3pt;width:487.1pt;height:38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NjdwIAAP0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" filled="f"/>
            </w:pict>
          </mc:Fallback>
        </mc:AlternateContent>
      </w:r>
    </w:p>
    <w:p w14:paraId="5E928998" w14:textId="77777777" w:rsidR="00C03E2B" w:rsidRPr="00C03E2B" w:rsidRDefault="00C03E2B" w:rsidP="009F6FEE">
      <w:pPr>
        <w:jc w:val="both"/>
      </w:pPr>
      <w:r w:rsidRPr="00C03E2B">
        <w:t>[BASELINE]</w:t>
      </w:r>
    </w:p>
    <w:p w14:paraId="36B5786B" w14:textId="77777777" w:rsidR="00C03E2B" w:rsidRPr="00C03E2B" w:rsidRDefault="00C03E2B" w:rsidP="009F6FEE">
      <w:pPr>
        <w:pStyle w:val="NormalWeb"/>
        <w:spacing w:after="0" w:afterAutospacing="0"/>
        <w:ind w:left="720" w:right="-180"/>
        <w:jc w:val="both"/>
        <w:rPr>
          <w:i/>
        </w:rPr>
      </w:pPr>
      <w:r w:rsidRPr="00C03E2B">
        <w:rPr>
          <w:i/>
        </w:rPr>
        <w:t>To Whom It May Concern:</w:t>
      </w:r>
    </w:p>
    <w:p w14:paraId="6AD95F6F" w14:textId="77777777" w:rsidR="00C03E2B" w:rsidRPr="00C03E2B" w:rsidRDefault="00C03E2B" w:rsidP="009F6FEE">
      <w:pPr>
        <w:pStyle w:val="NormalWeb"/>
        <w:spacing w:after="0" w:afterAutospacing="0"/>
        <w:ind w:left="720" w:right="-180"/>
        <w:jc w:val="both"/>
        <w:rPr>
          <w:i/>
        </w:rPr>
      </w:pPr>
      <w:r w:rsidRPr="00C03E2B">
        <w:rPr>
          <w:i/>
        </w:rPr>
        <w:t xml:space="preserve">Under the Freedom of Information Act, 5 U.S.C. § 552, I am requesting copies of the following sets of records from the </w:t>
      </w:r>
      <w:r w:rsidRPr="00C03E2B">
        <w:rPr>
          <w:i/>
          <w:noProof/>
        </w:rPr>
        <w:t>Department of Agriculture</w:t>
      </w:r>
      <w:r w:rsidRPr="00C03E2B">
        <w:rPr>
          <w:i/>
        </w:rPr>
        <w:t>:</w:t>
      </w:r>
    </w:p>
    <w:p w14:paraId="302F18DD" w14:textId="77777777" w:rsidR="00C03E2B" w:rsidRPr="00C03E2B" w:rsidRDefault="00C03E2B" w:rsidP="009F6FEE">
      <w:pPr>
        <w:pStyle w:val="NormalWeb"/>
        <w:numPr>
          <w:ilvl w:val="0"/>
          <w:numId w:val="2"/>
        </w:numPr>
        <w:spacing w:after="0" w:afterAutospacing="0"/>
        <w:ind w:left="1440" w:right="-180" w:hanging="720"/>
        <w:jc w:val="both"/>
        <w:rPr>
          <w:i/>
        </w:rPr>
      </w:pPr>
      <w:r w:rsidRPr="00C03E2B">
        <w:rPr>
          <w:i/>
        </w:rPr>
        <w:t>The agency’s FOIA log from 2010 or equivalent listing the FOIA request number, name of requester, and a description of the records being requested.</w:t>
      </w:r>
    </w:p>
    <w:p w14:paraId="19D9B3B9" w14:textId="77777777" w:rsidR="00C03E2B" w:rsidRPr="00C03E2B" w:rsidRDefault="00C03E2B" w:rsidP="009F6FEE">
      <w:pPr>
        <w:pStyle w:val="NormalWeb"/>
        <w:spacing w:after="0" w:afterAutospacing="0"/>
        <w:ind w:left="720" w:right="-180"/>
        <w:jc w:val="both"/>
        <w:rPr>
          <w:i/>
        </w:rPr>
      </w:pPr>
      <w:r w:rsidRPr="00C03E2B">
        <w:rPr>
          <w:i/>
        </w:rPr>
        <w:t>If there are any fees for searching or copying the records, please let me know before you fill my request. Or, please supply the records without informing me of the cost if the fees do not exceed $200, which I agree to pay. This request is for educational purposes.</w:t>
      </w:r>
    </w:p>
    <w:p w14:paraId="4FD08717" w14:textId="77777777" w:rsidR="00C03E2B" w:rsidRPr="00C03E2B" w:rsidRDefault="00C03E2B" w:rsidP="009F6FEE">
      <w:pPr>
        <w:pStyle w:val="NormalWeb"/>
        <w:spacing w:after="0" w:afterAutospacing="0"/>
        <w:ind w:left="720" w:right="-180"/>
        <w:jc w:val="both"/>
        <w:rPr>
          <w:i/>
        </w:rPr>
      </w:pPr>
      <w:r w:rsidRPr="00C03E2B">
        <w:rPr>
          <w:i/>
        </w:rPr>
        <w:t xml:space="preserve">If you deny all or any part of this request, please cite each specific exemption you think justifies your withholding of information. Notify me of appeal procedures available under the law. </w:t>
      </w:r>
    </w:p>
    <w:p w14:paraId="0DDB50C1" w14:textId="77777777" w:rsidR="00C03E2B" w:rsidRPr="00C03E2B" w:rsidRDefault="00C03E2B" w:rsidP="009F6FEE">
      <w:pPr>
        <w:pStyle w:val="NormalWeb"/>
        <w:spacing w:after="0" w:afterAutospacing="0"/>
        <w:ind w:left="720" w:right="-180"/>
        <w:jc w:val="both"/>
        <w:rPr>
          <w:i/>
        </w:rPr>
      </w:pPr>
      <w:r w:rsidRPr="00C03E2B">
        <w:rPr>
          <w:i/>
        </w:rPr>
        <w:t>If you have any questions about handling this request, you may reach me by email at dsjlewis@yahoo.com, or by telephone at 615-712-9087.</w:t>
      </w:r>
    </w:p>
    <w:p w14:paraId="31B5B5F6" w14:textId="77777777" w:rsidR="00C03E2B" w:rsidRPr="00C03E2B" w:rsidRDefault="00C03E2B" w:rsidP="009F6FEE">
      <w:pPr>
        <w:pStyle w:val="NormalWeb"/>
        <w:spacing w:after="0" w:afterAutospacing="0"/>
        <w:ind w:left="720" w:right="-180"/>
        <w:jc w:val="both"/>
        <w:rPr>
          <w:i/>
        </w:rPr>
      </w:pPr>
      <w:r w:rsidRPr="00C03E2B">
        <w:rPr>
          <w:i/>
        </w:rPr>
        <w:t>Sincerely,</w:t>
      </w:r>
    </w:p>
    <w:p w14:paraId="23125A89" w14:textId="77777777" w:rsidR="00C03E2B" w:rsidRPr="00C03E2B" w:rsidRDefault="00C03E2B" w:rsidP="009F6FEE">
      <w:pPr>
        <w:ind w:left="720" w:right="-180"/>
        <w:jc w:val="both"/>
        <w:rPr>
          <w:i/>
        </w:rPr>
      </w:pPr>
      <w:proofErr w:type="spellStart"/>
      <w:r w:rsidRPr="00C03E2B">
        <w:rPr>
          <w:i/>
        </w:rPr>
        <w:t>Saskia</w:t>
      </w:r>
      <w:proofErr w:type="spellEnd"/>
      <w:r w:rsidRPr="00C03E2B">
        <w:rPr>
          <w:i/>
        </w:rPr>
        <w:t xml:space="preserve"> C. Lewis</w:t>
      </w:r>
    </w:p>
    <w:p w14:paraId="12280E24" w14:textId="77777777" w:rsidR="00C03E2B" w:rsidRPr="00C03E2B" w:rsidRDefault="00C03E2B" w:rsidP="009F6FEE">
      <w:pPr>
        <w:ind w:left="720" w:right="-180"/>
        <w:jc w:val="both"/>
        <w:rPr>
          <w:i/>
        </w:rPr>
      </w:pPr>
      <w:r w:rsidRPr="00C03E2B">
        <w:rPr>
          <w:i/>
        </w:rPr>
        <w:t>2006 Linden Avenue</w:t>
      </w:r>
    </w:p>
    <w:p w14:paraId="25B342C9" w14:textId="77777777" w:rsidR="00C03E2B" w:rsidRPr="00C03E2B" w:rsidRDefault="00C03E2B" w:rsidP="009F6FEE">
      <w:pPr>
        <w:ind w:left="720" w:right="-180"/>
        <w:jc w:val="both"/>
        <w:rPr>
          <w:i/>
        </w:rPr>
      </w:pPr>
      <w:r w:rsidRPr="00C03E2B">
        <w:rPr>
          <w:i/>
        </w:rPr>
        <w:t>Nashville, TN 37212</w:t>
      </w:r>
    </w:p>
    <w:p w14:paraId="6915EC56" w14:textId="77777777" w:rsidR="00C03E2B" w:rsidRPr="00C03E2B" w:rsidRDefault="00C03E2B" w:rsidP="009F6FEE">
      <w:pPr>
        <w:jc w:val="both"/>
      </w:pPr>
    </w:p>
    <w:p w14:paraId="09189ED9" w14:textId="77777777" w:rsidR="00C03E2B" w:rsidRDefault="00C03E2B" w:rsidP="009F6FEE">
      <w:pPr>
        <w:jc w:val="both"/>
        <w:rPr>
          <w:sz w:val="20"/>
          <w:szCs w:val="20"/>
        </w:rPr>
      </w:pPr>
    </w:p>
    <w:p w14:paraId="1092AB20" w14:textId="77777777" w:rsidR="00C03E2B" w:rsidRDefault="00C03E2B" w:rsidP="009F6FEE">
      <w:pPr>
        <w:jc w:val="both"/>
        <w:rPr>
          <w:sz w:val="20"/>
          <w:szCs w:val="20"/>
        </w:rPr>
      </w:pPr>
    </w:p>
    <w:p w14:paraId="65BB9841" w14:textId="77777777" w:rsidR="00C03E2B" w:rsidRDefault="00C03E2B" w:rsidP="009F6FEE">
      <w:pPr>
        <w:jc w:val="both"/>
      </w:pPr>
      <w:r>
        <w:br w:type="page"/>
      </w:r>
    </w:p>
    <w:p w14:paraId="68CCE734" w14:textId="73A25F3C" w:rsidR="00C03E2B" w:rsidRPr="00C03E2B" w:rsidRDefault="00FB4375" w:rsidP="009F6FEE">
      <w:pPr>
        <w:jc w:val="both"/>
      </w:pPr>
      <w:r>
        <w:rPr>
          <w:noProof/>
        </w:rPr>
        <w:lastRenderedPageBreak/>
        <mc:AlternateContent>
          <mc:Choice Requires="wps">
            <w:drawing>
              <wp:anchor distT="0" distB="0" distL="114300" distR="114300" simplePos="0" relativeHeight="251670528" behindDoc="0" locked="0" layoutInCell="1" allowOverlap="1" wp14:anchorId="31D2CDA7" wp14:editId="06367E92">
                <wp:simplePos x="0" y="0"/>
                <wp:positionH relativeFrom="column">
                  <wp:posOffset>-31750</wp:posOffset>
                </wp:positionH>
                <wp:positionV relativeFrom="paragraph">
                  <wp:posOffset>-77470</wp:posOffset>
                </wp:positionV>
                <wp:extent cx="6186170" cy="5220335"/>
                <wp:effectExtent l="6350" t="8255" r="8255" b="1016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5220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5794" id="Rectangle 10" o:spid="_x0000_s1026" style="position:absolute;margin-left:-2.5pt;margin-top:-6.1pt;width:487.1pt;height:4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JbegIAAP4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" filled="f"/>
            </w:pict>
          </mc:Fallback>
        </mc:AlternateContent>
      </w:r>
      <w:r w:rsidR="00C03E2B" w:rsidRPr="00C03E2B">
        <w:t>[POLITICALLY SENSITIVE]</w:t>
      </w:r>
    </w:p>
    <w:p w14:paraId="17CE9DD2" w14:textId="77777777" w:rsidR="00C03E2B" w:rsidRPr="00C03E2B" w:rsidRDefault="00C03E2B" w:rsidP="009F6FEE">
      <w:pPr>
        <w:pStyle w:val="NormalWeb"/>
        <w:spacing w:after="0" w:afterAutospacing="0"/>
        <w:ind w:left="720" w:right="90"/>
        <w:jc w:val="both"/>
        <w:rPr>
          <w:i/>
        </w:rPr>
      </w:pPr>
      <w:r w:rsidRPr="00C03E2B">
        <w:rPr>
          <w:i/>
        </w:rPr>
        <w:t>To Whom It May Concern:</w:t>
      </w:r>
    </w:p>
    <w:p w14:paraId="6C89324A" w14:textId="77777777" w:rsidR="00C03E2B" w:rsidRPr="00C03E2B" w:rsidRDefault="00C03E2B" w:rsidP="009F6FEE">
      <w:pPr>
        <w:pStyle w:val="NormalWeb"/>
        <w:spacing w:after="0" w:afterAutospacing="0"/>
        <w:ind w:left="720" w:right="90"/>
        <w:jc w:val="both"/>
        <w:rPr>
          <w:i/>
        </w:rPr>
      </w:pPr>
      <w:r w:rsidRPr="00C03E2B">
        <w:rPr>
          <w:i/>
        </w:rPr>
        <w:t xml:space="preserve">Under the Freedom of Information Act, 5 U.S.C. § 552, I am requesting copies of the below-listed sets of records from </w:t>
      </w:r>
      <w:r w:rsidRPr="00C03E2B">
        <w:rPr>
          <w:i/>
          <w:noProof/>
        </w:rPr>
        <w:t>Department of Agriculture</w:t>
      </w:r>
      <w:r w:rsidRPr="00C03E2B">
        <w:rPr>
          <w:i/>
        </w:rPr>
        <w:t>.  If there are any fees for searching or copying the records, please let me know before you fill my request. Or, please supply the records without informing me of the cost if the fees do not exceed $200, which I agree to pay. This request is for educational purposes.</w:t>
      </w:r>
    </w:p>
    <w:p w14:paraId="665B3924" w14:textId="77777777" w:rsidR="00C03E2B" w:rsidRPr="00C03E2B" w:rsidRDefault="00C03E2B" w:rsidP="009F6FEE">
      <w:pPr>
        <w:pStyle w:val="NormalWeb"/>
        <w:spacing w:after="0" w:afterAutospacing="0"/>
        <w:ind w:left="720" w:right="90"/>
        <w:jc w:val="both"/>
        <w:rPr>
          <w:i/>
        </w:rPr>
      </w:pPr>
      <w:r w:rsidRPr="00C03E2B">
        <w:rPr>
          <w:i/>
        </w:rPr>
        <w:t xml:space="preserve">If you deny all or any part of this request, please cite each specific exemption you think justifies your withholding of information. Notify me of appeal procedures available under the law. </w:t>
      </w:r>
    </w:p>
    <w:p w14:paraId="54AC0872" w14:textId="77777777" w:rsidR="00C03E2B" w:rsidRPr="00C03E2B" w:rsidRDefault="00C03E2B" w:rsidP="009F6FEE">
      <w:pPr>
        <w:pStyle w:val="NormalWeb"/>
        <w:spacing w:after="0" w:afterAutospacing="0"/>
        <w:ind w:left="720" w:right="90"/>
        <w:jc w:val="both"/>
        <w:rPr>
          <w:i/>
        </w:rPr>
      </w:pPr>
      <w:r w:rsidRPr="00C03E2B">
        <w:rPr>
          <w:i/>
        </w:rPr>
        <w:t>If you have any questions about handling this request, you may telephone me at 203-231-0287.  I can also be reached via email at john.hudak.1@gmail.com.</w:t>
      </w:r>
    </w:p>
    <w:p w14:paraId="66CCEC9B" w14:textId="77777777" w:rsidR="00C03E2B" w:rsidRPr="00C03E2B" w:rsidRDefault="00C03E2B" w:rsidP="009F6FEE">
      <w:pPr>
        <w:pStyle w:val="NormalWeb"/>
        <w:spacing w:after="0" w:afterAutospacing="0"/>
        <w:ind w:left="720" w:right="90"/>
        <w:jc w:val="both"/>
        <w:rPr>
          <w:i/>
        </w:rPr>
      </w:pPr>
      <w:r w:rsidRPr="00C03E2B">
        <w:rPr>
          <w:i/>
        </w:rPr>
        <w:t>Sincerely,</w:t>
      </w:r>
    </w:p>
    <w:p w14:paraId="5E9DE56D" w14:textId="77777777" w:rsidR="00C03E2B" w:rsidRPr="00C03E2B" w:rsidRDefault="00C03E2B" w:rsidP="009F6FEE">
      <w:pPr>
        <w:ind w:left="720" w:right="90"/>
        <w:jc w:val="both"/>
        <w:rPr>
          <w:i/>
        </w:rPr>
      </w:pPr>
    </w:p>
    <w:p w14:paraId="6A776EBF" w14:textId="77777777" w:rsidR="00C03E2B" w:rsidRPr="00C03E2B" w:rsidRDefault="00C03E2B" w:rsidP="009F6FEE">
      <w:pPr>
        <w:ind w:left="720" w:right="90"/>
        <w:jc w:val="both"/>
        <w:rPr>
          <w:i/>
        </w:rPr>
      </w:pPr>
      <w:r w:rsidRPr="00C03E2B">
        <w:rPr>
          <w:i/>
        </w:rPr>
        <w:t>John Hudak</w:t>
      </w:r>
    </w:p>
    <w:p w14:paraId="02E081AA" w14:textId="77777777" w:rsidR="00C03E2B" w:rsidRPr="00C03E2B" w:rsidRDefault="00C03E2B" w:rsidP="009F6FEE">
      <w:pPr>
        <w:ind w:left="720" w:right="90"/>
        <w:jc w:val="both"/>
        <w:rPr>
          <w:i/>
        </w:rPr>
      </w:pPr>
      <w:r w:rsidRPr="00C03E2B">
        <w:rPr>
          <w:i/>
        </w:rPr>
        <w:t>4600B Idaho Avenue</w:t>
      </w:r>
      <w:r w:rsidRPr="00C03E2B">
        <w:rPr>
          <w:i/>
        </w:rPr>
        <w:br/>
        <w:t>Nashville, TN 37209</w:t>
      </w:r>
    </w:p>
    <w:p w14:paraId="79DAF5ED" w14:textId="77777777" w:rsidR="00C03E2B" w:rsidRPr="00C03E2B" w:rsidRDefault="00C03E2B" w:rsidP="009F6FEE">
      <w:pPr>
        <w:ind w:left="720" w:right="90"/>
        <w:jc w:val="both"/>
        <w:rPr>
          <w:i/>
        </w:rPr>
      </w:pPr>
    </w:p>
    <w:p w14:paraId="60197484" w14:textId="77777777" w:rsidR="00C03E2B" w:rsidRPr="00C03E2B" w:rsidRDefault="00C03E2B" w:rsidP="009F6FEE">
      <w:pPr>
        <w:ind w:left="720" w:right="90"/>
        <w:jc w:val="both"/>
        <w:rPr>
          <w:i/>
        </w:rPr>
      </w:pPr>
      <w:r w:rsidRPr="00C03E2B">
        <w:rPr>
          <w:b/>
          <w:i/>
        </w:rPr>
        <w:t>Requested Records:</w:t>
      </w:r>
      <w:r w:rsidRPr="00C03E2B">
        <w:rPr>
          <w:i/>
        </w:rPr>
        <w:t xml:space="preserve"> A list of the FOIA requests from 2010 about which a political appointee (persons appointed under schedule C, a non-career member of the Senior Executive Service, or Senate-confirmed appointee) personally made an inquiry, personally reviewed, or personally had a hand in the disposition of the request.</w:t>
      </w:r>
    </w:p>
    <w:p w14:paraId="10E01BF0" w14:textId="48DAD208" w:rsidR="00C03E2B" w:rsidRPr="00C03E2B" w:rsidRDefault="00FB4375" w:rsidP="009F6FEE">
      <w:pPr>
        <w:jc w:val="both"/>
        <w:rPr>
          <w:b/>
        </w:rPr>
      </w:pPr>
      <w:r>
        <w:rPr>
          <w:noProof/>
        </w:rPr>
        <w:lastRenderedPageBreak/>
        <mc:AlternateContent>
          <mc:Choice Requires="wps">
            <w:drawing>
              <wp:anchor distT="0" distB="0" distL="114300" distR="114300" simplePos="0" relativeHeight="251658240" behindDoc="0" locked="0" layoutInCell="1" allowOverlap="1" wp14:anchorId="7F2850A9" wp14:editId="6FE775AA">
                <wp:simplePos x="0" y="0"/>
                <wp:positionH relativeFrom="column">
                  <wp:posOffset>-14605</wp:posOffset>
                </wp:positionH>
                <wp:positionV relativeFrom="paragraph">
                  <wp:posOffset>210185</wp:posOffset>
                </wp:positionV>
                <wp:extent cx="5881370" cy="5862320"/>
                <wp:effectExtent l="13970" t="10160" r="10160" b="13970"/>
                <wp:wrapTight wrapText="bothSides">
                  <wp:wrapPolygon edited="0">
                    <wp:start x="-33" y="0"/>
                    <wp:lineTo x="-33" y="21563"/>
                    <wp:lineTo x="21633" y="21563"/>
                    <wp:lineTo x="21633" y="0"/>
                    <wp:lineTo x="-33" y="0"/>
                  </wp:wrapPolygon>
                </wp:wrapTight>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5862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AFF45" w14:textId="77777777" w:rsidR="00BE5941" w:rsidRPr="007B269C" w:rsidRDefault="00BE5941" w:rsidP="00C03E2B">
                            <w:pPr>
                              <w:pStyle w:val="NormalWeb"/>
                            </w:pPr>
                            <w:r w:rsidRPr="007B269C">
                              <w:t>[BASELINE, POLITICAL LIAISON]</w:t>
                            </w:r>
                          </w:p>
                          <w:p w14:paraId="14FFCC91" w14:textId="77777777" w:rsidR="00BE5941" w:rsidRPr="007B269C" w:rsidRDefault="00BE5941" w:rsidP="00C03E2B">
                            <w:pPr>
                              <w:pStyle w:val="NormalWeb"/>
                              <w:rPr>
                                <w:i/>
                              </w:rPr>
                            </w:pPr>
                            <w:r w:rsidRPr="007B269C">
                              <w:rPr>
                                <w:i/>
                              </w:rPr>
                              <w:t>To Whom It May Concern:</w:t>
                            </w:r>
                          </w:p>
                          <w:p w14:paraId="345789A1" w14:textId="77777777" w:rsidR="00BE5941" w:rsidRPr="007B269C" w:rsidRDefault="00BE5941" w:rsidP="00C03E2B">
                            <w:pPr>
                              <w:pStyle w:val="NormalWeb"/>
                              <w:rPr>
                                <w:i/>
                              </w:rPr>
                            </w:pPr>
                            <w:r w:rsidRPr="007B269C">
                              <w:rPr>
                                <w:i/>
                              </w:rPr>
                              <w:t xml:space="preserve">Under the Freedom of Information Act, 5 U.S.C. § 552, I am requesting copies of the following sets of records from the </w:t>
                            </w:r>
                            <w:r w:rsidRPr="007B269C">
                              <w:rPr>
                                <w:i/>
                                <w:noProof/>
                              </w:rPr>
                              <w:t>Department of Agriculture</w:t>
                            </w:r>
                            <w:r w:rsidRPr="007B269C">
                              <w:rPr>
                                <w:i/>
                              </w:rPr>
                              <w:t>:</w:t>
                            </w:r>
                          </w:p>
                          <w:p w14:paraId="1D47ACBF" w14:textId="77777777" w:rsidR="00BE5941" w:rsidRPr="007B269C" w:rsidRDefault="00BE5941" w:rsidP="00C03E2B">
                            <w:pPr>
                              <w:pStyle w:val="ListParagraph"/>
                              <w:numPr>
                                <w:ilvl w:val="0"/>
                                <w:numId w:val="2"/>
                              </w:numPr>
                              <w:jc w:val="both"/>
                              <w:rPr>
                                <w:i/>
                              </w:rPr>
                            </w:pPr>
                            <w:r w:rsidRPr="007B269C">
                              <w:rPr>
                                <w:i/>
                              </w:rPr>
                              <w:t xml:space="preserve">A list of reports that the Agency made to Congress in 2010 that were mandated in statute and to whom they were sent (e.g. House/Senate committees and subcommittees). </w:t>
                            </w:r>
                          </w:p>
                          <w:p w14:paraId="61BAEB42" w14:textId="77777777" w:rsidR="00BE5941" w:rsidRPr="007B269C" w:rsidRDefault="00BE5941" w:rsidP="00C03E2B">
                            <w:pPr>
                              <w:pStyle w:val="ListParagraph"/>
                              <w:numPr>
                                <w:ilvl w:val="0"/>
                                <w:numId w:val="2"/>
                              </w:numPr>
                              <w:jc w:val="both"/>
                              <w:rPr>
                                <w:i/>
                              </w:rPr>
                            </w:pPr>
                            <w:r w:rsidRPr="007B269C">
                              <w:rPr>
                                <w:i/>
                              </w:rPr>
                              <w:t>A list of the House and Senate committees and subcommittees that heard testimony from agency officials in 2010.</w:t>
                            </w:r>
                          </w:p>
                          <w:p w14:paraId="5AE034F1" w14:textId="77777777" w:rsidR="00BE5941" w:rsidRPr="007B269C" w:rsidRDefault="00BE5941" w:rsidP="00C03E2B">
                            <w:pPr>
                              <w:pStyle w:val="NormalWeb"/>
                              <w:rPr>
                                <w:i/>
                              </w:rPr>
                            </w:pPr>
                            <w:r w:rsidRPr="007B269C">
                              <w:rPr>
                                <w:i/>
                              </w:rPr>
                              <w:t>If there are any fees for searching or copying the records, please let me know before you fill my request. Or, please supply the records without informing me of the cost if the fees do not exceed $100, which I agree to pay. This request is for educational purposes.  The information received will be used in an academic research project at Vanderbilt University.</w:t>
                            </w:r>
                          </w:p>
                          <w:p w14:paraId="665BE5F4" w14:textId="77777777" w:rsidR="00BE5941" w:rsidRPr="007B269C" w:rsidRDefault="00BE5941" w:rsidP="00C03E2B">
                            <w:pPr>
                              <w:pStyle w:val="NormalWeb"/>
                              <w:rPr>
                                <w:i/>
                              </w:rPr>
                            </w:pPr>
                            <w:r w:rsidRPr="007B269C">
                              <w:rPr>
                                <w:i/>
                              </w:rPr>
                              <w:t xml:space="preserve">If you deny all or any part of this request, please cite each specific exemption you think justifies your withholding of information. Notify me of appeal procedures available under the law. </w:t>
                            </w:r>
                          </w:p>
                          <w:p w14:paraId="6E91AAC3" w14:textId="77777777" w:rsidR="00BE5941" w:rsidRPr="007B269C" w:rsidRDefault="00BE5941" w:rsidP="00C03E2B">
                            <w:pPr>
                              <w:pStyle w:val="NormalWeb"/>
                              <w:rPr>
                                <w:i/>
                              </w:rPr>
                            </w:pPr>
                            <w:r w:rsidRPr="007B269C">
                              <w:rPr>
                                <w:i/>
                              </w:rPr>
                              <w:t>If you have any questions about handling this request, you may email me at jennifer.selin@gmail.com.</w:t>
                            </w:r>
                          </w:p>
                          <w:p w14:paraId="6550F4F9" w14:textId="77777777" w:rsidR="00BE5941" w:rsidRPr="007B269C" w:rsidRDefault="00BE5941" w:rsidP="00C03E2B">
                            <w:pPr>
                              <w:pStyle w:val="NormalWeb"/>
                              <w:rPr>
                                <w:i/>
                              </w:rPr>
                            </w:pPr>
                            <w:r w:rsidRPr="007B269C">
                              <w:rPr>
                                <w:i/>
                              </w:rPr>
                              <w:t>Sincerely,</w:t>
                            </w:r>
                          </w:p>
                          <w:p w14:paraId="6DD2D14A" w14:textId="77777777" w:rsidR="00BE5941" w:rsidRPr="007B269C" w:rsidRDefault="00BE5941" w:rsidP="00C03E2B">
                            <w:pPr>
                              <w:rPr>
                                <w:i/>
                              </w:rPr>
                            </w:pPr>
                            <w:r w:rsidRPr="007B269C">
                              <w:rPr>
                                <w:i/>
                              </w:rPr>
                              <w:t>Jennifer Selin</w:t>
                            </w:r>
                          </w:p>
                          <w:p w14:paraId="4BB4061C" w14:textId="77777777" w:rsidR="00BE5941" w:rsidRPr="007B269C" w:rsidRDefault="00BE5941" w:rsidP="00C03E2B">
                            <w:pPr>
                              <w:rPr>
                                <w:i/>
                              </w:rPr>
                            </w:pPr>
                            <w:r w:rsidRPr="007B269C">
                              <w:rPr>
                                <w:i/>
                              </w:rPr>
                              <w:t>803 Bracken Trail</w:t>
                            </w:r>
                          </w:p>
                          <w:p w14:paraId="545B2E52" w14:textId="77777777" w:rsidR="00BE5941" w:rsidRPr="007B269C" w:rsidRDefault="00BE5941" w:rsidP="00C03E2B">
                            <w:pPr>
                              <w:rPr>
                                <w:i/>
                              </w:rPr>
                            </w:pPr>
                            <w:r w:rsidRPr="007B269C">
                              <w:rPr>
                                <w:i/>
                              </w:rPr>
                              <w:t>Nashville, TN  37214</w:t>
                            </w:r>
                          </w:p>
                          <w:p w14:paraId="490CEAF0" w14:textId="77777777" w:rsidR="00BE5941" w:rsidRPr="0035428C" w:rsidRDefault="00BE5941" w:rsidP="00C03E2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50A9" id="Rectangle 2" o:spid="_x0000_s1026" style="position:absolute;left:0;text-align:left;margin-left:-1.15pt;margin-top:16.55pt;width:463.1pt;height:4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" filled="f">
                <v:textbox>
                  <w:txbxContent>
                    <w:p w14:paraId="435AFF45" w14:textId="77777777" w:rsidR="00BE5941" w:rsidRPr="007B269C" w:rsidRDefault="00BE5941" w:rsidP="00C03E2B">
                      <w:pPr>
                        <w:pStyle w:val="NormalWeb"/>
                      </w:pPr>
                      <w:r w:rsidRPr="007B269C">
                        <w:t>[BASELINE, POLITICAL LIAISON]</w:t>
                      </w:r>
                    </w:p>
                    <w:p w14:paraId="14FFCC91" w14:textId="77777777" w:rsidR="00BE5941" w:rsidRPr="007B269C" w:rsidRDefault="00BE5941" w:rsidP="00C03E2B">
                      <w:pPr>
                        <w:pStyle w:val="NormalWeb"/>
                        <w:rPr>
                          <w:i/>
                        </w:rPr>
                      </w:pPr>
                      <w:r w:rsidRPr="007B269C">
                        <w:rPr>
                          <w:i/>
                        </w:rPr>
                        <w:t>To Whom It May Concern:</w:t>
                      </w:r>
                    </w:p>
                    <w:p w14:paraId="345789A1" w14:textId="77777777" w:rsidR="00BE5941" w:rsidRPr="007B269C" w:rsidRDefault="00BE5941" w:rsidP="00C03E2B">
                      <w:pPr>
                        <w:pStyle w:val="NormalWeb"/>
                        <w:rPr>
                          <w:i/>
                        </w:rPr>
                      </w:pPr>
                      <w:r w:rsidRPr="007B269C">
                        <w:rPr>
                          <w:i/>
                        </w:rPr>
                        <w:t xml:space="preserve">Under the Freedom of Information Act, 5 U.S.C. § 552, I am requesting copies of the following sets of records from the </w:t>
                      </w:r>
                      <w:r w:rsidRPr="007B269C">
                        <w:rPr>
                          <w:i/>
                          <w:noProof/>
                        </w:rPr>
                        <w:t>Department of Agriculture</w:t>
                      </w:r>
                      <w:r w:rsidRPr="007B269C">
                        <w:rPr>
                          <w:i/>
                        </w:rPr>
                        <w:t>:</w:t>
                      </w:r>
                    </w:p>
                    <w:p w14:paraId="1D47ACBF" w14:textId="77777777" w:rsidR="00BE5941" w:rsidRPr="007B269C" w:rsidRDefault="00BE5941" w:rsidP="00C03E2B">
                      <w:pPr>
                        <w:pStyle w:val="ListParagraph"/>
                        <w:numPr>
                          <w:ilvl w:val="0"/>
                          <w:numId w:val="2"/>
                        </w:numPr>
                        <w:jc w:val="both"/>
                        <w:rPr>
                          <w:i/>
                        </w:rPr>
                      </w:pPr>
                      <w:r w:rsidRPr="007B269C">
                        <w:rPr>
                          <w:i/>
                        </w:rPr>
                        <w:t xml:space="preserve">A list of reports that the Agency made to Congress in 2010 that were mandated in statute and to whom they were sent (e.g. House/Senate committees and subcommittees). </w:t>
                      </w:r>
                    </w:p>
                    <w:p w14:paraId="61BAEB42" w14:textId="77777777" w:rsidR="00BE5941" w:rsidRPr="007B269C" w:rsidRDefault="00BE5941" w:rsidP="00C03E2B">
                      <w:pPr>
                        <w:pStyle w:val="ListParagraph"/>
                        <w:numPr>
                          <w:ilvl w:val="0"/>
                          <w:numId w:val="2"/>
                        </w:numPr>
                        <w:jc w:val="both"/>
                        <w:rPr>
                          <w:i/>
                        </w:rPr>
                      </w:pPr>
                      <w:r w:rsidRPr="007B269C">
                        <w:rPr>
                          <w:i/>
                        </w:rPr>
                        <w:t>A list of the House and Senate committees and subcommittees that heard testimony from agency officials in 2010.</w:t>
                      </w:r>
                    </w:p>
                    <w:p w14:paraId="5AE034F1" w14:textId="77777777" w:rsidR="00BE5941" w:rsidRPr="007B269C" w:rsidRDefault="00BE5941" w:rsidP="00C03E2B">
                      <w:pPr>
                        <w:pStyle w:val="NormalWeb"/>
                        <w:rPr>
                          <w:i/>
                        </w:rPr>
                      </w:pPr>
                      <w:r w:rsidRPr="007B269C">
                        <w:rPr>
                          <w:i/>
                        </w:rPr>
                        <w:t>If there are any fees for searching or copying the records, please let me know before you fill my request. Or, please supply the records without informing me of the cost if the fees do not exceed $100, which I agree to pay. This request is for educational purposes.  The information received will be used in an academic research project at Vanderbilt University.</w:t>
                      </w:r>
                    </w:p>
                    <w:p w14:paraId="665BE5F4" w14:textId="77777777" w:rsidR="00BE5941" w:rsidRPr="007B269C" w:rsidRDefault="00BE5941" w:rsidP="00C03E2B">
                      <w:pPr>
                        <w:pStyle w:val="NormalWeb"/>
                        <w:rPr>
                          <w:i/>
                        </w:rPr>
                      </w:pPr>
                      <w:r w:rsidRPr="007B269C">
                        <w:rPr>
                          <w:i/>
                        </w:rPr>
                        <w:t xml:space="preserve">If you deny all or any part of this request, please cite each specific exemption you think justifies your withholding of information. Notify me of appeal procedures available under the law. </w:t>
                      </w:r>
                    </w:p>
                    <w:p w14:paraId="6E91AAC3" w14:textId="77777777" w:rsidR="00BE5941" w:rsidRPr="007B269C" w:rsidRDefault="00BE5941" w:rsidP="00C03E2B">
                      <w:pPr>
                        <w:pStyle w:val="NormalWeb"/>
                        <w:rPr>
                          <w:i/>
                        </w:rPr>
                      </w:pPr>
                      <w:r w:rsidRPr="007B269C">
                        <w:rPr>
                          <w:i/>
                        </w:rPr>
                        <w:t>If you have any questions about handling this request, you may email me at jennifer.selin@gmail.com.</w:t>
                      </w:r>
                    </w:p>
                    <w:p w14:paraId="6550F4F9" w14:textId="77777777" w:rsidR="00BE5941" w:rsidRPr="007B269C" w:rsidRDefault="00BE5941" w:rsidP="00C03E2B">
                      <w:pPr>
                        <w:pStyle w:val="NormalWeb"/>
                        <w:rPr>
                          <w:i/>
                        </w:rPr>
                      </w:pPr>
                      <w:r w:rsidRPr="007B269C">
                        <w:rPr>
                          <w:i/>
                        </w:rPr>
                        <w:t>Sincerely,</w:t>
                      </w:r>
                    </w:p>
                    <w:p w14:paraId="6DD2D14A" w14:textId="77777777" w:rsidR="00BE5941" w:rsidRPr="007B269C" w:rsidRDefault="00BE5941" w:rsidP="00C03E2B">
                      <w:pPr>
                        <w:rPr>
                          <w:i/>
                        </w:rPr>
                      </w:pPr>
                      <w:r w:rsidRPr="007B269C">
                        <w:rPr>
                          <w:i/>
                        </w:rPr>
                        <w:t>Jennifer Selin</w:t>
                      </w:r>
                    </w:p>
                    <w:p w14:paraId="4BB4061C" w14:textId="77777777" w:rsidR="00BE5941" w:rsidRPr="007B269C" w:rsidRDefault="00BE5941" w:rsidP="00C03E2B">
                      <w:pPr>
                        <w:rPr>
                          <w:i/>
                        </w:rPr>
                      </w:pPr>
                      <w:r w:rsidRPr="007B269C">
                        <w:rPr>
                          <w:i/>
                        </w:rPr>
                        <w:t>803 Bracken Trail</w:t>
                      </w:r>
                    </w:p>
                    <w:p w14:paraId="545B2E52" w14:textId="77777777" w:rsidR="00BE5941" w:rsidRPr="007B269C" w:rsidRDefault="00BE5941" w:rsidP="00C03E2B">
                      <w:pPr>
                        <w:rPr>
                          <w:i/>
                        </w:rPr>
                      </w:pPr>
                      <w:r w:rsidRPr="007B269C">
                        <w:rPr>
                          <w:i/>
                        </w:rPr>
                        <w:t>Nashville, TN  37214</w:t>
                      </w:r>
                    </w:p>
                    <w:p w14:paraId="490CEAF0" w14:textId="77777777" w:rsidR="00BE5941" w:rsidRPr="0035428C" w:rsidRDefault="00BE5941" w:rsidP="00C03E2B">
                      <w:pPr>
                        <w:rPr>
                          <w:i/>
                        </w:rPr>
                      </w:pPr>
                    </w:p>
                  </w:txbxContent>
                </v:textbox>
                <w10:wrap type="tight"/>
              </v:rect>
            </w:pict>
          </mc:Fallback>
        </mc:AlternateContent>
      </w:r>
    </w:p>
    <w:sectPr w:rsidR="00C03E2B" w:rsidRPr="00C03E2B" w:rsidSect="00026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A129" w14:textId="77777777" w:rsidR="00C1003B" w:rsidRDefault="00C1003B" w:rsidP="008D45E6">
      <w:r>
        <w:separator/>
      </w:r>
    </w:p>
  </w:endnote>
  <w:endnote w:type="continuationSeparator" w:id="0">
    <w:p w14:paraId="59FD6231" w14:textId="77777777" w:rsidR="00C1003B" w:rsidRDefault="00C1003B" w:rsidP="008D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5284846"/>
      <w:docPartObj>
        <w:docPartGallery w:val="Page Numbers (Bottom of Page)"/>
        <w:docPartUnique/>
      </w:docPartObj>
    </w:sdtPr>
    <w:sdtContent>
      <w:p w14:paraId="083C3769" w14:textId="5F344D5F" w:rsidR="00BE5941" w:rsidRPr="00DC5AB9" w:rsidRDefault="00BE5941">
        <w:pPr>
          <w:pStyle w:val="Footer"/>
          <w:jc w:val="right"/>
          <w:rPr>
            <w:rFonts w:ascii="Times New Roman" w:hAnsi="Times New Roman" w:cs="Times New Roman"/>
          </w:rPr>
        </w:pPr>
        <w:r>
          <w:fldChar w:fldCharType="begin"/>
        </w:r>
        <w:r>
          <w:instrText xml:space="preserve"> PAGE   \* MERGEFORMAT </w:instrText>
        </w:r>
        <w:r>
          <w:fldChar w:fldCharType="separate"/>
        </w:r>
        <w:r w:rsidR="005D0134" w:rsidRPr="005D0134">
          <w:rPr>
            <w:rFonts w:ascii="Times New Roman" w:hAnsi="Times New Roman" w:cs="Times New Roman"/>
            <w:noProof/>
          </w:rPr>
          <w:t>24</w:t>
        </w:r>
        <w:r>
          <w:rPr>
            <w:rFonts w:ascii="Times New Roman" w:hAnsi="Times New Roman" w:cs="Times New Roman"/>
            <w:noProof/>
          </w:rPr>
          <w:fldChar w:fldCharType="end"/>
        </w:r>
      </w:p>
    </w:sdtContent>
  </w:sdt>
  <w:p w14:paraId="092660BC" w14:textId="77777777" w:rsidR="00BE5941" w:rsidRPr="00DC5AB9" w:rsidRDefault="00BE594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EC5B" w14:textId="77777777" w:rsidR="00C1003B" w:rsidRDefault="00C1003B" w:rsidP="008D45E6">
      <w:r>
        <w:separator/>
      </w:r>
    </w:p>
  </w:footnote>
  <w:footnote w:type="continuationSeparator" w:id="0">
    <w:p w14:paraId="462961BA" w14:textId="77777777" w:rsidR="00C1003B" w:rsidRDefault="00C1003B" w:rsidP="008D45E6">
      <w:r>
        <w:continuationSeparator/>
      </w:r>
    </w:p>
  </w:footnote>
  <w:footnote w:id="1">
    <w:p w14:paraId="28ED2DF1" w14:textId="77777777" w:rsidR="00BE5941" w:rsidRDefault="00BE5941" w:rsidP="00390137">
      <w:pPr>
        <w:jc w:val="both"/>
      </w:pPr>
      <w:r>
        <w:rPr>
          <w:rStyle w:val="FootnoteReference"/>
        </w:rPr>
        <w:footnoteRef/>
      </w:r>
      <w:r>
        <w:t xml:space="preserve"> </w:t>
      </w:r>
      <w:r w:rsidRPr="00D2699F">
        <w:rPr>
          <w:sz w:val="20"/>
          <w:szCs w:val="20"/>
        </w:rPr>
        <w:t xml:space="preserve">Source: Federal Yellow Book </w:t>
      </w:r>
      <w:r w:rsidRPr="00D2699F">
        <w:rPr>
          <w:color w:val="000000"/>
          <w:sz w:val="20"/>
          <w:szCs w:val="20"/>
        </w:rPr>
        <w:t>(</w:t>
      </w:r>
      <w:hyperlink r:id="rId1" w:history="1">
        <w:r w:rsidRPr="00D2699F">
          <w:rPr>
            <w:rStyle w:val="Hyperlink"/>
            <w:sz w:val="20"/>
            <w:szCs w:val="20"/>
          </w:rPr>
          <w:t>http://www.leadershipdirectories.com/</w:t>
        </w:r>
      </w:hyperlink>
      <w:r w:rsidRPr="00D2699F">
        <w:rPr>
          <w:sz w:val="20"/>
          <w:szCs w:val="20"/>
        </w:rPr>
        <w:t xml:space="preserve">, last accessed June 30, 2011) and U.S. Congress. Senate. Committee on Homeland Security and Governmental Affairs. 2008. </w:t>
      </w:r>
      <w:r w:rsidRPr="00D2699F">
        <w:rPr>
          <w:i/>
          <w:sz w:val="20"/>
          <w:szCs w:val="20"/>
        </w:rPr>
        <w:t>Policy and Supporting Positions</w:t>
      </w:r>
      <w:r w:rsidRPr="00D2699F">
        <w:rPr>
          <w:sz w:val="20"/>
          <w:szCs w:val="20"/>
        </w:rPr>
        <w:t>. 110</w:t>
      </w:r>
      <w:r w:rsidRPr="00D2699F">
        <w:rPr>
          <w:sz w:val="20"/>
          <w:szCs w:val="20"/>
          <w:vertAlign w:val="superscript"/>
        </w:rPr>
        <w:t>th</w:t>
      </w:r>
      <w:r w:rsidRPr="00D2699F">
        <w:rPr>
          <w:sz w:val="20"/>
          <w:szCs w:val="20"/>
        </w:rPr>
        <w:t xml:space="preserve"> Cong., 2d </w:t>
      </w:r>
      <w:proofErr w:type="spellStart"/>
      <w:r w:rsidRPr="00D2699F">
        <w:rPr>
          <w:sz w:val="20"/>
          <w:szCs w:val="20"/>
        </w:rPr>
        <w:t>Sess</w:t>
      </w:r>
      <w:proofErr w:type="spellEnd"/>
      <w:r w:rsidRPr="00D2699F">
        <w:rPr>
          <w:sz w:val="20"/>
          <w:szCs w:val="20"/>
        </w:rPr>
        <w:t xml:space="preserve"> (</w:t>
      </w:r>
      <w:hyperlink r:id="rId2" w:history="1">
        <w:r w:rsidRPr="00D2699F">
          <w:rPr>
            <w:rStyle w:val="Hyperlink"/>
            <w:sz w:val="20"/>
            <w:szCs w:val="20"/>
          </w:rPr>
          <w:t>http://www.gpoaccess.gov/plumbook/2008/index.html</w:t>
        </w:r>
      </w:hyperlink>
      <w:r w:rsidRPr="00D2699F">
        <w:rPr>
          <w:sz w:val="20"/>
          <w:szCs w:val="20"/>
        </w:rPr>
        <w:t>, last accessed June 30, 2011).</w:t>
      </w:r>
    </w:p>
  </w:footnote>
  <w:footnote w:id="2">
    <w:p w14:paraId="2E0846CD" w14:textId="77777777" w:rsidR="00BE5941" w:rsidRDefault="00BE5941" w:rsidP="00390137">
      <w:pPr>
        <w:pStyle w:val="FootnoteText"/>
        <w:jc w:val="both"/>
      </w:pPr>
      <w:r>
        <w:rPr>
          <w:rStyle w:val="FootnoteReference"/>
        </w:rPr>
        <w:footnoteRef/>
      </w:r>
      <w:r>
        <w:t xml:space="preserve"> </w:t>
      </w:r>
      <w:r w:rsidRPr="00D04EB6">
        <w:t xml:space="preserve">If two agencies shared a FOIA office or officer, we only sent the request to the “parent” agency that hosted the FOIA office. This design choice resulted in our excluding all military commands (like Africa Command and Northern Command) and a few other </w:t>
      </w:r>
      <w:proofErr w:type="gramStart"/>
      <w:r w:rsidRPr="00D04EB6">
        <w:t>DoD</w:t>
      </w:r>
      <w:proofErr w:type="gramEnd"/>
      <w:r w:rsidRPr="00D04EB6">
        <w:t xml:space="preserve"> sub-agencies, as well as a few other agencies in similar situations.  For the complete list of cases and those we excluded, see Appendix A.</w:t>
      </w:r>
      <w:r>
        <w:t xml:space="preserve"> This list of agencies and addresses came from the Department of Justice website (</w:t>
      </w:r>
      <w:hyperlink r:id="rId3" w:history="1">
        <w:r w:rsidRPr="005B7596">
          <w:rPr>
            <w:rStyle w:val="Hyperlink"/>
          </w:rPr>
          <w:t>www.justice.gov</w:t>
        </w:r>
      </w:hyperlink>
      <w:r>
        <w:t>). This information is now available on the federal government’s Freedom of Information Act website (</w:t>
      </w:r>
      <w:hyperlink r:id="rId4" w:history="1">
        <w:r>
          <w:rPr>
            <w:rStyle w:val="Hyperlink"/>
          </w:rPr>
          <w:t>http://www.foia.gov/report-makerequest.html</w:t>
        </w:r>
      </w:hyperlink>
      <w:r>
        <w:t>, last accessed June 29, 2011). The current information on this website provides more information about bureau-specific FOIA offices that was not available at the time of our requesting.</w:t>
      </w:r>
    </w:p>
  </w:footnote>
  <w:footnote w:id="3">
    <w:p w14:paraId="691C8D62" w14:textId="77777777" w:rsidR="00BE5941" w:rsidRPr="00AA4765" w:rsidRDefault="00BE5941" w:rsidP="00390137">
      <w:pPr>
        <w:pStyle w:val="NormalWeb"/>
        <w:spacing w:before="0" w:beforeAutospacing="0" w:after="0" w:afterAutospacing="0"/>
        <w:jc w:val="both"/>
        <w:rPr>
          <w:color w:val="000000"/>
          <w:sz w:val="20"/>
          <w:szCs w:val="20"/>
        </w:rPr>
      </w:pPr>
      <w:r w:rsidRPr="00AA4765">
        <w:rPr>
          <w:rStyle w:val="FootnoteReference"/>
          <w:sz w:val="20"/>
          <w:szCs w:val="20"/>
        </w:rPr>
        <w:footnoteRef/>
      </w:r>
      <w:r w:rsidRPr="00AA4765">
        <w:rPr>
          <w:sz w:val="20"/>
          <w:szCs w:val="20"/>
        </w:rPr>
        <w:t xml:space="preserve"> </w:t>
      </w:r>
      <w:r w:rsidRPr="00AA4765">
        <w:rPr>
          <w:color w:val="000000"/>
          <w:sz w:val="20"/>
          <w:szCs w:val="20"/>
        </w:rPr>
        <w:t>This list provided by the Department of Commerce (</w:t>
      </w:r>
      <w:hyperlink r:id="rId5" w:history="1">
        <w:r w:rsidRPr="00AA4765">
          <w:rPr>
            <w:rStyle w:val="Hyperlink"/>
            <w:sz w:val="20"/>
            <w:szCs w:val="20"/>
          </w:rPr>
          <w:t>http://www.osec.doc.gov/omo/foia/exemptions.htm</w:t>
        </w:r>
      </w:hyperlink>
      <w:r w:rsidRPr="00AA4765">
        <w:rPr>
          <w:sz w:val="20"/>
          <w:szCs w:val="20"/>
        </w:rPr>
        <w:t>, last accessed June 12, 2011).</w:t>
      </w:r>
    </w:p>
  </w:footnote>
  <w:footnote w:id="4">
    <w:p w14:paraId="0768D39A" w14:textId="77777777" w:rsidR="00BE5941" w:rsidRDefault="00BE5941" w:rsidP="00390137">
      <w:pPr>
        <w:pStyle w:val="FootnoteText"/>
        <w:jc w:val="both"/>
      </w:pPr>
      <w:r>
        <w:rPr>
          <w:rStyle w:val="FootnoteReference"/>
        </w:rPr>
        <w:footnoteRef/>
      </w:r>
      <w:r>
        <w:t xml:space="preserve"> Source: </w:t>
      </w:r>
      <w:hyperlink r:id="rId6" w:history="1">
        <w:r>
          <w:rPr>
            <w:rStyle w:val="Hyperlink"/>
          </w:rPr>
          <w:t>http://www.foia.gov/glossary.html</w:t>
        </w:r>
      </w:hyperlink>
      <w:r>
        <w:t>, last accessed June 29, 2011.</w:t>
      </w:r>
    </w:p>
  </w:footnote>
  <w:footnote w:id="5">
    <w:p w14:paraId="5B8A7D1B" w14:textId="77777777" w:rsidR="00BE5941" w:rsidRDefault="00BE5941" w:rsidP="00390137">
      <w:pPr>
        <w:pStyle w:val="FootnoteText"/>
        <w:jc w:val="both"/>
      </w:pPr>
      <w:r>
        <w:rPr>
          <w:rStyle w:val="FootnoteReference"/>
        </w:rPr>
        <w:footnoteRef/>
      </w:r>
      <w:r>
        <w:t xml:space="preserve"> Source: </w:t>
      </w:r>
      <w:hyperlink r:id="rId7" w:history="1">
        <w:r>
          <w:rPr>
            <w:rStyle w:val="Hyperlink"/>
          </w:rPr>
          <w:t>http://www.foia.gov/glossary.html</w:t>
        </w:r>
      </w:hyperlink>
      <w:r>
        <w:t>, last accessed June 29, 2011.</w:t>
      </w:r>
    </w:p>
  </w:footnote>
  <w:footnote w:id="6">
    <w:p w14:paraId="6AEE5D8E" w14:textId="77777777" w:rsidR="00BE5941" w:rsidRDefault="00BE5941" w:rsidP="00390137">
      <w:pPr>
        <w:pStyle w:val="FootnoteText"/>
        <w:jc w:val="both"/>
      </w:pPr>
      <w:r>
        <w:rPr>
          <w:rStyle w:val="FootnoteReference"/>
        </w:rPr>
        <w:footnoteRef/>
      </w:r>
      <w:r>
        <w:t xml:space="preserve"> This is determined by the fact that the </w:t>
      </w:r>
      <w:r w:rsidRPr="006F54A6">
        <w:rPr>
          <w:i/>
        </w:rPr>
        <w:t>Federal Yellow Book</w:t>
      </w:r>
      <w:r>
        <w:t xml:space="preserve"> does not indicate another appointment authority in his individual listing. </w:t>
      </w:r>
    </w:p>
  </w:footnote>
  <w:footnote w:id="7">
    <w:p w14:paraId="55880E3D" w14:textId="77777777" w:rsidR="00BE5941" w:rsidRDefault="00BE5941" w:rsidP="00390137">
      <w:pPr>
        <w:pStyle w:val="FootnoteText"/>
        <w:jc w:val="both"/>
      </w:pPr>
      <w:r>
        <w:rPr>
          <w:rStyle w:val="FootnoteReference"/>
        </w:rPr>
        <w:footnoteRef/>
      </w:r>
      <w:r>
        <w:t xml:space="preserve"> This is determined by the fact that the </w:t>
      </w:r>
      <w:r w:rsidRPr="006F54A6">
        <w:rPr>
          <w:i/>
        </w:rPr>
        <w:t>Federal Yellow Book</w:t>
      </w:r>
      <w:r>
        <w:t xml:space="preserve"> does not indicate another appointment authority in his individual listing. </w:t>
      </w:r>
    </w:p>
  </w:footnote>
  <w:footnote w:id="8">
    <w:p w14:paraId="5F972B86" w14:textId="77777777" w:rsidR="00BE5941" w:rsidRDefault="00BE5941" w:rsidP="00390137">
      <w:pPr>
        <w:pStyle w:val="FootnoteText"/>
        <w:jc w:val="both"/>
      </w:pPr>
      <w:r>
        <w:rPr>
          <w:rStyle w:val="FootnoteReference"/>
        </w:rPr>
        <w:footnoteRef/>
      </w:r>
      <w:r>
        <w:t xml:space="preserve"> Source: </w:t>
      </w:r>
      <w:hyperlink r:id="rId8" w:history="1">
        <w:r>
          <w:rPr>
            <w:rStyle w:val="Hyperlink"/>
          </w:rPr>
          <w:t>http://www.foia.gov/glossary.html</w:t>
        </w:r>
      </w:hyperlink>
      <w:r>
        <w:t>, last accessed June 29, 2011.</w:t>
      </w:r>
    </w:p>
  </w:footnote>
  <w:footnote w:id="9">
    <w:p w14:paraId="456DAD10" w14:textId="77777777" w:rsidR="00BE5941" w:rsidRDefault="00BE5941" w:rsidP="00390137">
      <w:pPr>
        <w:pStyle w:val="FootnoteText"/>
        <w:jc w:val="both"/>
      </w:pPr>
      <w:r>
        <w:rPr>
          <w:rStyle w:val="FootnoteReference"/>
        </w:rPr>
        <w:footnoteRef/>
      </w:r>
      <w:r>
        <w:t xml:space="preserve"> This is determined by the fact that the </w:t>
      </w:r>
      <w:r w:rsidRPr="006F54A6">
        <w:rPr>
          <w:i/>
        </w:rPr>
        <w:t>Federal Yellow Book</w:t>
      </w:r>
      <w:r>
        <w:t xml:space="preserve"> does not indicate another appointment authority in his individual listing.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515"/>
    <w:multiLevelType w:val="hybridMultilevel"/>
    <w:tmpl w:val="5FD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1F66"/>
    <w:multiLevelType w:val="hybridMultilevel"/>
    <w:tmpl w:val="731E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174F6"/>
    <w:multiLevelType w:val="hybridMultilevel"/>
    <w:tmpl w:val="9FCA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57686"/>
    <w:multiLevelType w:val="hybridMultilevel"/>
    <w:tmpl w:val="9C88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3325B"/>
    <w:multiLevelType w:val="hybridMultilevel"/>
    <w:tmpl w:val="8878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4DB"/>
    <w:multiLevelType w:val="hybridMultilevel"/>
    <w:tmpl w:val="597A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72A9"/>
    <w:multiLevelType w:val="hybridMultilevel"/>
    <w:tmpl w:val="05C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411E5"/>
    <w:multiLevelType w:val="hybridMultilevel"/>
    <w:tmpl w:val="5210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E6"/>
    <w:rsid w:val="000260E6"/>
    <w:rsid w:val="00053B92"/>
    <w:rsid w:val="0007196E"/>
    <w:rsid w:val="000C7D41"/>
    <w:rsid w:val="000E0451"/>
    <w:rsid w:val="000F2E2B"/>
    <w:rsid w:val="000F39FD"/>
    <w:rsid w:val="001650CB"/>
    <w:rsid w:val="001951B3"/>
    <w:rsid w:val="001A0A2E"/>
    <w:rsid w:val="001C4D5F"/>
    <w:rsid w:val="001D4919"/>
    <w:rsid w:val="001E048B"/>
    <w:rsid w:val="001E5DAC"/>
    <w:rsid w:val="00261FCD"/>
    <w:rsid w:val="00266927"/>
    <w:rsid w:val="002C1F6D"/>
    <w:rsid w:val="002C3EB1"/>
    <w:rsid w:val="002D7518"/>
    <w:rsid w:val="002E076C"/>
    <w:rsid w:val="002E076D"/>
    <w:rsid w:val="00390137"/>
    <w:rsid w:val="003A223D"/>
    <w:rsid w:val="003B1A1A"/>
    <w:rsid w:val="003D2C77"/>
    <w:rsid w:val="003F127C"/>
    <w:rsid w:val="003F7C8D"/>
    <w:rsid w:val="004618AE"/>
    <w:rsid w:val="00465E62"/>
    <w:rsid w:val="00471395"/>
    <w:rsid w:val="0055435F"/>
    <w:rsid w:val="00574F14"/>
    <w:rsid w:val="005C2200"/>
    <w:rsid w:val="005D0134"/>
    <w:rsid w:val="005D1ED6"/>
    <w:rsid w:val="00684419"/>
    <w:rsid w:val="006B4BA7"/>
    <w:rsid w:val="006F54A6"/>
    <w:rsid w:val="00730C7E"/>
    <w:rsid w:val="007A2B6D"/>
    <w:rsid w:val="007C2FCB"/>
    <w:rsid w:val="007D4A84"/>
    <w:rsid w:val="007D4E53"/>
    <w:rsid w:val="007F670E"/>
    <w:rsid w:val="00860141"/>
    <w:rsid w:val="00894C07"/>
    <w:rsid w:val="008D45E6"/>
    <w:rsid w:val="009075E9"/>
    <w:rsid w:val="00914627"/>
    <w:rsid w:val="0093768E"/>
    <w:rsid w:val="00945AE3"/>
    <w:rsid w:val="00964B95"/>
    <w:rsid w:val="00990277"/>
    <w:rsid w:val="009C72EF"/>
    <w:rsid w:val="009D386E"/>
    <w:rsid w:val="009F6FEE"/>
    <w:rsid w:val="00A41B6D"/>
    <w:rsid w:val="00A4782F"/>
    <w:rsid w:val="00AD5C1D"/>
    <w:rsid w:val="00AE0858"/>
    <w:rsid w:val="00B210FA"/>
    <w:rsid w:val="00B55260"/>
    <w:rsid w:val="00B84954"/>
    <w:rsid w:val="00B9740C"/>
    <w:rsid w:val="00BE5941"/>
    <w:rsid w:val="00BF4365"/>
    <w:rsid w:val="00C03E2B"/>
    <w:rsid w:val="00C1003B"/>
    <w:rsid w:val="00C65A81"/>
    <w:rsid w:val="00C77F53"/>
    <w:rsid w:val="00CA077C"/>
    <w:rsid w:val="00CC2FF4"/>
    <w:rsid w:val="00D2699F"/>
    <w:rsid w:val="00D52C8C"/>
    <w:rsid w:val="00D866E1"/>
    <w:rsid w:val="00DC4538"/>
    <w:rsid w:val="00E03DD2"/>
    <w:rsid w:val="00E103B8"/>
    <w:rsid w:val="00E93268"/>
    <w:rsid w:val="00EC6140"/>
    <w:rsid w:val="00EE7D76"/>
    <w:rsid w:val="00F67F2D"/>
    <w:rsid w:val="00F9263F"/>
    <w:rsid w:val="00FA1349"/>
    <w:rsid w:val="00FB4375"/>
    <w:rsid w:val="00FE781D"/>
    <w:rsid w:val="00FF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DF753"/>
  <w15:docId w15:val="{B46DAF3C-D68F-4BAA-8723-6C06D262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D45E6"/>
    <w:rPr>
      <w:vertAlign w:val="superscript"/>
    </w:rPr>
  </w:style>
  <w:style w:type="paragraph" w:styleId="NormalWeb">
    <w:name w:val="Normal (Web)"/>
    <w:basedOn w:val="Normal"/>
    <w:uiPriority w:val="99"/>
    <w:unhideWhenUsed/>
    <w:rsid w:val="008D45E6"/>
    <w:pPr>
      <w:spacing w:before="100" w:beforeAutospacing="1" w:after="100" w:afterAutospacing="1"/>
    </w:pPr>
    <w:rPr>
      <w:rFonts w:eastAsiaTheme="minorHAnsi"/>
    </w:rPr>
  </w:style>
  <w:style w:type="character" w:styleId="Hyperlink">
    <w:name w:val="Hyperlink"/>
    <w:basedOn w:val="DefaultParagraphFont"/>
    <w:uiPriority w:val="99"/>
    <w:unhideWhenUsed/>
    <w:rsid w:val="008D45E6"/>
    <w:rPr>
      <w:color w:val="0000FF"/>
      <w:u w:val="single"/>
    </w:rPr>
  </w:style>
  <w:style w:type="character" w:customStyle="1" w:styleId="apple-converted-space">
    <w:name w:val="apple-converted-space"/>
    <w:basedOn w:val="DefaultParagraphFont"/>
    <w:rsid w:val="008D45E6"/>
  </w:style>
  <w:style w:type="paragraph" w:styleId="ListParagraph">
    <w:name w:val="List Paragraph"/>
    <w:basedOn w:val="Normal"/>
    <w:uiPriority w:val="34"/>
    <w:qFormat/>
    <w:rsid w:val="00B9740C"/>
    <w:pPr>
      <w:ind w:left="720"/>
      <w:contextualSpacing/>
    </w:pPr>
  </w:style>
  <w:style w:type="paragraph" w:styleId="FootnoteText">
    <w:name w:val="footnote text"/>
    <w:basedOn w:val="Normal"/>
    <w:link w:val="FootnoteTextChar"/>
    <w:uiPriority w:val="99"/>
    <w:unhideWhenUsed/>
    <w:rsid w:val="00C03E2B"/>
    <w:rPr>
      <w:sz w:val="20"/>
      <w:szCs w:val="20"/>
    </w:rPr>
  </w:style>
  <w:style w:type="character" w:customStyle="1" w:styleId="FootnoteTextChar">
    <w:name w:val="Footnote Text Char"/>
    <w:basedOn w:val="DefaultParagraphFont"/>
    <w:link w:val="FootnoteText"/>
    <w:uiPriority w:val="99"/>
    <w:rsid w:val="00C03E2B"/>
  </w:style>
  <w:style w:type="paragraph" w:styleId="Footer">
    <w:name w:val="footer"/>
    <w:basedOn w:val="Normal"/>
    <w:link w:val="FooterChar"/>
    <w:uiPriority w:val="99"/>
    <w:rsid w:val="00C03E2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03E2B"/>
    <w:rPr>
      <w:rFonts w:asciiTheme="minorHAnsi" w:eastAsiaTheme="minorHAnsi" w:hAnsiTheme="minorHAnsi" w:cstheme="minorBidi"/>
      <w:sz w:val="24"/>
      <w:szCs w:val="24"/>
    </w:rPr>
  </w:style>
  <w:style w:type="character" w:customStyle="1" w:styleId="apple-style-span">
    <w:name w:val="apple-style-span"/>
    <w:basedOn w:val="DefaultParagraphFont"/>
    <w:rsid w:val="00AE0858"/>
  </w:style>
  <w:style w:type="paragraph" w:styleId="BalloonText">
    <w:name w:val="Balloon Text"/>
    <w:basedOn w:val="Normal"/>
    <w:link w:val="BalloonTextChar"/>
    <w:uiPriority w:val="99"/>
    <w:semiHidden/>
    <w:unhideWhenUsed/>
    <w:rsid w:val="00266927"/>
    <w:rPr>
      <w:rFonts w:ascii="Tahoma" w:hAnsi="Tahoma" w:cs="Tahoma"/>
      <w:sz w:val="16"/>
      <w:szCs w:val="16"/>
    </w:rPr>
  </w:style>
  <w:style w:type="character" w:customStyle="1" w:styleId="BalloonTextChar">
    <w:name w:val="Balloon Text Char"/>
    <w:basedOn w:val="DefaultParagraphFont"/>
    <w:link w:val="BalloonText"/>
    <w:uiPriority w:val="99"/>
    <w:semiHidden/>
    <w:rsid w:val="00266927"/>
    <w:rPr>
      <w:rFonts w:ascii="Tahoma" w:hAnsi="Tahoma" w:cs="Tahoma"/>
      <w:sz w:val="16"/>
      <w:szCs w:val="16"/>
    </w:rPr>
  </w:style>
  <w:style w:type="character" w:styleId="FollowedHyperlink">
    <w:name w:val="FollowedHyperlink"/>
    <w:basedOn w:val="DefaultParagraphFont"/>
    <w:uiPriority w:val="99"/>
    <w:semiHidden/>
    <w:unhideWhenUsed/>
    <w:rsid w:val="00FE7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30390">
      <w:bodyDiv w:val="1"/>
      <w:marLeft w:val="0"/>
      <w:marRight w:val="0"/>
      <w:marTop w:val="0"/>
      <w:marBottom w:val="0"/>
      <w:divBdr>
        <w:top w:val="none" w:sz="0" w:space="0" w:color="auto"/>
        <w:left w:val="none" w:sz="0" w:space="0" w:color="auto"/>
        <w:bottom w:val="none" w:sz="0" w:space="0" w:color="auto"/>
        <w:right w:val="none" w:sz="0" w:space="0" w:color="auto"/>
      </w:divBdr>
    </w:div>
    <w:div w:id="20859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hyperlink" Target="http://www.fedscope.opm.gov/"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hyperlink" Target="http://www.leadershipdirectories.com/" TargetMode="External"/><Relationship Id="rId7" Type="http://schemas.openxmlformats.org/officeDocument/2006/relationships/image" Target="media/image1.png"/><Relationship Id="rId12" Type="http://schemas.openxmlformats.org/officeDocument/2006/relationships/hyperlink" Target="javascript:SwitchToLNViewNetwork2(469117)" TargetMode="External"/><Relationship Id="rId17" Type="http://schemas.openxmlformats.org/officeDocument/2006/relationships/hyperlink" Target="http://www.google.com/maps?f=q&amp;source=s_q&amp;hl=en&amp;geocode=&amp;q=1200+K+Street,+NW,+Washington,+DC+20005" TargetMode="External"/><Relationship Id="rId25" Type="http://schemas.openxmlformats.org/officeDocument/2006/relationships/hyperlink" Target="http://www.gpoaccess.gov/plumbook/2008/index.html" TargetMode="External"/><Relationship Id="rId33" Type="http://schemas.openxmlformats.org/officeDocument/2006/relationships/hyperlink" Target="mailto:fitzgerald.bill@pbgc.go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ogle.be/search?hl=en&amp;q=E%2E+Fitzgerald+Pension+Benefit+Guaranty+Corporation" TargetMode="External"/><Relationship Id="rId20" Type="http://schemas.openxmlformats.org/officeDocument/2006/relationships/hyperlink" Target="javascript:OpenWndOrgDocument2(-1,%2019,%20155593%20,201,%20664957,%200,%200%20)" TargetMode="External"/><Relationship Id="rId29" Type="http://schemas.openxmlformats.org/officeDocument/2006/relationships/hyperlink" Target="http://www.fedscope.opm.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9.emf"/><Relationship Id="rId32" Type="http://schemas.openxmlformats.org/officeDocument/2006/relationships/hyperlink" Target="mailto:fitzgerald.bill@pbgc.gov" TargetMode="External"/><Relationship Id="rId37" Type="http://schemas.openxmlformats.org/officeDocument/2006/relationships/hyperlink" Target="mailto:fitzgerald.bill@pbgc.gov"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8.emf"/><Relationship Id="rId28" Type="http://schemas.openxmlformats.org/officeDocument/2006/relationships/hyperlink" Target="http://www.fedscope.opm.gov/" TargetMode="External"/><Relationship Id="rId36" Type="http://schemas.openxmlformats.org/officeDocument/2006/relationships/hyperlink" Target="mailto:fitzgerald.bill@pbgc.gov" TargetMode="External"/><Relationship Id="rId10" Type="http://schemas.openxmlformats.org/officeDocument/2006/relationships/hyperlink" Target="javascript:ExportVCF(469117)" TargetMode="External"/><Relationship Id="rId19" Type="http://schemas.openxmlformats.org/officeDocument/2006/relationships/hyperlink" Target="mailto:fitzgerald.bill@pbgc.gov" TargetMode="External"/><Relationship Id="rId31" Type="http://schemas.openxmlformats.org/officeDocument/2006/relationships/hyperlink" Target="http://www.google.be/search?hl=en&amp;q=E%2E+Fitzgerald+Pension+Benefit+Guaranty+Corporation" TargetMode="External"/><Relationship Id="rId4" Type="http://schemas.openxmlformats.org/officeDocument/2006/relationships/webSettings" Target="webSettings.xml"/><Relationship Id="rId9" Type="http://schemas.openxmlformats.org/officeDocument/2006/relationships/hyperlink" Target="http://www.leadershipdirectories.com/" TargetMode="External"/><Relationship Id="rId14" Type="http://schemas.openxmlformats.org/officeDocument/2006/relationships/hyperlink" Target="http://www.google.be/search?hl=en&amp;q=E.+Fitzgerald+Pension+Benefit+Guaranty+Corporation" TargetMode="External"/><Relationship Id="rId22" Type="http://schemas.openxmlformats.org/officeDocument/2006/relationships/hyperlink" Target="mailto:fitzgerald.bill@pbgc.gov" TargetMode="External"/><Relationship Id="rId27" Type="http://schemas.openxmlformats.org/officeDocument/2006/relationships/hyperlink" Target="http://www.fedscope.opm.gov/" TargetMode="External"/><Relationship Id="rId30" Type="http://schemas.openxmlformats.org/officeDocument/2006/relationships/hyperlink" Target="http://www.leadershipdirectories.com/" TargetMode="External"/><Relationship Id="rId35" Type="http://schemas.openxmlformats.org/officeDocument/2006/relationships/hyperlink" Target="http://www.google.be/search?hl=en&amp;q=E%2E+Fitzgerald+Pension+Benefit+Guaranty+Corpor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oia.gov/glossary.html" TargetMode="External"/><Relationship Id="rId3" Type="http://schemas.openxmlformats.org/officeDocument/2006/relationships/hyperlink" Target="http://www.justice.gov" TargetMode="External"/><Relationship Id="rId7" Type="http://schemas.openxmlformats.org/officeDocument/2006/relationships/hyperlink" Target="http://www.foia.gov/glossary.html" TargetMode="External"/><Relationship Id="rId2" Type="http://schemas.openxmlformats.org/officeDocument/2006/relationships/hyperlink" Target="http://www.gpoaccess.gov/plumbook/2008/index.html" TargetMode="External"/><Relationship Id="rId1" Type="http://schemas.openxmlformats.org/officeDocument/2006/relationships/hyperlink" Target="http://www.leadershipdirectories.com/" TargetMode="External"/><Relationship Id="rId6" Type="http://schemas.openxmlformats.org/officeDocument/2006/relationships/hyperlink" Target="http://www.foia.gov/glossary.html" TargetMode="External"/><Relationship Id="rId5" Type="http://schemas.openxmlformats.org/officeDocument/2006/relationships/hyperlink" Target="http://www.osec.doc.gov/omo/foia/exemptions.htm" TargetMode="External"/><Relationship Id="rId4" Type="http://schemas.openxmlformats.org/officeDocument/2006/relationships/hyperlink" Target="http://www.foia.gov/report-makerequ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29</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Lewis, David Eric</cp:lastModifiedBy>
  <cp:revision>16</cp:revision>
  <dcterms:created xsi:type="dcterms:W3CDTF">2018-07-09T19:17:00Z</dcterms:created>
  <dcterms:modified xsi:type="dcterms:W3CDTF">2018-07-10T21:37:00Z</dcterms:modified>
</cp:coreProperties>
</file>