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CE906" w14:textId="77777777" w:rsidR="001B36EA" w:rsidRPr="009D4235" w:rsidRDefault="001B36EA" w:rsidP="00D526FD">
      <w:pPr>
        <w:spacing w:after="0"/>
        <w:contextualSpacing/>
        <w:rPr>
          <w:rFonts w:ascii="Times New Roman" w:hAnsi="Times New Roman"/>
          <w:sz w:val="24"/>
          <w:szCs w:val="24"/>
        </w:rPr>
      </w:pPr>
    </w:p>
    <w:p w14:paraId="4DD4598E" w14:textId="77777777" w:rsidR="001B36EA" w:rsidRPr="009D4235" w:rsidRDefault="001B36EA" w:rsidP="00D526FD">
      <w:pPr>
        <w:spacing w:after="0"/>
        <w:contextualSpacing/>
        <w:rPr>
          <w:rFonts w:ascii="Times New Roman" w:hAnsi="Times New Roman"/>
          <w:sz w:val="24"/>
          <w:szCs w:val="24"/>
        </w:rPr>
      </w:pPr>
    </w:p>
    <w:p w14:paraId="667C7646" w14:textId="77777777" w:rsidR="001B36EA" w:rsidRPr="009D4235" w:rsidRDefault="001B36EA" w:rsidP="00D526FD">
      <w:pPr>
        <w:spacing w:after="0"/>
        <w:contextualSpacing/>
        <w:rPr>
          <w:rFonts w:ascii="Times New Roman" w:hAnsi="Times New Roman"/>
          <w:sz w:val="24"/>
          <w:szCs w:val="24"/>
        </w:rPr>
      </w:pPr>
    </w:p>
    <w:p w14:paraId="4FD24587" w14:textId="77777777" w:rsidR="001B36EA" w:rsidRPr="00AC453D" w:rsidRDefault="001B36EA" w:rsidP="00D526FD">
      <w:pPr>
        <w:spacing w:after="0"/>
        <w:contextualSpacing/>
        <w:jc w:val="center"/>
        <w:rPr>
          <w:rFonts w:ascii="Times New Roman" w:hAnsi="Times New Roman"/>
          <w:b/>
          <w:sz w:val="24"/>
          <w:szCs w:val="24"/>
        </w:rPr>
      </w:pPr>
      <w:bookmarkStart w:id="0" w:name="_GoBack"/>
      <w:bookmarkEnd w:id="0"/>
      <w:r>
        <w:rPr>
          <w:rFonts w:ascii="Times New Roman" w:hAnsi="Times New Roman"/>
          <w:b/>
          <w:sz w:val="24"/>
          <w:szCs w:val="24"/>
        </w:rPr>
        <w:t>Approaches to y</w:t>
      </w:r>
      <w:r w:rsidRPr="00AC453D">
        <w:rPr>
          <w:rFonts w:ascii="Times New Roman" w:hAnsi="Times New Roman"/>
          <w:b/>
          <w:sz w:val="24"/>
          <w:szCs w:val="24"/>
        </w:rPr>
        <w:t>outh violence prevention</w:t>
      </w:r>
      <w:r>
        <w:rPr>
          <w:rFonts w:ascii="Times New Roman" w:hAnsi="Times New Roman"/>
          <w:b/>
          <w:sz w:val="24"/>
          <w:szCs w:val="24"/>
        </w:rPr>
        <w:t>: Organizational and coalition strategies</w:t>
      </w:r>
    </w:p>
    <w:p w14:paraId="50C22DAD" w14:textId="77777777" w:rsidR="001B36EA" w:rsidRPr="009D4235" w:rsidRDefault="001B36EA" w:rsidP="00D526FD">
      <w:pPr>
        <w:spacing w:after="0"/>
        <w:contextualSpacing/>
        <w:rPr>
          <w:rFonts w:ascii="Times New Roman" w:hAnsi="Times New Roman"/>
          <w:sz w:val="24"/>
          <w:szCs w:val="24"/>
        </w:rPr>
      </w:pPr>
    </w:p>
    <w:p w14:paraId="445F1353" w14:textId="77777777" w:rsidR="001B36EA" w:rsidRDefault="001B36EA" w:rsidP="00D526FD">
      <w:pPr>
        <w:spacing w:after="0"/>
        <w:contextualSpacing/>
        <w:jc w:val="center"/>
        <w:rPr>
          <w:rFonts w:ascii="Times New Roman" w:hAnsi="Times New Roman"/>
          <w:sz w:val="24"/>
          <w:szCs w:val="24"/>
        </w:rPr>
      </w:pPr>
      <w:r>
        <w:rPr>
          <w:rFonts w:ascii="Times New Roman" w:hAnsi="Times New Roman"/>
          <w:sz w:val="24"/>
          <w:szCs w:val="24"/>
        </w:rPr>
        <w:t>Douglas D. Perkins</w:t>
      </w:r>
      <w:r w:rsidRPr="00AA12D3">
        <w:rPr>
          <w:vertAlign w:val="superscript"/>
        </w:rPr>
        <w:t>1</w:t>
      </w:r>
    </w:p>
    <w:p w14:paraId="0E7529F4" w14:textId="77777777" w:rsidR="001B36EA" w:rsidRDefault="001B36EA" w:rsidP="00D526FD">
      <w:pPr>
        <w:spacing w:after="0"/>
        <w:contextualSpacing/>
        <w:jc w:val="center"/>
        <w:rPr>
          <w:rFonts w:ascii="Times New Roman" w:hAnsi="Times New Roman"/>
          <w:sz w:val="24"/>
          <w:szCs w:val="24"/>
        </w:rPr>
      </w:pPr>
      <w:r>
        <w:rPr>
          <w:rFonts w:ascii="Times New Roman" w:hAnsi="Times New Roman"/>
          <w:sz w:val="24"/>
          <w:szCs w:val="24"/>
        </w:rPr>
        <w:t>Nikolay Mihaylov</w:t>
      </w:r>
      <w:r w:rsidRPr="008D5A69">
        <w:rPr>
          <w:bCs/>
          <w:vertAlign w:val="superscript"/>
        </w:rPr>
        <w:t>2</w:t>
      </w:r>
    </w:p>
    <w:p w14:paraId="3FD71E1A" w14:textId="77777777" w:rsidR="001B36EA" w:rsidRDefault="001B36EA" w:rsidP="00D526FD">
      <w:pPr>
        <w:spacing w:after="0"/>
        <w:contextualSpacing/>
        <w:jc w:val="center"/>
        <w:rPr>
          <w:rFonts w:ascii="Times New Roman" w:hAnsi="Times New Roman"/>
          <w:sz w:val="24"/>
          <w:szCs w:val="24"/>
        </w:rPr>
      </w:pPr>
      <w:r>
        <w:rPr>
          <w:rFonts w:ascii="Times New Roman" w:hAnsi="Times New Roman"/>
          <w:sz w:val="24"/>
          <w:szCs w:val="24"/>
        </w:rPr>
        <w:t>Kimberly D. Bess</w:t>
      </w:r>
      <w:r w:rsidRPr="00AA12D3">
        <w:rPr>
          <w:vertAlign w:val="superscript"/>
        </w:rPr>
        <w:t>1</w:t>
      </w:r>
    </w:p>
    <w:p w14:paraId="3AAAA895" w14:textId="77777777" w:rsidR="001B36EA" w:rsidRPr="009D4235" w:rsidRDefault="001B36EA" w:rsidP="00D526FD">
      <w:pPr>
        <w:spacing w:after="0"/>
        <w:contextualSpacing/>
        <w:rPr>
          <w:rFonts w:ascii="Times New Roman" w:hAnsi="Times New Roman"/>
          <w:sz w:val="24"/>
          <w:szCs w:val="24"/>
        </w:rPr>
      </w:pPr>
    </w:p>
    <w:p w14:paraId="40122D80" w14:textId="77777777" w:rsidR="001B36EA" w:rsidRDefault="001B36EA" w:rsidP="00D526FD">
      <w:pPr>
        <w:spacing w:after="0"/>
        <w:contextualSpacing/>
        <w:jc w:val="center"/>
        <w:rPr>
          <w:rFonts w:ascii="Times New Roman" w:hAnsi="Times New Roman"/>
          <w:sz w:val="24"/>
          <w:szCs w:val="24"/>
        </w:rPr>
      </w:pPr>
      <w:r w:rsidRPr="00AA12D3">
        <w:rPr>
          <w:vertAlign w:val="superscript"/>
        </w:rPr>
        <w:t>1</w:t>
      </w:r>
      <w:r>
        <w:rPr>
          <w:vertAlign w:val="superscript"/>
        </w:rPr>
        <w:t xml:space="preserve"> </w:t>
      </w:r>
      <w:r>
        <w:rPr>
          <w:rFonts w:ascii="Times New Roman" w:hAnsi="Times New Roman"/>
          <w:sz w:val="24"/>
          <w:szCs w:val="24"/>
        </w:rPr>
        <w:t>Dept. of Human &amp; Organizational Development,</w:t>
      </w:r>
      <w:r w:rsidRPr="00FE225C">
        <w:rPr>
          <w:rFonts w:ascii="Times New Roman" w:hAnsi="Times New Roman"/>
          <w:sz w:val="24"/>
          <w:szCs w:val="24"/>
        </w:rPr>
        <w:t xml:space="preserve"> Peabody College</w:t>
      </w:r>
      <w:r>
        <w:rPr>
          <w:rFonts w:ascii="Times New Roman" w:hAnsi="Times New Roman"/>
          <w:sz w:val="24"/>
          <w:szCs w:val="24"/>
        </w:rPr>
        <w:t xml:space="preserve">, </w:t>
      </w:r>
      <w:r w:rsidRPr="009D4235">
        <w:rPr>
          <w:rFonts w:ascii="Times New Roman" w:hAnsi="Times New Roman"/>
          <w:sz w:val="24"/>
          <w:szCs w:val="24"/>
        </w:rPr>
        <w:t>Vanderbilt University</w:t>
      </w:r>
    </w:p>
    <w:p w14:paraId="14686B62" w14:textId="77777777" w:rsidR="001B36EA" w:rsidRPr="009D4235" w:rsidRDefault="001B36EA" w:rsidP="00D526FD">
      <w:pPr>
        <w:spacing w:after="0"/>
        <w:contextualSpacing/>
        <w:jc w:val="center"/>
        <w:rPr>
          <w:rFonts w:ascii="Times New Roman" w:hAnsi="Times New Roman"/>
          <w:sz w:val="24"/>
          <w:szCs w:val="24"/>
        </w:rPr>
      </w:pPr>
      <w:r w:rsidRPr="008D5A69">
        <w:rPr>
          <w:bCs/>
          <w:vertAlign w:val="superscript"/>
        </w:rPr>
        <w:t>2</w:t>
      </w:r>
      <w:r>
        <w:rPr>
          <w:bCs/>
          <w:vertAlign w:val="superscript"/>
        </w:rPr>
        <w:t xml:space="preserve"> </w:t>
      </w:r>
      <w:r w:rsidRPr="006E202E">
        <w:rPr>
          <w:rFonts w:ascii="Times New Roman" w:eastAsia="Calibri" w:hAnsi="Times New Roman"/>
          <w:sz w:val="24"/>
          <w:szCs w:val="24"/>
        </w:rPr>
        <w:t>Medical University Varna, Bulgaria</w:t>
      </w:r>
    </w:p>
    <w:p w14:paraId="04EC46F4" w14:textId="77777777" w:rsidR="001B36EA" w:rsidRDefault="001B36EA" w:rsidP="00D526FD">
      <w:pPr>
        <w:spacing w:after="0"/>
        <w:contextualSpacing/>
        <w:jc w:val="center"/>
        <w:rPr>
          <w:rFonts w:ascii="Times New Roman" w:hAnsi="Times New Roman"/>
          <w:sz w:val="24"/>
          <w:szCs w:val="24"/>
        </w:rPr>
      </w:pPr>
      <w:r>
        <w:rPr>
          <w:rFonts w:ascii="Times New Roman" w:hAnsi="Times New Roman"/>
          <w:sz w:val="24"/>
          <w:szCs w:val="24"/>
        </w:rPr>
        <w:t xml:space="preserve">This </w:t>
      </w:r>
      <w:r w:rsidRPr="00AC453D">
        <w:rPr>
          <w:rFonts w:ascii="Times New Roman" w:hAnsi="Times New Roman"/>
          <w:sz w:val="24"/>
          <w:szCs w:val="24"/>
        </w:rPr>
        <w:t xml:space="preserve">study was funded </w:t>
      </w:r>
      <w:r>
        <w:rPr>
          <w:rFonts w:ascii="Times New Roman" w:hAnsi="Times New Roman"/>
          <w:sz w:val="24"/>
          <w:szCs w:val="24"/>
        </w:rPr>
        <w:t xml:space="preserve">primarily </w:t>
      </w:r>
      <w:r w:rsidRPr="00AC453D">
        <w:rPr>
          <w:rFonts w:ascii="Times New Roman" w:hAnsi="Times New Roman"/>
          <w:sz w:val="24"/>
          <w:szCs w:val="24"/>
        </w:rPr>
        <w:t xml:space="preserve">by the </w:t>
      </w:r>
      <w:r>
        <w:rPr>
          <w:rFonts w:ascii="Times New Roman" w:hAnsi="Times New Roman"/>
          <w:sz w:val="24"/>
          <w:szCs w:val="24"/>
        </w:rPr>
        <w:t xml:space="preserve">UPACE grant </w:t>
      </w:r>
      <w:r w:rsidRPr="00AC453D">
        <w:rPr>
          <w:rFonts w:ascii="Times New Roman" w:hAnsi="Times New Roman"/>
          <w:sz w:val="24"/>
          <w:szCs w:val="24"/>
        </w:rPr>
        <w:t>NCIPC/USCDCP (5U49CE001022)</w:t>
      </w:r>
      <w:r>
        <w:rPr>
          <w:rFonts w:ascii="Times New Roman" w:hAnsi="Times New Roman"/>
          <w:sz w:val="24"/>
          <w:szCs w:val="24"/>
        </w:rPr>
        <w:t xml:space="preserve"> and </w:t>
      </w:r>
      <w:r w:rsidRPr="00727E0F">
        <w:rPr>
          <w:rFonts w:ascii="Times New Roman" w:hAnsi="Times New Roman"/>
          <w:sz w:val="24"/>
          <w:szCs w:val="24"/>
        </w:rPr>
        <w:t>in part by Vanderbilt CTSA gra</w:t>
      </w:r>
      <w:r>
        <w:rPr>
          <w:rFonts w:ascii="Times New Roman" w:hAnsi="Times New Roman"/>
          <w:sz w:val="24"/>
          <w:szCs w:val="24"/>
        </w:rPr>
        <w:t>nt from NCRR/NIH (UL1 RR024975)</w:t>
      </w:r>
      <w:r w:rsidRPr="00AC453D">
        <w:rPr>
          <w:rFonts w:ascii="Times New Roman" w:hAnsi="Times New Roman"/>
          <w:sz w:val="24"/>
          <w:szCs w:val="24"/>
        </w:rPr>
        <w:t>. The views expressed do not necessarily reflect the official policies of the USCDCP, DHHS or endorsement by the US Government.</w:t>
      </w:r>
      <w:r>
        <w:rPr>
          <w:rFonts w:ascii="Times New Roman" w:hAnsi="Times New Roman"/>
          <w:sz w:val="24"/>
          <w:szCs w:val="24"/>
        </w:rPr>
        <w:t xml:space="preserve"> The authors thank the NUPACE research staff at Meharry Medical College, the Nashville Community Coalition for Youth Safety, and the 99 participating organizations in the study.</w:t>
      </w:r>
    </w:p>
    <w:p w14:paraId="776AA287" w14:textId="77777777" w:rsidR="001B36EA" w:rsidRDefault="001B36EA" w:rsidP="00D526FD">
      <w:pPr>
        <w:spacing w:after="0"/>
      </w:pPr>
      <w:r>
        <w:rPr>
          <w:rFonts w:ascii="Times New Roman" w:hAnsi="Times New Roman"/>
          <w:sz w:val="24"/>
          <w:szCs w:val="24"/>
        </w:rPr>
        <w:t>Keywords: youth violence prevention, social network analysis, policy advocacy, human services organizational coalition</w:t>
      </w:r>
    </w:p>
    <w:p w14:paraId="28B7A239" w14:textId="77777777" w:rsidR="001B36EA" w:rsidRDefault="001B36EA">
      <w:pPr>
        <w:spacing w:after="0" w:line="240" w:lineRule="auto"/>
        <w:rPr>
          <w:rFonts w:ascii="Times New Roman" w:hAnsi="Times New Roman"/>
          <w:sz w:val="24"/>
          <w:szCs w:val="24"/>
        </w:rPr>
      </w:pPr>
      <w:r>
        <w:rPr>
          <w:rFonts w:ascii="Times New Roman" w:hAnsi="Times New Roman"/>
          <w:sz w:val="24"/>
          <w:szCs w:val="24"/>
        </w:rPr>
        <w:br w:type="page"/>
      </w:r>
    </w:p>
    <w:p w14:paraId="56AEBF86" w14:textId="0F28BBC1" w:rsidR="001B36EA" w:rsidRDefault="001B36EA" w:rsidP="003C412B">
      <w:pPr>
        <w:spacing w:after="0"/>
        <w:contextualSpacing/>
        <w:jc w:val="center"/>
        <w:rPr>
          <w:rFonts w:ascii="Times New Roman" w:hAnsi="Times New Roman"/>
          <w:sz w:val="24"/>
          <w:szCs w:val="24"/>
        </w:rPr>
      </w:pPr>
      <w:r>
        <w:rPr>
          <w:rFonts w:ascii="Times New Roman" w:hAnsi="Times New Roman"/>
          <w:sz w:val="24"/>
          <w:szCs w:val="24"/>
        </w:rPr>
        <w:lastRenderedPageBreak/>
        <w:t>ABSTRACT</w:t>
      </w:r>
    </w:p>
    <w:p w14:paraId="08F66BAC" w14:textId="77777777" w:rsidR="001B36EA" w:rsidRDefault="001B36EA" w:rsidP="003C412B">
      <w:r>
        <w:rPr>
          <w:rFonts w:ascii="Times New Roman" w:hAnsi="Times New Roman"/>
          <w:sz w:val="24"/>
        </w:rPr>
        <w:t>Youth violence is a major public health problem in the United States. This mixed-method study identifies espoused intervention orientations and actual youth violence prevention (YVP) practices over a five-year period by 99 public and nonprofit organizations in one city, analyzing qualitative</w:t>
      </w:r>
      <w:r w:rsidRPr="00147B9D">
        <w:rPr>
          <w:rFonts w:ascii="Times New Roman" w:hAnsi="Times New Roman"/>
          <w:sz w:val="24"/>
        </w:rPr>
        <w:t xml:space="preserve"> </w:t>
      </w:r>
      <w:r>
        <w:rPr>
          <w:rFonts w:ascii="Times New Roman" w:hAnsi="Times New Roman"/>
          <w:sz w:val="24"/>
        </w:rPr>
        <w:t xml:space="preserve">and quantitative data from annual in-depth key informant interviews. Also used are participation data from a local YVP coalition and network data on organizational collaboration among both participants and nonparticipants of the coalition. The number of different </w:t>
      </w:r>
      <w:r w:rsidRPr="00C575C2">
        <w:rPr>
          <w:rFonts w:ascii="Times New Roman" w:hAnsi="Times New Roman"/>
          <w:sz w:val="24"/>
        </w:rPr>
        <w:t xml:space="preserve">YVP </w:t>
      </w:r>
      <w:r>
        <w:rPr>
          <w:rFonts w:ascii="Times New Roman" w:hAnsi="Times New Roman"/>
          <w:sz w:val="24"/>
        </w:rPr>
        <w:t xml:space="preserve">strategies </w:t>
      </w:r>
      <w:r w:rsidRPr="00C575C2">
        <w:rPr>
          <w:rFonts w:ascii="Times New Roman" w:hAnsi="Times New Roman"/>
          <w:sz w:val="24"/>
        </w:rPr>
        <w:t xml:space="preserve">implemented </w:t>
      </w:r>
      <w:r>
        <w:rPr>
          <w:rFonts w:ascii="Times New Roman" w:hAnsi="Times New Roman"/>
          <w:sz w:val="24"/>
        </w:rPr>
        <w:t>by coalition participants and nonparticipants increased</w:t>
      </w:r>
      <w:r w:rsidRPr="00C575C2">
        <w:rPr>
          <w:rFonts w:ascii="Times New Roman" w:hAnsi="Times New Roman"/>
          <w:sz w:val="24"/>
        </w:rPr>
        <w:t xml:space="preserve"> </w:t>
      </w:r>
      <w:r>
        <w:rPr>
          <w:rFonts w:ascii="Times New Roman" w:hAnsi="Times New Roman"/>
          <w:sz w:val="24"/>
        </w:rPr>
        <w:t>over</w:t>
      </w:r>
      <w:r w:rsidRPr="00C575C2">
        <w:rPr>
          <w:rFonts w:ascii="Times New Roman" w:hAnsi="Times New Roman"/>
          <w:sz w:val="24"/>
        </w:rPr>
        <w:t xml:space="preserve"> the five years. </w:t>
      </w:r>
      <w:r>
        <w:rPr>
          <w:rFonts w:ascii="Times New Roman" w:hAnsi="Times New Roman"/>
          <w:sz w:val="24"/>
        </w:rPr>
        <w:t>In Year 1, only positive y</w:t>
      </w:r>
      <w:r w:rsidRPr="00C575C2">
        <w:rPr>
          <w:rFonts w:ascii="Times New Roman" w:hAnsi="Times New Roman"/>
          <w:sz w:val="24"/>
        </w:rPr>
        <w:t xml:space="preserve">outh </w:t>
      </w:r>
      <w:r>
        <w:rPr>
          <w:rFonts w:ascii="Times New Roman" w:hAnsi="Times New Roman"/>
          <w:sz w:val="24"/>
        </w:rPr>
        <w:t>development interventions and education about violence were used by more than a third of the sampled organizations and no single approach was used by a majority.  By Year 5,</w:t>
      </w:r>
      <w:r w:rsidRPr="00C575C2">
        <w:rPr>
          <w:rFonts w:ascii="Times New Roman" w:hAnsi="Times New Roman"/>
          <w:sz w:val="24"/>
        </w:rPr>
        <w:t xml:space="preserve"> </w:t>
      </w:r>
      <w:r>
        <w:rPr>
          <w:rFonts w:ascii="Times New Roman" w:hAnsi="Times New Roman"/>
          <w:sz w:val="24"/>
        </w:rPr>
        <w:t xml:space="preserve">those approaches, plus mentoring, and </w:t>
      </w:r>
      <w:r w:rsidRPr="00C575C2">
        <w:rPr>
          <w:rFonts w:ascii="Times New Roman" w:hAnsi="Times New Roman"/>
          <w:sz w:val="24"/>
        </w:rPr>
        <w:t>providing activities</w:t>
      </w:r>
      <w:r>
        <w:rPr>
          <w:rFonts w:ascii="Times New Roman" w:hAnsi="Times New Roman"/>
          <w:sz w:val="24"/>
        </w:rPr>
        <w:t xml:space="preserve"> were done by a majority, and counseling youth,</w:t>
      </w:r>
      <w:r w:rsidRPr="00C575C2">
        <w:rPr>
          <w:rFonts w:ascii="Times New Roman" w:hAnsi="Times New Roman"/>
          <w:sz w:val="24"/>
        </w:rPr>
        <w:t xml:space="preserve"> </w:t>
      </w:r>
      <w:r>
        <w:rPr>
          <w:rFonts w:ascii="Times New Roman" w:hAnsi="Times New Roman"/>
          <w:sz w:val="24"/>
        </w:rPr>
        <w:t>organizing youth events, and</w:t>
      </w:r>
      <w:r w:rsidRPr="00C575C2">
        <w:rPr>
          <w:rFonts w:ascii="Times New Roman" w:hAnsi="Times New Roman"/>
          <w:sz w:val="24"/>
        </w:rPr>
        <w:t xml:space="preserve"> sponsoring </w:t>
      </w:r>
      <w:r>
        <w:rPr>
          <w:rFonts w:ascii="Times New Roman" w:hAnsi="Times New Roman"/>
          <w:sz w:val="24"/>
        </w:rPr>
        <w:t xml:space="preserve">programs were also common strategies. Only </w:t>
      </w:r>
      <w:r w:rsidRPr="00C575C2">
        <w:rPr>
          <w:rFonts w:ascii="Times New Roman" w:hAnsi="Times New Roman"/>
          <w:sz w:val="24"/>
        </w:rPr>
        <w:t xml:space="preserve">advocacy </w:t>
      </w:r>
      <w:r>
        <w:rPr>
          <w:rFonts w:ascii="Times New Roman" w:hAnsi="Times New Roman"/>
          <w:sz w:val="24"/>
        </w:rPr>
        <w:t>for policy change remained a rarely reported approach</w:t>
      </w:r>
      <w:r w:rsidRPr="00C575C2">
        <w:rPr>
          <w:rFonts w:ascii="Times New Roman" w:hAnsi="Times New Roman"/>
          <w:sz w:val="24"/>
        </w:rPr>
        <w:t xml:space="preserve">. </w:t>
      </w:r>
      <w:r>
        <w:rPr>
          <w:rFonts w:ascii="Times New Roman" w:hAnsi="Times New Roman"/>
          <w:sz w:val="24"/>
        </w:rPr>
        <w:t>O</w:t>
      </w:r>
      <w:r w:rsidRPr="00C575C2">
        <w:rPr>
          <w:rFonts w:ascii="Times New Roman" w:hAnsi="Times New Roman"/>
          <w:sz w:val="24"/>
        </w:rPr>
        <w:t>rganization</w:t>
      </w:r>
      <w:r>
        <w:rPr>
          <w:rFonts w:ascii="Times New Roman" w:hAnsi="Times New Roman"/>
          <w:sz w:val="24"/>
        </w:rPr>
        <w:t xml:space="preserve"> type predicted </w:t>
      </w:r>
      <w:r w:rsidRPr="00C575C2">
        <w:rPr>
          <w:rFonts w:ascii="Times New Roman" w:hAnsi="Times New Roman"/>
          <w:sz w:val="24"/>
        </w:rPr>
        <w:t xml:space="preserve">strategies </w:t>
      </w:r>
      <w:r>
        <w:rPr>
          <w:rFonts w:ascii="Times New Roman" w:hAnsi="Times New Roman"/>
          <w:sz w:val="24"/>
        </w:rPr>
        <w:t>used. Coalition p</w:t>
      </w:r>
      <w:r w:rsidRPr="00C575C2">
        <w:rPr>
          <w:rFonts w:ascii="Times New Roman" w:hAnsi="Times New Roman"/>
          <w:sz w:val="24"/>
        </w:rPr>
        <w:t xml:space="preserve">articipation </w:t>
      </w:r>
      <w:r>
        <w:rPr>
          <w:rFonts w:ascii="Times New Roman" w:hAnsi="Times New Roman"/>
          <w:sz w:val="24"/>
        </w:rPr>
        <w:t>made little</w:t>
      </w:r>
      <w:r w:rsidRPr="00C575C2">
        <w:rPr>
          <w:rFonts w:ascii="Times New Roman" w:hAnsi="Times New Roman"/>
          <w:sz w:val="24"/>
        </w:rPr>
        <w:t xml:space="preserve"> difference </w:t>
      </w:r>
      <w:r>
        <w:rPr>
          <w:rFonts w:ascii="Times New Roman" w:hAnsi="Times New Roman"/>
          <w:sz w:val="24"/>
        </w:rPr>
        <w:t>in</w:t>
      </w:r>
      <w:r w:rsidRPr="00C575C2">
        <w:rPr>
          <w:rFonts w:ascii="Times New Roman" w:hAnsi="Times New Roman"/>
          <w:sz w:val="24"/>
        </w:rPr>
        <w:t xml:space="preserve"> strategies adopted</w:t>
      </w:r>
      <w:r>
        <w:rPr>
          <w:rFonts w:ascii="Times New Roman" w:hAnsi="Times New Roman"/>
          <w:sz w:val="24"/>
        </w:rPr>
        <w:t>, but</w:t>
      </w:r>
      <w:r w:rsidRPr="00C575C2">
        <w:rPr>
          <w:rFonts w:ascii="Times New Roman" w:hAnsi="Times New Roman"/>
          <w:sz w:val="24"/>
        </w:rPr>
        <w:t xml:space="preserve"> </w:t>
      </w:r>
      <w:r>
        <w:rPr>
          <w:rFonts w:ascii="Times New Roman" w:hAnsi="Times New Roman"/>
          <w:sz w:val="24"/>
        </w:rPr>
        <w:t>may have increased mentoring. Participants espoused an unexpectedly weak and declining primary prevention orientation. Few organizations, in or out of the coalition, took a strengths-based, e</w:t>
      </w:r>
      <w:r w:rsidRPr="00122A72">
        <w:rPr>
          <w:rFonts w:ascii="Times New Roman" w:hAnsi="Times New Roman"/>
          <w:sz w:val="24"/>
        </w:rPr>
        <w:t>mpower</w:t>
      </w:r>
      <w:r>
        <w:rPr>
          <w:rFonts w:ascii="Times New Roman" w:hAnsi="Times New Roman"/>
          <w:sz w:val="24"/>
        </w:rPr>
        <w:t xml:space="preserve">ing, or community change intervention </w:t>
      </w:r>
      <w:r w:rsidRPr="00122A72">
        <w:rPr>
          <w:rFonts w:ascii="Times New Roman" w:hAnsi="Times New Roman"/>
          <w:sz w:val="24"/>
        </w:rPr>
        <w:t>orientation</w:t>
      </w:r>
      <w:r>
        <w:rPr>
          <w:rFonts w:ascii="Times New Roman" w:hAnsi="Times New Roman"/>
          <w:sz w:val="24"/>
        </w:rPr>
        <w:t>. Network analysis shows that collaboration was fairly dense and stable over time, with no critical gatekeepers but some peripheral organizations, including churches as well as those serving immigrants and refugees. Active coalition participation declined in Years 3-5, particularly among organizations that were core network collaborators.</w:t>
      </w:r>
      <w:r w:rsidRPr="00454383">
        <w:rPr>
          <w:rFonts w:ascii="Times New Roman" w:hAnsi="Times New Roman"/>
          <w:sz w:val="24"/>
        </w:rPr>
        <w:t xml:space="preserve"> </w:t>
      </w:r>
      <w:r>
        <w:rPr>
          <w:rFonts w:ascii="Times New Roman" w:hAnsi="Times New Roman"/>
          <w:sz w:val="24"/>
        </w:rPr>
        <w:t>Youth violence arrests and court referrals also declined. Implications for YVP policy and organizational and coalition practice are discussed.</w:t>
      </w:r>
    </w:p>
    <w:p w14:paraId="0DDF7561" w14:textId="77777777" w:rsidR="005A377A" w:rsidRPr="00AC453D" w:rsidRDefault="005A377A" w:rsidP="005A377A">
      <w:pPr>
        <w:spacing w:after="0"/>
        <w:contextualSpacing/>
        <w:jc w:val="center"/>
        <w:rPr>
          <w:rFonts w:ascii="Times New Roman" w:hAnsi="Times New Roman"/>
          <w:b/>
          <w:sz w:val="24"/>
          <w:szCs w:val="24"/>
        </w:rPr>
      </w:pPr>
      <w:r>
        <w:rPr>
          <w:rFonts w:ascii="Times New Roman" w:hAnsi="Times New Roman"/>
          <w:b/>
          <w:sz w:val="24"/>
          <w:szCs w:val="24"/>
        </w:rPr>
        <w:lastRenderedPageBreak/>
        <w:t>Approaches to y</w:t>
      </w:r>
      <w:r w:rsidRPr="00AC453D">
        <w:rPr>
          <w:rFonts w:ascii="Times New Roman" w:hAnsi="Times New Roman"/>
          <w:b/>
          <w:sz w:val="24"/>
          <w:szCs w:val="24"/>
        </w:rPr>
        <w:t>outh violence prevention</w:t>
      </w:r>
      <w:r>
        <w:rPr>
          <w:rFonts w:ascii="Times New Roman" w:hAnsi="Times New Roman"/>
          <w:b/>
          <w:sz w:val="24"/>
          <w:szCs w:val="24"/>
        </w:rPr>
        <w:t>: Organizational and coalition strategies</w:t>
      </w:r>
    </w:p>
    <w:p w14:paraId="47B32ABD" w14:textId="73F7495E" w:rsidR="00521F9F" w:rsidRPr="00BC6426" w:rsidRDefault="00521F9F" w:rsidP="005A377A">
      <w:pPr>
        <w:spacing w:after="0"/>
        <w:ind w:firstLine="720"/>
        <w:rPr>
          <w:rFonts w:ascii="Times New Roman" w:hAnsi="Times New Roman"/>
          <w:sz w:val="24"/>
          <w:szCs w:val="24"/>
        </w:rPr>
      </w:pPr>
      <w:r w:rsidRPr="00E74527">
        <w:rPr>
          <w:rFonts w:ascii="Times New Roman" w:hAnsi="Times New Roman"/>
          <w:sz w:val="24"/>
          <w:szCs w:val="24"/>
        </w:rPr>
        <w:t>Youth violence is o</w:t>
      </w:r>
      <w:r>
        <w:rPr>
          <w:rFonts w:ascii="Times New Roman" w:hAnsi="Times New Roman"/>
          <w:sz w:val="24"/>
          <w:szCs w:val="24"/>
        </w:rPr>
        <w:t xml:space="preserve">ne of the most serious and intractable public health </w:t>
      </w:r>
      <w:r w:rsidRPr="00E74527">
        <w:rPr>
          <w:rFonts w:ascii="Times New Roman" w:hAnsi="Times New Roman"/>
          <w:sz w:val="24"/>
          <w:szCs w:val="24"/>
        </w:rPr>
        <w:t>problems</w:t>
      </w:r>
      <w:r>
        <w:rPr>
          <w:rFonts w:ascii="Times New Roman" w:hAnsi="Times New Roman"/>
          <w:sz w:val="24"/>
          <w:szCs w:val="24"/>
        </w:rPr>
        <w:t xml:space="preserve">. In the United States </w:t>
      </w:r>
      <w:r w:rsidRPr="00F52AC0">
        <w:rPr>
          <w:rFonts w:ascii="Times New Roman" w:hAnsi="Times New Roman"/>
          <w:sz w:val="24"/>
          <w:szCs w:val="24"/>
        </w:rPr>
        <w:t xml:space="preserve">in </w:t>
      </w:r>
      <w:r w:rsidR="00787119" w:rsidRPr="00F52AC0">
        <w:rPr>
          <w:rFonts w:ascii="Times New Roman" w:hAnsi="Times New Roman"/>
          <w:sz w:val="24"/>
          <w:szCs w:val="24"/>
        </w:rPr>
        <w:t>2017</w:t>
      </w:r>
      <w:r>
        <w:rPr>
          <w:rFonts w:ascii="Times New Roman" w:hAnsi="Times New Roman"/>
          <w:sz w:val="24"/>
          <w:szCs w:val="24"/>
        </w:rPr>
        <w:t xml:space="preserve">, homicide was the </w:t>
      </w:r>
      <w:r w:rsidR="00787119">
        <w:rPr>
          <w:rFonts w:ascii="Times New Roman" w:hAnsi="Times New Roman"/>
          <w:sz w:val="24"/>
          <w:szCs w:val="24"/>
        </w:rPr>
        <w:t xml:space="preserve">third </w:t>
      </w:r>
      <w:r>
        <w:rPr>
          <w:rFonts w:ascii="Times New Roman" w:hAnsi="Times New Roman"/>
          <w:sz w:val="24"/>
          <w:szCs w:val="24"/>
        </w:rPr>
        <w:t xml:space="preserve">leading cause of death (leading cause among African-Americans) for those aged </w:t>
      </w:r>
      <w:r w:rsidRPr="007E0EDB">
        <w:rPr>
          <w:rFonts w:ascii="Times New Roman" w:hAnsi="Times New Roman"/>
          <w:sz w:val="24"/>
          <w:szCs w:val="24"/>
        </w:rPr>
        <w:t xml:space="preserve">10 to 24 </w:t>
      </w:r>
      <w:r>
        <w:rPr>
          <w:rFonts w:ascii="Times New Roman" w:hAnsi="Times New Roman"/>
          <w:sz w:val="24"/>
          <w:szCs w:val="24"/>
        </w:rPr>
        <w:t>(</w:t>
      </w:r>
      <w:r w:rsidR="00D8283B">
        <w:rPr>
          <w:rFonts w:ascii="Times New Roman" w:hAnsi="Times New Roman"/>
          <w:sz w:val="24"/>
          <w:szCs w:val="24"/>
        </w:rPr>
        <w:t xml:space="preserve">U.S. </w:t>
      </w:r>
      <w:r w:rsidR="00D8283B">
        <w:rPr>
          <w:rFonts w:ascii="Times New Roman" w:hAnsi="Times New Roman"/>
          <w:sz w:val="24"/>
        </w:rPr>
        <w:t>Centers for Disease Control and Prevention</w:t>
      </w:r>
      <w:r w:rsidRPr="00F52AC0">
        <w:rPr>
          <w:rFonts w:ascii="Times New Roman" w:hAnsi="Times New Roman"/>
          <w:sz w:val="24"/>
          <w:szCs w:val="24"/>
        </w:rPr>
        <w:t xml:space="preserve">, </w:t>
      </w:r>
      <w:r w:rsidR="00787119" w:rsidRPr="00F52AC0">
        <w:rPr>
          <w:rFonts w:ascii="Times New Roman" w:hAnsi="Times New Roman"/>
          <w:sz w:val="24"/>
          <w:szCs w:val="24"/>
        </w:rPr>
        <w:t>2019</w:t>
      </w:r>
      <w:r>
        <w:rPr>
          <w:rFonts w:ascii="Times New Roman" w:hAnsi="Times New Roman"/>
          <w:sz w:val="24"/>
          <w:szCs w:val="24"/>
        </w:rPr>
        <w:t>)</w:t>
      </w:r>
      <w:r w:rsidRPr="00A50F5A">
        <w:rPr>
          <w:rFonts w:ascii="Times New Roman" w:hAnsi="Times New Roman"/>
          <w:sz w:val="24"/>
          <w:szCs w:val="24"/>
        </w:rPr>
        <w:t>.</w:t>
      </w:r>
      <w:r>
        <w:rPr>
          <w:rFonts w:ascii="Times New Roman" w:hAnsi="Times New Roman"/>
          <w:sz w:val="24"/>
          <w:szCs w:val="24"/>
        </w:rPr>
        <w:t xml:space="preserve"> </w:t>
      </w:r>
      <w:r w:rsidRPr="0062587B">
        <w:rPr>
          <w:rFonts w:ascii="Times New Roman" w:hAnsi="Times New Roman"/>
          <w:sz w:val="24"/>
          <w:szCs w:val="24"/>
        </w:rPr>
        <w:t>I</w:t>
      </w:r>
      <w:r>
        <w:rPr>
          <w:rFonts w:ascii="Times New Roman" w:hAnsi="Times New Roman"/>
          <w:sz w:val="24"/>
          <w:szCs w:val="24"/>
        </w:rPr>
        <w:t xml:space="preserve">n </w:t>
      </w:r>
      <w:r w:rsidR="00F94242" w:rsidRPr="00F52AC0">
        <w:rPr>
          <w:rFonts w:ascii="Times New Roman" w:hAnsi="Times New Roman"/>
          <w:sz w:val="24"/>
          <w:szCs w:val="24"/>
        </w:rPr>
        <w:t>201</w:t>
      </w:r>
      <w:r w:rsidR="00F94242">
        <w:rPr>
          <w:rFonts w:ascii="Times New Roman" w:hAnsi="Times New Roman"/>
          <w:sz w:val="24"/>
          <w:szCs w:val="24"/>
        </w:rPr>
        <w:t>7</w:t>
      </w:r>
      <w:r>
        <w:rPr>
          <w:rFonts w:ascii="Times New Roman" w:hAnsi="Times New Roman"/>
          <w:sz w:val="24"/>
          <w:szCs w:val="24"/>
        </w:rPr>
        <w:t xml:space="preserve">, more than </w:t>
      </w:r>
      <w:r w:rsidR="00F94242" w:rsidRPr="00F94242">
        <w:rPr>
          <w:rFonts w:ascii="Times New Roman" w:hAnsi="Times New Roman"/>
          <w:sz w:val="24"/>
          <w:szCs w:val="24"/>
        </w:rPr>
        <w:t>47</w:t>
      </w:r>
      <w:r w:rsidR="00F94242">
        <w:rPr>
          <w:rFonts w:ascii="Times New Roman" w:hAnsi="Times New Roman"/>
          <w:sz w:val="24"/>
          <w:szCs w:val="24"/>
        </w:rPr>
        <w:t>5</w:t>
      </w:r>
      <w:r w:rsidR="00F94242" w:rsidRPr="00F94242">
        <w:rPr>
          <w:rFonts w:ascii="Times New Roman" w:hAnsi="Times New Roman"/>
          <w:sz w:val="24"/>
          <w:szCs w:val="24"/>
        </w:rPr>
        <w:t>,</w:t>
      </w:r>
      <w:r w:rsidR="00F94242">
        <w:rPr>
          <w:rFonts w:ascii="Times New Roman" w:hAnsi="Times New Roman"/>
          <w:sz w:val="24"/>
          <w:szCs w:val="24"/>
        </w:rPr>
        <w:t>0</w:t>
      </w:r>
      <w:r w:rsidR="00F94242" w:rsidRPr="00F94242">
        <w:rPr>
          <w:rFonts w:ascii="Times New Roman" w:hAnsi="Times New Roman"/>
          <w:sz w:val="24"/>
          <w:szCs w:val="24"/>
        </w:rPr>
        <w:t>00</w:t>
      </w:r>
      <w:r>
        <w:rPr>
          <w:rFonts w:ascii="Times New Roman" w:hAnsi="Times New Roman"/>
          <w:sz w:val="24"/>
          <w:szCs w:val="24"/>
        </w:rPr>
        <w:t xml:space="preserve"> </w:t>
      </w:r>
      <w:r w:rsidR="006644EE">
        <w:rPr>
          <w:rFonts w:ascii="Times New Roman" w:hAnsi="Times New Roman"/>
          <w:sz w:val="24"/>
          <w:szCs w:val="24"/>
        </w:rPr>
        <w:t xml:space="preserve">young </w:t>
      </w:r>
      <w:r w:rsidRPr="0062587B">
        <w:rPr>
          <w:rFonts w:ascii="Times New Roman" w:hAnsi="Times New Roman"/>
          <w:sz w:val="24"/>
          <w:szCs w:val="24"/>
        </w:rPr>
        <w:t>people were treated in</w:t>
      </w:r>
      <w:r>
        <w:rPr>
          <w:rFonts w:ascii="Times New Roman" w:hAnsi="Times New Roman"/>
          <w:sz w:val="24"/>
          <w:szCs w:val="24"/>
        </w:rPr>
        <w:t xml:space="preserve"> hospital</w:t>
      </w:r>
      <w:r w:rsidRPr="0062587B">
        <w:rPr>
          <w:rFonts w:ascii="Times New Roman" w:hAnsi="Times New Roman"/>
          <w:sz w:val="24"/>
          <w:szCs w:val="24"/>
        </w:rPr>
        <w:t xml:space="preserve"> emergency </w:t>
      </w:r>
      <w:r>
        <w:rPr>
          <w:rFonts w:ascii="Times New Roman" w:hAnsi="Times New Roman"/>
          <w:sz w:val="24"/>
          <w:szCs w:val="24"/>
        </w:rPr>
        <w:t>room</w:t>
      </w:r>
      <w:r w:rsidRPr="0062587B">
        <w:rPr>
          <w:rFonts w:ascii="Times New Roman" w:hAnsi="Times New Roman"/>
          <w:sz w:val="24"/>
          <w:szCs w:val="24"/>
        </w:rPr>
        <w:t>s for injuries</w:t>
      </w:r>
      <w:r>
        <w:rPr>
          <w:rFonts w:ascii="Times New Roman" w:hAnsi="Times New Roman"/>
          <w:sz w:val="24"/>
          <w:szCs w:val="24"/>
        </w:rPr>
        <w:t xml:space="preserve"> </w:t>
      </w:r>
      <w:r w:rsidRPr="0062587B">
        <w:rPr>
          <w:rFonts w:ascii="Times New Roman" w:hAnsi="Times New Roman"/>
          <w:sz w:val="24"/>
          <w:szCs w:val="24"/>
        </w:rPr>
        <w:t>sustained from violence</w:t>
      </w:r>
      <w:r>
        <w:rPr>
          <w:rFonts w:ascii="Times New Roman" w:hAnsi="Times New Roman"/>
          <w:sz w:val="24"/>
          <w:szCs w:val="24"/>
        </w:rPr>
        <w:t xml:space="preserve"> (USCDCP, </w:t>
      </w:r>
      <w:r w:rsidR="00F94242" w:rsidRPr="00F52AC0">
        <w:rPr>
          <w:rFonts w:ascii="Times New Roman" w:hAnsi="Times New Roman"/>
          <w:sz w:val="24"/>
          <w:szCs w:val="24"/>
        </w:rPr>
        <w:t>201</w:t>
      </w:r>
      <w:r w:rsidR="00F94242">
        <w:rPr>
          <w:rFonts w:ascii="Times New Roman" w:hAnsi="Times New Roman"/>
          <w:sz w:val="24"/>
          <w:szCs w:val="24"/>
        </w:rPr>
        <w:t>9</w:t>
      </w:r>
      <w:r>
        <w:rPr>
          <w:rFonts w:ascii="Times New Roman" w:hAnsi="Times New Roman"/>
          <w:sz w:val="24"/>
          <w:szCs w:val="24"/>
        </w:rPr>
        <w:t>)</w:t>
      </w:r>
      <w:r w:rsidRPr="00A50F5A">
        <w:rPr>
          <w:rFonts w:ascii="Times New Roman" w:hAnsi="Times New Roman"/>
          <w:sz w:val="24"/>
          <w:szCs w:val="24"/>
        </w:rPr>
        <w:t>.</w:t>
      </w:r>
      <w:r>
        <w:rPr>
          <w:rFonts w:ascii="Times New Roman" w:hAnsi="Times New Roman"/>
          <w:sz w:val="24"/>
          <w:szCs w:val="24"/>
        </w:rPr>
        <w:t xml:space="preserve"> </w:t>
      </w:r>
      <w:r w:rsidR="00ED738D">
        <w:rPr>
          <w:rFonts w:ascii="Times New Roman" w:hAnsi="Times New Roman"/>
          <w:sz w:val="24"/>
          <w:szCs w:val="24"/>
        </w:rPr>
        <w:t xml:space="preserve">Teen </w:t>
      </w:r>
      <w:r w:rsidR="00BC6426">
        <w:rPr>
          <w:rFonts w:ascii="Times New Roman" w:hAnsi="Times New Roman"/>
          <w:sz w:val="24"/>
          <w:szCs w:val="24"/>
        </w:rPr>
        <w:t xml:space="preserve">homicides </w:t>
      </w:r>
      <w:r w:rsidR="0041525A">
        <w:rPr>
          <w:rFonts w:ascii="Times New Roman" w:hAnsi="Times New Roman"/>
          <w:sz w:val="24"/>
          <w:szCs w:val="24"/>
        </w:rPr>
        <w:t xml:space="preserve">and </w:t>
      </w:r>
      <w:r w:rsidR="0041525A" w:rsidRPr="0041525A">
        <w:rPr>
          <w:rFonts w:ascii="Times New Roman" w:hAnsi="Times New Roman"/>
          <w:sz w:val="24"/>
          <w:szCs w:val="24"/>
        </w:rPr>
        <w:t>firearm</w:t>
      </w:r>
      <w:r w:rsidR="003E0D06">
        <w:rPr>
          <w:rFonts w:ascii="Times New Roman" w:hAnsi="Times New Roman"/>
          <w:sz w:val="24"/>
          <w:szCs w:val="24"/>
        </w:rPr>
        <w:t xml:space="preserve"> death</w:t>
      </w:r>
      <w:r w:rsidR="0041525A" w:rsidRPr="0041525A">
        <w:rPr>
          <w:rFonts w:ascii="Times New Roman" w:hAnsi="Times New Roman"/>
          <w:sz w:val="24"/>
          <w:szCs w:val="24"/>
        </w:rPr>
        <w:t>s</w:t>
      </w:r>
      <w:r w:rsidR="0041525A">
        <w:rPr>
          <w:rFonts w:ascii="Times New Roman" w:hAnsi="Times New Roman"/>
          <w:sz w:val="24"/>
          <w:szCs w:val="24"/>
        </w:rPr>
        <w:t xml:space="preserve"> declined between 1993 and 2013</w:t>
      </w:r>
      <w:r w:rsidR="005B131F">
        <w:rPr>
          <w:rFonts w:ascii="Times New Roman" w:hAnsi="Times New Roman"/>
          <w:sz w:val="24"/>
          <w:szCs w:val="24"/>
        </w:rPr>
        <w:t>,</w:t>
      </w:r>
      <w:r w:rsidR="0041525A">
        <w:rPr>
          <w:rFonts w:ascii="Times New Roman" w:hAnsi="Times New Roman"/>
          <w:sz w:val="24"/>
          <w:szCs w:val="24"/>
        </w:rPr>
        <w:t xml:space="preserve"> </w:t>
      </w:r>
      <w:r w:rsidR="003E0D06">
        <w:rPr>
          <w:rFonts w:ascii="Times New Roman" w:hAnsi="Times New Roman"/>
          <w:sz w:val="24"/>
          <w:szCs w:val="24"/>
        </w:rPr>
        <w:t>then rose 30%;</w:t>
      </w:r>
      <w:r w:rsidR="0041525A">
        <w:rPr>
          <w:rFonts w:ascii="Times New Roman" w:hAnsi="Times New Roman"/>
          <w:sz w:val="24"/>
          <w:szCs w:val="24"/>
        </w:rPr>
        <w:t xml:space="preserve"> and suicide </w:t>
      </w:r>
      <w:r w:rsidR="0041525A" w:rsidRPr="0041525A">
        <w:rPr>
          <w:rFonts w:ascii="Times New Roman" w:hAnsi="Times New Roman"/>
          <w:sz w:val="24"/>
          <w:szCs w:val="24"/>
        </w:rPr>
        <w:t>rates for 15-to</w:t>
      </w:r>
      <w:r w:rsidR="003465C9">
        <w:rPr>
          <w:rFonts w:ascii="Times New Roman" w:hAnsi="Times New Roman"/>
          <w:sz w:val="24"/>
          <w:szCs w:val="24"/>
        </w:rPr>
        <w:t>-</w:t>
      </w:r>
      <w:r w:rsidR="0041525A" w:rsidRPr="0041525A">
        <w:rPr>
          <w:rFonts w:ascii="Times New Roman" w:hAnsi="Times New Roman"/>
          <w:sz w:val="24"/>
          <w:szCs w:val="24"/>
        </w:rPr>
        <w:t xml:space="preserve">19-year-olds increased </w:t>
      </w:r>
      <w:r w:rsidR="0041525A">
        <w:rPr>
          <w:rFonts w:ascii="Times New Roman" w:hAnsi="Times New Roman"/>
          <w:sz w:val="24"/>
          <w:szCs w:val="24"/>
        </w:rPr>
        <w:t>to an</w:t>
      </w:r>
      <w:r w:rsidR="0041525A" w:rsidRPr="0041525A">
        <w:rPr>
          <w:rFonts w:ascii="Times New Roman" w:hAnsi="Times New Roman"/>
          <w:sz w:val="24"/>
          <w:szCs w:val="24"/>
        </w:rPr>
        <w:t xml:space="preserve"> all-time high in 2017</w:t>
      </w:r>
      <w:r w:rsidR="0041525A">
        <w:rPr>
          <w:rFonts w:ascii="Times New Roman" w:hAnsi="Times New Roman"/>
          <w:sz w:val="24"/>
          <w:szCs w:val="24"/>
        </w:rPr>
        <w:t xml:space="preserve"> (Child Trends, 2019)</w:t>
      </w:r>
      <w:r w:rsidR="005B131F">
        <w:rPr>
          <w:rFonts w:ascii="Times New Roman" w:hAnsi="Times New Roman"/>
          <w:sz w:val="24"/>
          <w:szCs w:val="24"/>
        </w:rPr>
        <w:t>.</w:t>
      </w:r>
    </w:p>
    <w:p w14:paraId="3F7B6116" w14:textId="3EE8D2D9" w:rsidR="00521F9F" w:rsidRPr="009D4235" w:rsidRDefault="00521F9F" w:rsidP="00064B42">
      <w:pPr>
        <w:spacing w:after="0"/>
        <w:ind w:firstLine="720"/>
        <w:contextualSpacing/>
        <w:rPr>
          <w:rFonts w:ascii="Times New Roman" w:hAnsi="Times New Roman"/>
          <w:sz w:val="24"/>
          <w:szCs w:val="24"/>
        </w:rPr>
      </w:pPr>
      <w:r>
        <w:rPr>
          <w:rFonts w:ascii="Times New Roman" w:hAnsi="Times New Roman"/>
          <w:sz w:val="24"/>
          <w:szCs w:val="24"/>
        </w:rPr>
        <w:t>Known</w:t>
      </w:r>
      <w:r w:rsidRPr="009D4235">
        <w:rPr>
          <w:rFonts w:ascii="Times New Roman" w:hAnsi="Times New Roman"/>
          <w:sz w:val="24"/>
          <w:szCs w:val="24"/>
        </w:rPr>
        <w:t xml:space="preserve"> risk factors</w:t>
      </w:r>
      <w:r>
        <w:rPr>
          <w:rFonts w:ascii="Times New Roman" w:hAnsi="Times New Roman"/>
          <w:sz w:val="24"/>
          <w:szCs w:val="24"/>
        </w:rPr>
        <w:t xml:space="preserve"> </w:t>
      </w:r>
      <w:r w:rsidR="00D567FC">
        <w:rPr>
          <w:rFonts w:ascii="Times New Roman" w:hAnsi="Times New Roman"/>
          <w:sz w:val="24"/>
          <w:szCs w:val="24"/>
        </w:rPr>
        <w:t xml:space="preserve">for youth violence </w:t>
      </w:r>
      <w:r>
        <w:rPr>
          <w:rFonts w:ascii="Times New Roman" w:hAnsi="Times New Roman"/>
          <w:sz w:val="24"/>
          <w:szCs w:val="24"/>
        </w:rPr>
        <w:t>at the individual, family, school, and community levels argue for prevention targeted at each level r</w:t>
      </w:r>
      <w:r w:rsidRPr="009D4235">
        <w:rPr>
          <w:rFonts w:ascii="Times New Roman" w:hAnsi="Times New Roman"/>
          <w:sz w:val="24"/>
          <w:szCs w:val="24"/>
        </w:rPr>
        <w:t xml:space="preserve">ather than </w:t>
      </w:r>
      <w:r>
        <w:rPr>
          <w:rFonts w:ascii="Times New Roman" w:hAnsi="Times New Roman"/>
          <w:sz w:val="24"/>
          <w:szCs w:val="24"/>
        </w:rPr>
        <w:t>relying heavily on reactive, after-the-fact strategies of interrupting retaliatory</w:t>
      </w:r>
      <w:r w:rsidRPr="009D4235">
        <w:rPr>
          <w:rFonts w:ascii="Times New Roman" w:hAnsi="Times New Roman"/>
          <w:sz w:val="24"/>
          <w:szCs w:val="24"/>
        </w:rPr>
        <w:t xml:space="preserve"> violence </w:t>
      </w:r>
      <w:r>
        <w:rPr>
          <w:rFonts w:ascii="Times New Roman" w:hAnsi="Times New Roman"/>
          <w:sz w:val="24"/>
          <w:szCs w:val="24"/>
        </w:rPr>
        <w:t>or rehabilitating offenders</w:t>
      </w:r>
      <w:r w:rsidR="002C294F">
        <w:rPr>
          <w:rFonts w:ascii="Times New Roman" w:hAnsi="Times New Roman"/>
          <w:sz w:val="24"/>
          <w:szCs w:val="24"/>
        </w:rPr>
        <w:t xml:space="preserve"> </w:t>
      </w:r>
      <w:r w:rsidR="002C294F" w:rsidRPr="009D4235">
        <w:rPr>
          <w:rFonts w:ascii="Times New Roman" w:hAnsi="Times New Roman"/>
          <w:sz w:val="24"/>
          <w:szCs w:val="24"/>
        </w:rPr>
        <w:t>(</w:t>
      </w:r>
      <w:r w:rsidR="002C294F" w:rsidRPr="00415E8A">
        <w:rPr>
          <w:rFonts w:ascii="Times New Roman" w:hAnsi="Times New Roman"/>
          <w:sz w:val="24"/>
          <w:szCs w:val="24"/>
        </w:rPr>
        <w:t>Williams et al. 2007</w:t>
      </w:r>
      <w:r w:rsidR="002C294F">
        <w:rPr>
          <w:rFonts w:ascii="Times New Roman" w:hAnsi="Times New Roman"/>
          <w:sz w:val="24"/>
          <w:szCs w:val="24"/>
        </w:rPr>
        <w:t>)</w:t>
      </w:r>
      <w:r>
        <w:rPr>
          <w:rFonts w:ascii="Times New Roman" w:hAnsi="Times New Roman"/>
          <w:sz w:val="24"/>
          <w:szCs w:val="24"/>
        </w:rPr>
        <w:t xml:space="preserve">. </w:t>
      </w:r>
      <w:r w:rsidR="005B131F">
        <w:rPr>
          <w:rFonts w:ascii="Times New Roman" w:hAnsi="Times New Roman"/>
          <w:sz w:val="24"/>
          <w:szCs w:val="24"/>
        </w:rPr>
        <w:t>P</w:t>
      </w:r>
      <w:r>
        <w:rPr>
          <w:rFonts w:ascii="Times New Roman" w:hAnsi="Times New Roman"/>
          <w:sz w:val="24"/>
          <w:szCs w:val="24"/>
        </w:rPr>
        <w:t>revention programs and policies should</w:t>
      </w:r>
      <w:r w:rsidRPr="009D4235">
        <w:rPr>
          <w:rFonts w:ascii="Times New Roman" w:hAnsi="Times New Roman"/>
          <w:sz w:val="24"/>
          <w:szCs w:val="24"/>
        </w:rPr>
        <w:t xml:space="preserve"> </w:t>
      </w:r>
      <w:r>
        <w:rPr>
          <w:rFonts w:ascii="Times New Roman" w:hAnsi="Times New Roman"/>
          <w:sz w:val="24"/>
          <w:szCs w:val="24"/>
        </w:rPr>
        <w:t>address</w:t>
      </w:r>
      <w:r w:rsidRPr="009D4235">
        <w:rPr>
          <w:rFonts w:ascii="Times New Roman" w:hAnsi="Times New Roman"/>
          <w:sz w:val="24"/>
          <w:szCs w:val="24"/>
        </w:rPr>
        <w:t xml:space="preserve"> root </w:t>
      </w:r>
      <w:r>
        <w:rPr>
          <w:rFonts w:ascii="Times New Roman" w:hAnsi="Times New Roman"/>
          <w:sz w:val="24"/>
          <w:szCs w:val="24"/>
        </w:rPr>
        <w:t xml:space="preserve">causes </w:t>
      </w:r>
      <w:r w:rsidRPr="009D4235">
        <w:rPr>
          <w:rFonts w:ascii="Times New Roman" w:hAnsi="Times New Roman"/>
          <w:sz w:val="24"/>
          <w:szCs w:val="24"/>
        </w:rPr>
        <w:t>of</w:t>
      </w:r>
      <w:r>
        <w:rPr>
          <w:rFonts w:ascii="Times New Roman" w:hAnsi="Times New Roman"/>
          <w:sz w:val="24"/>
          <w:szCs w:val="24"/>
        </w:rPr>
        <w:t>, and environmental risk factors for,</w:t>
      </w:r>
      <w:r w:rsidRPr="009D4235">
        <w:rPr>
          <w:rFonts w:ascii="Times New Roman" w:hAnsi="Times New Roman"/>
          <w:sz w:val="24"/>
          <w:szCs w:val="24"/>
        </w:rPr>
        <w:t xml:space="preserve"> </w:t>
      </w:r>
      <w:r>
        <w:rPr>
          <w:rFonts w:ascii="Times New Roman" w:hAnsi="Times New Roman"/>
          <w:sz w:val="24"/>
          <w:szCs w:val="24"/>
        </w:rPr>
        <w:t>violence. They should</w:t>
      </w:r>
      <w:r w:rsidRPr="009D4235">
        <w:rPr>
          <w:rFonts w:ascii="Times New Roman" w:hAnsi="Times New Roman"/>
          <w:sz w:val="24"/>
          <w:szCs w:val="24"/>
        </w:rPr>
        <w:t xml:space="preserve"> conside</w:t>
      </w:r>
      <w:r>
        <w:rPr>
          <w:rFonts w:ascii="Times New Roman" w:hAnsi="Times New Roman"/>
          <w:sz w:val="24"/>
          <w:szCs w:val="24"/>
        </w:rPr>
        <w:t>r multiple spheres of influence such as</w:t>
      </w:r>
      <w:r w:rsidRPr="009D4235">
        <w:rPr>
          <w:rFonts w:ascii="Times New Roman" w:hAnsi="Times New Roman"/>
          <w:sz w:val="24"/>
          <w:szCs w:val="24"/>
        </w:rPr>
        <w:t xml:space="preserve"> the </w:t>
      </w:r>
      <w:r>
        <w:rPr>
          <w:rFonts w:ascii="Times New Roman" w:hAnsi="Times New Roman"/>
          <w:sz w:val="24"/>
          <w:szCs w:val="24"/>
        </w:rPr>
        <w:t xml:space="preserve">family and peer </w:t>
      </w:r>
      <w:r w:rsidRPr="009D4235">
        <w:rPr>
          <w:rFonts w:ascii="Times New Roman" w:hAnsi="Times New Roman"/>
          <w:sz w:val="24"/>
          <w:szCs w:val="24"/>
        </w:rPr>
        <w:t>environment</w:t>
      </w:r>
      <w:r>
        <w:rPr>
          <w:rFonts w:ascii="Times New Roman" w:hAnsi="Times New Roman"/>
          <w:sz w:val="24"/>
          <w:szCs w:val="24"/>
        </w:rPr>
        <w:t>s, institutional</w:t>
      </w:r>
      <w:r w:rsidRPr="009D4235">
        <w:rPr>
          <w:rFonts w:ascii="Times New Roman" w:hAnsi="Times New Roman"/>
          <w:sz w:val="24"/>
          <w:szCs w:val="24"/>
        </w:rPr>
        <w:t xml:space="preserve"> </w:t>
      </w:r>
      <w:r>
        <w:rPr>
          <w:rFonts w:ascii="Times New Roman" w:hAnsi="Times New Roman"/>
          <w:sz w:val="24"/>
          <w:szCs w:val="24"/>
        </w:rPr>
        <w:t>and community factors</w:t>
      </w:r>
      <w:r w:rsidRPr="009D4235">
        <w:rPr>
          <w:rFonts w:ascii="Times New Roman" w:hAnsi="Times New Roman"/>
          <w:sz w:val="24"/>
          <w:szCs w:val="24"/>
        </w:rPr>
        <w:t xml:space="preserve">, and </w:t>
      </w:r>
      <w:r w:rsidR="00415E8A">
        <w:rPr>
          <w:rFonts w:ascii="Times New Roman" w:hAnsi="Times New Roman"/>
          <w:sz w:val="24"/>
          <w:szCs w:val="24"/>
        </w:rPr>
        <w:t xml:space="preserve">employ </w:t>
      </w:r>
      <w:r w:rsidR="00415E8A" w:rsidRPr="00415E8A">
        <w:rPr>
          <w:rFonts w:ascii="Times New Roman" w:hAnsi="Times New Roman"/>
          <w:sz w:val="24"/>
          <w:szCs w:val="24"/>
        </w:rPr>
        <w:t>participatory methods</w:t>
      </w:r>
      <w:r w:rsidR="00415E8A">
        <w:rPr>
          <w:rFonts w:ascii="Times New Roman" w:hAnsi="Times New Roman"/>
          <w:sz w:val="24"/>
          <w:szCs w:val="24"/>
        </w:rPr>
        <w:t xml:space="preserve"> and </w:t>
      </w:r>
      <w:r w:rsidR="00415E8A" w:rsidRPr="00415E8A">
        <w:rPr>
          <w:rFonts w:ascii="Times New Roman" w:hAnsi="Times New Roman"/>
          <w:sz w:val="24"/>
          <w:szCs w:val="24"/>
        </w:rPr>
        <w:t>social mobilization</w:t>
      </w:r>
      <w:r w:rsidRPr="009D4235">
        <w:rPr>
          <w:rFonts w:ascii="Times New Roman" w:hAnsi="Times New Roman"/>
          <w:sz w:val="24"/>
          <w:szCs w:val="24"/>
        </w:rPr>
        <w:t xml:space="preserve"> (</w:t>
      </w:r>
      <w:r w:rsidR="00415E8A" w:rsidRPr="00415E8A">
        <w:rPr>
          <w:rFonts w:ascii="Times New Roman" w:hAnsi="Times New Roman"/>
          <w:sz w:val="24"/>
          <w:szCs w:val="24"/>
        </w:rPr>
        <w:t>Farrington et al. 2017</w:t>
      </w:r>
      <w:r w:rsidR="00415E8A">
        <w:rPr>
          <w:rFonts w:ascii="Times New Roman" w:hAnsi="Times New Roman"/>
          <w:sz w:val="24"/>
          <w:szCs w:val="24"/>
        </w:rPr>
        <w:t xml:space="preserve">; </w:t>
      </w:r>
      <w:r w:rsidR="009A0763" w:rsidRPr="009A0763">
        <w:rPr>
          <w:rFonts w:ascii="Times New Roman" w:hAnsi="Times New Roman"/>
          <w:sz w:val="24"/>
          <w:szCs w:val="24"/>
        </w:rPr>
        <w:t xml:space="preserve">Heinze </w:t>
      </w:r>
      <w:r w:rsidR="009A0763">
        <w:rPr>
          <w:rFonts w:ascii="Times New Roman" w:hAnsi="Times New Roman"/>
          <w:sz w:val="24"/>
          <w:szCs w:val="24"/>
        </w:rPr>
        <w:t>et al. 2016</w:t>
      </w:r>
      <w:r w:rsidRPr="009D4235">
        <w:rPr>
          <w:rFonts w:ascii="Times New Roman" w:hAnsi="Times New Roman"/>
          <w:sz w:val="24"/>
          <w:szCs w:val="24"/>
        </w:rPr>
        <w:t>).</w:t>
      </w:r>
    </w:p>
    <w:p w14:paraId="7B486D51" w14:textId="07D8DD51" w:rsidR="00521F9F" w:rsidRPr="00E74527" w:rsidRDefault="00521F9F" w:rsidP="00A55AAE">
      <w:pPr>
        <w:spacing w:after="0"/>
        <w:ind w:firstLine="720"/>
        <w:rPr>
          <w:rFonts w:ascii="Times New Roman" w:hAnsi="Times New Roman"/>
          <w:sz w:val="24"/>
        </w:rPr>
      </w:pPr>
      <w:r>
        <w:rPr>
          <w:rFonts w:ascii="Times New Roman" w:hAnsi="Times New Roman"/>
          <w:sz w:val="24"/>
        </w:rPr>
        <w:t>This study</w:t>
      </w:r>
      <w:r w:rsidRPr="008F2C44">
        <w:rPr>
          <w:rFonts w:ascii="Times New Roman" w:hAnsi="Times New Roman"/>
          <w:sz w:val="24"/>
        </w:rPr>
        <w:t xml:space="preserve"> has several </w:t>
      </w:r>
      <w:r w:rsidR="0025410B">
        <w:rPr>
          <w:rFonts w:ascii="Times New Roman" w:hAnsi="Times New Roman"/>
          <w:sz w:val="24"/>
        </w:rPr>
        <w:t>aims</w:t>
      </w:r>
      <w:r>
        <w:rPr>
          <w:rFonts w:ascii="Times New Roman" w:hAnsi="Times New Roman"/>
          <w:sz w:val="24"/>
        </w:rPr>
        <w:t>:</w:t>
      </w:r>
      <w:r w:rsidRPr="008F2C44">
        <w:rPr>
          <w:rFonts w:ascii="Times New Roman" w:hAnsi="Times New Roman"/>
          <w:sz w:val="24"/>
        </w:rPr>
        <w:t xml:space="preserve"> </w:t>
      </w:r>
      <w:r>
        <w:rPr>
          <w:rFonts w:ascii="Times New Roman" w:hAnsi="Times New Roman"/>
          <w:sz w:val="24"/>
        </w:rPr>
        <w:t xml:space="preserve">(1) </w:t>
      </w:r>
      <w:r w:rsidRPr="008F2C44">
        <w:rPr>
          <w:rFonts w:ascii="Times New Roman" w:hAnsi="Times New Roman"/>
          <w:sz w:val="24"/>
        </w:rPr>
        <w:t>to identify the types of</w:t>
      </w:r>
      <w:r>
        <w:rPr>
          <w:rFonts w:ascii="Times New Roman" w:hAnsi="Times New Roman"/>
          <w:sz w:val="24"/>
        </w:rPr>
        <w:t xml:space="preserve"> local</w:t>
      </w:r>
      <w:r w:rsidRPr="008F2C44">
        <w:rPr>
          <w:rFonts w:ascii="Times New Roman" w:hAnsi="Times New Roman"/>
          <w:sz w:val="24"/>
        </w:rPr>
        <w:t xml:space="preserve"> </w:t>
      </w:r>
      <w:r>
        <w:rPr>
          <w:rFonts w:ascii="Times New Roman" w:hAnsi="Times New Roman"/>
          <w:sz w:val="24"/>
        </w:rPr>
        <w:t>public and nonprofit</w:t>
      </w:r>
      <w:r w:rsidRPr="008F2C44">
        <w:rPr>
          <w:rFonts w:ascii="Times New Roman" w:hAnsi="Times New Roman"/>
          <w:sz w:val="24"/>
        </w:rPr>
        <w:t xml:space="preserve"> organizations </w:t>
      </w:r>
      <w:r>
        <w:rPr>
          <w:rFonts w:ascii="Times New Roman" w:hAnsi="Times New Roman"/>
          <w:sz w:val="24"/>
        </w:rPr>
        <w:t>engaged in</w:t>
      </w:r>
      <w:r w:rsidRPr="008F2C44">
        <w:rPr>
          <w:rFonts w:ascii="Times New Roman" w:hAnsi="Times New Roman"/>
          <w:sz w:val="24"/>
        </w:rPr>
        <w:t xml:space="preserve"> youth violence prevention (YVP)</w:t>
      </w:r>
      <w:r>
        <w:rPr>
          <w:rFonts w:ascii="Times New Roman" w:hAnsi="Times New Roman"/>
          <w:sz w:val="24"/>
        </w:rPr>
        <w:t xml:space="preserve"> and which of those participate actively in a city-wide </w:t>
      </w:r>
      <w:r w:rsidRPr="008F2C44">
        <w:rPr>
          <w:rFonts w:ascii="Times New Roman" w:hAnsi="Times New Roman"/>
          <w:sz w:val="24"/>
        </w:rPr>
        <w:t>coalition</w:t>
      </w:r>
      <w:r w:rsidR="006F1CC6">
        <w:rPr>
          <w:rFonts w:ascii="Times New Roman" w:hAnsi="Times New Roman"/>
          <w:sz w:val="24"/>
        </w:rPr>
        <w:t xml:space="preserve"> of YVP organizations</w:t>
      </w:r>
      <w:r>
        <w:rPr>
          <w:rFonts w:ascii="Times New Roman" w:hAnsi="Times New Roman"/>
          <w:sz w:val="24"/>
        </w:rPr>
        <w:t>; (2) to identify the different intervention orientations espoused and compare those to the types of YVP strategies actually used by organizations both in and outside the coalition (which may shed more light on the causal assumptions and implicit theories</w:t>
      </w:r>
      <w:r w:rsidRPr="00E74527">
        <w:rPr>
          <w:rFonts w:ascii="Times New Roman" w:hAnsi="Times New Roman"/>
          <w:sz w:val="24"/>
        </w:rPr>
        <w:t xml:space="preserve"> o</w:t>
      </w:r>
      <w:r>
        <w:rPr>
          <w:rFonts w:ascii="Times New Roman" w:hAnsi="Times New Roman"/>
          <w:sz w:val="24"/>
        </w:rPr>
        <w:t>f change at work among th</w:t>
      </w:r>
      <w:r w:rsidRPr="00E74527">
        <w:rPr>
          <w:rFonts w:ascii="Times New Roman" w:hAnsi="Times New Roman"/>
          <w:sz w:val="24"/>
        </w:rPr>
        <w:t xml:space="preserve">e </w:t>
      </w:r>
      <w:r>
        <w:rPr>
          <w:rFonts w:ascii="Times New Roman" w:hAnsi="Times New Roman"/>
          <w:sz w:val="24"/>
        </w:rPr>
        <w:t>diverse kinds of organizations engaged in YVP);</w:t>
      </w:r>
      <w:r w:rsidRPr="00E74527">
        <w:rPr>
          <w:rFonts w:ascii="Times New Roman" w:hAnsi="Times New Roman"/>
          <w:sz w:val="24"/>
        </w:rPr>
        <w:t xml:space="preserve"> </w:t>
      </w:r>
      <w:r>
        <w:rPr>
          <w:rFonts w:ascii="Times New Roman" w:hAnsi="Times New Roman"/>
          <w:sz w:val="24"/>
        </w:rPr>
        <w:t xml:space="preserve"> (3) to determine </w:t>
      </w:r>
      <w:r w:rsidRPr="0082520D">
        <w:rPr>
          <w:rFonts w:ascii="Times New Roman" w:hAnsi="Times New Roman"/>
          <w:sz w:val="24"/>
        </w:rPr>
        <w:t>whether different types of organizations use different YVP strategies</w:t>
      </w:r>
      <w:r>
        <w:rPr>
          <w:rFonts w:ascii="Times New Roman" w:hAnsi="Times New Roman"/>
          <w:sz w:val="24"/>
        </w:rPr>
        <w:t>; (4) to see whether th</w:t>
      </w:r>
      <w:r w:rsidRPr="008F2C44">
        <w:rPr>
          <w:rFonts w:ascii="Times New Roman" w:hAnsi="Times New Roman"/>
          <w:sz w:val="24"/>
        </w:rPr>
        <w:t xml:space="preserve">e </w:t>
      </w:r>
      <w:r>
        <w:rPr>
          <w:rFonts w:ascii="Times New Roman" w:hAnsi="Times New Roman"/>
          <w:sz w:val="24"/>
        </w:rPr>
        <w:t xml:space="preserve">strategies adopted change over time; (5) to track trends in </w:t>
      </w:r>
      <w:r>
        <w:rPr>
          <w:rFonts w:ascii="Times New Roman" w:hAnsi="Times New Roman"/>
          <w:sz w:val="24"/>
        </w:rPr>
        <w:lastRenderedPageBreak/>
        <w:t xml:space="preserve">coalition participation over its first five years; (6) to identify any links between coalition participation and YVP strategies chosen. To further illuminate goals 1, 5, and 6, we conclude with </w:t>
      </w:r>
      <w:r w:rsidRPr="008F2C44">
        <w:rPr>
          <w:rFonts w:ascii="Times New Roman" w:hAnsi="Times New Roman"/>
          <w:sz w:val="24"/>
        </w:rPr>
        <w:t xml:space="preserve">a </w:t>
      </w:r>
      <w:r>
        <w:rPr>
          <w:rFonts w:ascii="Times New Roman" w:hAnsi="Times New Roman"/>
          <w:sz w:val="24"/>
        </w:rPr>
        <w:t xml:space="preserve">social </w:t>
      </w:r>
      <w:r w:rsidRPr="008F2C44">
        <w:rPr>
          <w:rFonts w:ascii="Times New Roman" w:hAnsi="Times New Roman"/>
          <w:sz w:val="24"/>
        </w:rPr>
        <w:t xml:space="preserve">network </w:t>
      </w:r>
      <w:r>
        <w:rPr>
          <w:rFonts w:ascii="Times New Roman" w:hAnsi="Times New Roman"/>
          <w:sz w:val="24"/>
        </w:rPr>
        <w:t xml:space="preserve">analysis </w:t>
      </w:r>
      <w:r w:rsidRPr="008F2C44">
        <w:rPr>
          <w:rFonts w:ascii="Times New Roman" w:hAnsi="Times New Roman"/>
          <w:sz w:val="24"/>
        </w:rPr>
        <w:t>of int</w:t>
      </w:r>
      <w:r>
        <w:rPr>
          <w:rFonts w:ascii="Times New Roman" w:hAnsi="Times New Roman"/>
          <w:sz w:val="24"/>
        </w:rPr>
        <w:t>er-organizational collaboration on any type of YVP activity</w:t>
      </w:r>
      <w:r w:rsidRPr="008F2C44">
        <w:rPr>
          <w:rFonts w:ascii="Times New Roman" w:hAnsi="Times New Roman"/>
          <w:sz w:val="24"/>
        </w:rPr>
        <w:t xml:space="preserve"> </w:t>
      </w:r>
      <w:r>
        <w:rPr>
          <w:rFonts w:ascii="Times New Roman" w:hAnsi="Times New Roman"/>
          <w:sz w:val="24"/>
        </w:rPr>
        <w:t>over a five-year period among all organizations, both in and outside the</w:t>
      </w:r>
      <w:r w:rsidRPr="008F2C44">
        <w:rPr>
          <w:rFonts w:ascii="Times New Roman" w:hAnsi="Times New Roman"/>
          <w:sz w:val="24"/>
        </w:rPr>
        <w:t xml:space="preserve"> coalition.</w:t>
      </w:r>
      <w:r w:rsidR="00940436">
        <w:rPr>
          <w:rFonts w:ascii="Times New Roman" w:hAnsi="Times New Roman"/>
          <w:sz w:val="24"/>
        </w:rPr>
        <w:t xml:space="preserve"> </w:t>
      </w:r>
      <w:r w:rsidR="00296B2B">
        <w:rPr>
          <w:rFonts w:ascii="Times New Roman" w:hAnsi="Times New Roman"/>
          <w:sz w:val="24"/>
        </w:rPr>
        <w:t xml:space="preserve">This is the first study to include </w:t>
      </w:r>
      <w:r w:rsidR="001D30C5">
        <w:rPr>
          <w:rFonts w:ascii="Times New Roman" w:hAnsi="Times New Roman"/>
          <w:sz w:val="24"/>
        </w:rPr>
        <w:t>virtually all</w:t>
      </w:r>
      <w:r w:rsidR="00296B2B">
        <w:rPr>
          <w:rFonts w:ascii="Times New Roman" w:hAnsi="Times New Roman"/>
          <w:sz w:val="24"/>
        </w:rPr>
        <w:t xml:space="preserve"> organizations </w:t>
      </w:r>
      <w:r w:rsidR="001D30C5">
        <w:rPr>
          <w:rFonts w:ascii="Times New Roman" w:hAnsi="Times New Roman"/>
          <w:sz w:val="24"/>
        </w:rPr>
        <w:t xml:space="preserve">engaged in YVP </w:t>
      </w:r>
      <w:r w:rsidR="00296B2B">
        <w:rPr>
          <w:rFonts w:ascii="Times New Roman" w:hAnsi="Times New Roman"/>
          <w:sz w:val="24"/>
        </w:rPr>
        <w:t>in a</w:t>
      </w:r>
      <w:r w:rsidR="001D30C5">
        <w:rPr>
          <w:rFonts w:ascii="Times New Roman" w:hAnsi="Times New Roman"/>
          <w:sz w:val="24"/>
        </w:rPr>
        <w:t>n entire city</w:t>
      </w:r>
      <w:r w:rsidR="00296B2B">
        <w:rPr>
          <w:rFonts w:ascii="Times New Roman" w:hAnsi="Times New Roman"/>
          <w:sz w:val="24"/>
        </w:rPr>
        <w:t xml:space="preserve"> and to analyze their activity and collaboration over five years.</w:t>
      </w:r>
      <w:r>
        <w:rPr>
          <w:rFonts w:ascii="Times New Roman" w:hAnsi="Times New Roman"/>
          <w:sz w:val="24"/>
        </w:rPr>
        <w:t xml:space="preserve"> </w:t>
      </w:r>
    </w:p>
    <w:p w14:paraId="79F8D088" w14:textId="77777777" w:rsidR="00521F9F" w:rsidRDefault="00521F9F" w:rsidP="00A55AAE">
      <w:pPr>
        <w:spacing w:after="0"/>
        <w:contextualSpacing/>
        <w:rPr>
          <w:rFonts w:ascii="Times New Roman" w:hAnsi="Times New Roman"/>
          <w:sz w:val="24"/>
          <w:szCs w:val="24"/>
        </w:rPr>
      </w:pPr>
      <w:r>
        <w:rPr>
          <w:rFonts w:ascii="Times New Roman" w:hAnsi="Times New Roman"/>
          <w:sz w:val="24"/>
          <w:szCs w:val="24"/>
          <w:u w:val="single"/>
        </w:rPr>
        <w:t>Youth Violence Prevention Strategies</w:t>
      </w:r>
    </w:p>
    <w:p w14:paraId="5964FAE6" w14:textId="28FF8112" w:rsidR="00521F9F" w:rsidRPr="009D4235" w:rsidRDefault="00B23DC5" w:rsidP="00D06584">
      <w:pPr>
        <w:spacing w:after="0"/>
        <w:ind w:firstLine="720"/>
        <w:contextualSpacing/>
        <w:rPr>
          <w:rFonts w:ascii="Times New Roman" w:hAnsi="Times New Roman"/>
          <w:sz w:val="24"/>
          <w:szCs w:val="24"/>
        </w:rPr>
      </w:pPr>
      <w:r>
        <w:rPr>
          <w:rFonts w:ascii="Times New Roman" w:hAnsi="Times New Roman"/>
          <w:sz w:val="24"/>
          <w:szCs w:val="24"/>
        </w:rPr>
        <w:t>Juvenile justice p</w:t>
      </w:r>
      <w:r w:rsidR="00521F9F" w:rsidRPr="009D4235">
        <w:rPr>
          <w:rFonts w:ascii="Times New Roman" w:hAnsi="Times New Roman"/>
          <w:sz w:val="24"/>
          <w:szCs w:val="24"/>
        </w:rPr>
        <w:t xml:space="preserve">rograms that </w:t>
      </w:r>
      <w:r w:rsidR="00521F9F">
        <w:rPr>
          <w:rFonts w:ascii="Times New Roman" w:hAnsi="Times New Roman"/>
          <w:sz w:val="24"/>
          <w:szCs w:val="24"/>
        </w:rPr>
        <w:t>use threat</w:t>
      </w:r>
      <w:r w:rsidR="00521F9F" w:rsidRPr="009D4235">
        <w:rPr>
          <w:rFonts w:ascii="Times New Roman" w:hAnsi="Times New Roman"/>
          <w:sz w:val="24"/>
          <w:szCs w:val="24"/>
        </w:rPr>
        <w:t xml:space="preserve"> of punishment to deter youth violence </w:t>
      </w:r>
      <w:r w:rsidR="006F45CF">
        <w:rPr>
          <w:rFonts w:ascii="Times New Roman" w:hAnsi="Times New Roman"/>
          <w:sz w:val="24"/>
          <w:szCs w:val="24"/>
        </w:rPr>
        <w:t>ar</w:t>
      </w:r>
      <w:r>
        <w:rPr>
          <w:rFonts w:ascii="Times New Roman" w:hAnsi="Times New Roman"/>
          <w:sz w:val="24"/>
          <w:szCs w:val="24"/>
        </w:rPr>
        <w:t xml:space="preserve">e </w:t>
      </w:r>
      <w:r w:rsidR="00521F9F" w:rsidRPr="009D4235">
        <w:rPr>
          <w:rFonts w:ascii="Times New Roman" w:hAnsi="Times New Roman"/>
          <w:sz w:val="24"/>
          <w:szCs w:val="24"/>
        </w:rPr>
        <w:t xml:space="preserve">ineffective </w:t>
      </w:r>
      <w:r w:rsidR="00521F9F" w:rsidRPr="001D2ECF">
        <w:rPr>
          <w:rFonts w:ascii="Times New Roman" w:hAnsi="Times New Roman"/>
          <w:sz w:val="24"/>
          <w:szCs w:val="24"/>
        </w:rPr>
        <w:t>(</w:t>
      </w:r>
      <w:proofErr w:type="spellStart"/>
      <w:r w:rsidR="00521F9F" w:rsidRPr="001D2ECF">
        <w:rPr>
          <w:rFonts w:ascii="Times New Roman" w:hAnsi="Times New Roman"/>
          <w:sz w:val="24"/>
          <w:szCs w:val="24"/>
        </w:rPr>
        <w:t>Klenowski</w:t>
      </w:r>
      <w:proofErr w:type="spellEnd"/>
      <w:r w:rsidR="00521F9F" w:rsidRPr="001D2ECF">
        <w:rPr>
          <w:rFonts w:ascii="Times New Roman" w:hAnsi="Times New Roman"/>
          <w:sz w:val="24"/>
          <w:szCs w:val="24"/>
        </w:rPr>
        <w:t xml:space="preserve"> </w:t>
      </w:r>
      <w:r w:rsidR="00304F2F" w:rsidRPr="001D2ECF">
        <w:rPr>
          <w:rFonts w:ascii="Times New Roman" w:hAnsi="Times New Roman"/>
          <w:sz w:val="24"/>
          <w:szCs w:val="24"/>
        </w:rPr>
        <w:t>et al.</w:t>
      </w:r>
      <w:r w:rsidR="00521F9F" w:rsidRPr="001D2ECF">
        <w:rPr>
          <w:rFonts w:ascii="Times New Roman" w:hAnsi="Times New Roman"/>
          <w:sz w:val="24"/>
          <w:szCs w:val="24"/>
        </w:rPr>
        <w:t xml:space="preserve"> 2010</w:t>
      </w:r>
      <w:r w:rsidR="00521F9F" w:rsidRPr="009D4235">
        <w:rPr>
          <w:rFonts w:ascii="Times New Roman" w:hAnsi="Times New Roman"/>
          <w:sz w:val="24"/>
          <w:szCs w:val="24"/>
        </w:rPr>
        <w:t xml:space="preserve">). </w:t>
      </w:r>
      <w:r w:rsidR="00327710">
        <w:rPr>
          <w:rFonts w:ascii="Times New Roman" w:hAnsi="Times New Roman"/>
          <w:sz w:val="24"/>
          <w:szCs w:val="24"/>
        </w:rPr>
        <w:t xml:space="preserve">In </w:t>
      </w:r>
      <w:r w:rsidR="006F45CF">
        <w:rPr>
          <w:rFonts w:ascii="Times New Roman" w:hAnsi="Times New Roman"/>
          <w:sz w:val="24"/>
          <w:szCs w:val="24"/>
        </w:rPr>
        <w:t>contrast,</w:t>
      </w:r>
      <w:r w:rsidR="00521F9F" w:rsidRPr="009D4235">
        <w:rPr>
          <w:rFonts w:ascii="Times New Roman" w:hAnsi="Times New Roman"/>
          <w:sz w:val="24"/>
          <w:szCs w:val="24"/>
        </w:rPr>
        <w:t xml:space="preserve"> </w:t>
      </w:r>
      <w:r w:rsidR="006F45CF">
        <w:rPr>
          <w:rFonts w:ascii="Times New Roman" w:hAnsi="Times New Roman"/>
          <w:sz w:val="24"/>
          <w:szCs w:val="24"/>
        </w:rPr>
        <w:t>p</w:t>
      </w:r>
      <w:r w:rsidR="00521F9F" w:rsidRPr="009D4235">
        <w:rPr>
          <w:rFonts w:ascii="Times New Roman" w:hAnsi="Times New Roman"/>
          <w:sz w:val="24"/>
          <w:szCs w:val="24"/>
        </w:rPr>
        <w:t>ositive youth development programs</w:t>
      </w:r>
      <w:r w:rsidR="00521F9F">
        <w:rPr>
          <w:rFonts w:ascii="Times New Roman" w:hAnsi="Times New Roman"/>
          <w:sz w:val="24"/>
          <w:szCs w:val="24"/>
        </w:rPr>
        <w:t xml:space="preserve"> </w:t>
      </w:r>
      <w:r w:rsidR="00F71F72">
        <w:rPr>
          <w:rFonts w:ascii="Times New Roman" w:hAnsi="Times New Roman"/>
          <w:sz w:val="24"/>
          <w:szCs w:val="24"/>
        </w:rPr>
        <w:t xml:space="preserve">aim to </w:t>
      </w:r>
      <w:r w:rsidR="00521F9F" w:rsidRPr="00D06584">
        <w:rPr>
          <w:rFonts w:ascii="Times New Roman" w:hAnsi="Times New Roman"/>
          <w:sz w:val="24"/>
          <w:szCs w:val="24"/>
        </w:rPr>
        <w:t>strengthen social,</w:t>
      </w:r>
      <w:r w:rsidR="00521F9F">
        <w:rPr>
          <w:rFonts w:ascii="Times New Roman" w:hAnsi="Times New Roman"/>
          <w:sz w:val="24"/>
          <w:szCs w:val="24"/>
        </w:rPr>
        <w:t xml:space="preserve"> </w:t>
      </w:r>
      <w:r w:rsidR="00521F9F" w:rsidRPr="00D06584">
        <w:rPr>
          <w:rFonts w:ascii="Times New Roman" w:hAnsi="Times New Roman"/>
          <w:sz w:val="24"/>
          <w:szCs w:val="24"/>
        </w:rPr>
        <w:t>emotional, behavioral, cognitive, and moral</w:t>
      </w:r>
      <w:r w:rsidR="00521F9F">
        <w:rPr>
          <w:rFonts w:ascii="Times New Roman" w:hAnsi="Times New Roman"/>
          <w:sz w:val="24"/>
          <w:szCs w:val="24"/>
        </w:rPr>
        <w:t xml:space="preserve"> </w:t>
      </w:r>
      <w:r w:rsidR="00521F9F" w:rsidRPr="00D06584">
        <w:rPr>
          <w:rFonts w:ascii="Times New Roman" w:hAnsi="Times New Roman"/>
          <w:sz w:val="24"/>
          <w:szCs w:val="24"/>
        </w:rPr>
        <w:t>competencies</w:t>
      </w:r>
      <w:r w:rsidR="00967F4B">
        <w:rPr>
          <w:rFonts w:ascii="Times New Roman" w:hAnsi="Times New Roman"/>
          <w:sz w:val="24"/>
          <w:szCs w:val="24"/>
        </w:rPr>
        <w:t xml:space="preserve"> and</w:t>
      </w:r>
      <w:r w:rsidR="00521F9F" w:rsidRPr="00D06584">
        <w:rPr>
          <w:rFonts w:ascii="Times New Roman" w:hAnsi="Times New Roman"/>
          <w:sz w:val="24"/>
          <w:szCs w:val="24"/>
        </w:rPr>
        <w:t xml:space="preserve"> self-efficacy</w:t>
      </w:r>
      <w:r w:rsidR="00967F4B">
        <w:rPr>
          <w:rFonts w:ascii="Times New Roman" w:hAnsi="Times New Roman"/>
          <w:sz w:val="24"/>
          <w:szCs w:val="24"/>
        </w:rPr>
        <w:t>,</w:t>
      </w:r>
      <w:r w:rsidR="00521F9F" w:rsidRPr="00D06584">
        <w:rPr>
          <w:rFonts w:ascii="Times New Roman" w:hAnsi="Times New Roman"/>
          <w:sz w:val="24"/>
          <w:szCs w:val="24"/>
        </w:rPr>
        <w:t xml:space="preserve"> </w:t>
      </w:r>
      <w:r w:rsidR="00967F4B">
        <w:rPr>
          <w:rFonts w:ascii="Times New Roman" w:hAnsi="Times New Roman"/>
          <w:sz w:val="24"/>
          <w:szCs w:val="24"/>
        </w:rPr>
        <w:t>provide</w:t>
      </w:r>
      <w:r w:rsidR="00521F9F" w:rsidRPr="00D06584">
        <w:rPr>
          <w:rFonts w:ascii="Times New Roman" w:hAnsi="Times New Roman"/>
          <w:sz w:val="24"/>
          <w:szCs w:val="24"/>
        </w:rPr>
        <w:t xml:space="preserve"> </w:t>
      </w:r>
      <w:r w:rsidR="00967F4B">
        <w:rPr>
          <w:rFonts w:ascii="Times New Roman" w:hAnsi="Times New Roman"/>
          <w:sz w:val="24"/>
          <w:szCs w:val="24"/>
        </w:rPr>
        <w:t>opportunities</w:t>
      </w:r>
      <w:r w:rsidR="00967F4B" w:rsidRPr="00D06584">
        <w:rPr>
          <w:rFonts w:ascii="Times New Roman" w:hAnsi="Times New Roman"/>
          <w:sz w:val="24"/>
          <w:szCs w:val="24"/>
        </w:rPr>
        <w:t xml:space="preserve"> </w:t>
      </w:r>
      <w:r w:rsidR="00967F4B">
        <w:rPr>
          <w:rFonts w:ascii="Times New Roman" w:hAnsi="Times New Roman"/>
          <w:sz w:val="24"/>
          <w:szCs w:val="24"/>
        </w:rPr>
        <w:t xml:space="preserve">plus </w:t>
      </w:r>
      <w:r w:rsidR="00521F9F" w:rsidRPr="00D06584">
        <w:rPr>
          <w:rFonts w:ascii="Times New Roman" w:hAnsi="Times New Roman"/>
          <w:sz w:val="24"/>
          <w:szCs w:val="24"/>
        </w:rPr>
        <w:t>clear</w:t>
      </w:r>
      <w:r w:rsidR="005836F2">
        <w:rPr>
          <w:rFonts w:ascii="Times New Roman" w:hAnsi="Times New Roman"/>
          <w:sz w:val="24"/>
          <w:szCs w:val="24"/>
        </w:rPr>
        <w:t>,</w:t>
      </w:r>
      <w:r w:rsidR="00967F4B">
        <w:rPr>
          <w:rFonts w:ascii="Times New Roman" w:hAnsi="Times New Roman"/>
          <w:sz w:val="24"/>
          <w:szCs w:val="24"/>
        </w:rPr>
        <w:t xml:space="preserve"> shared behavioral expectations</w:t>
      </w:r>
      <w:r w:rsidR="005836F2">
        <w:rPr>
          <w:rFonts w:ascii="Times New Roman" w:hAnsi="Times New Roman"/>
          <w:sz w:val="24"/>
          <w:szCs w:val="24"/>
        </w:rPr>
        <w:t xml:space="preserve"> through</w:t>
      </w:r>
      <w:r w:rsidR="00967F4B">
        <w:rPr>
          <w:rFonts w:ascii="Times New Roman" w:hAnsi="Times New Roman"/>
          <w:sz w:val="24"/>
          <w:szCs w:val="24"/>
        </w:rPr>
        <w:t xml:space="preserve"> </w:t>
      </w:r>
      <w:r w:rsidR="005836F2">
        <w:rPr>
          <w:rFonts w:ascii="Times New Roman" w:hAnsi="Times New Roman"/>
          <w:sz w:val="24"/>
          <w:szCs w:val="24"/>
        </w:rPr>
        <w:t>program structure and consistency</w:t>
      </w:r>
      <w:r w:rsidR="00967F4B">
        <w:rPr>
          <w:rFonts w:ascii="Times New Roman" w:hAnsi="Times New Roman"/>
          <w:sz w:val="24"/>
          <w:szCs w:val="24"/>
        </w:rPr>
        <w:t>,</w:t>
      </w:r>
      <w:r w:rsidR="00521F9F">
        <w:rPr>
          <w:rFonts w:ascii="Times New Roman" w:hAnsi="Times New Roman"/>
          <w:sz w:val="24"/>
          <w:szCs w:val="24"/>
        </w:rPr>
        <w:t xml:space="preserve"> </w:t>
      </w:r>
      <w:r w:rsidR="00521F9F" w:rsidRPr="00D06584">
        <w:rPr>
          <w:rFonts w:ascii="Times New Roman" w:hAnsi="Times New Roman"/>
          <w:sz w:val="24"/>
          <w:szCs w:val="24"/>
        </w:rPr>
        <w:t xml:space="preserve">increase healthy </w:t>
      </w:r>
      <w:r w:rsidR="00967F4B">
        <w:rPr>
          <w:rFonts w:ascii="Times New Roman" w:hAnsi="Times New Roman"/>
          <w:sz w:val="24"/>
          <w:szCs w:val="24"/>
        </w:rPr>
        <w:t>relationships</w:t>
      </w:r>
      <w:r w:rsidR="00521F9F" w:rsidRPr="00D06584">
        <w:rPr>
          <w:rFonts w:ascii="Times New Roman" w:hAnsi="Times New Roman"/>
          <w:sz w:val="24"/>
          <w:szCs w:val="24"/>
        </w:rPr>
        <w:t xml:space="preserve"> with peers,</w:t>
      </w:r>
      <w:r w:rsidR="00521F9F">
        <w:rPr>
          <w:rFonts w:ascii="Times New Roman" w:hAnsi="Times New Roman"/>
          <w:sz w:val="24"/>
          <w:szCs w:val="24"/>
        </w:rPr>
        <w:t xml:space="preserve"> </w:t>
      </w:r>
      <w:r w:rsidR="00521F9F" w:rsidRPr="00D06584">
        <w:rPr>
          <w:rFonts w:ascii="Times New Roman" w:hAnsi="Times New Roman"/>
          <w:sz w:val="24"/>
          <w:szCs w:val="24"/>
        </w:rPr>
        <w:t>younger children</w:t>
      </w:r>
      <w:r w:rsidR="00967F4B">
        <w:rPr>
          <w:rFonts w:ascii="Times New Roman" w:hAnsi="Times New Roman"/>
          <w:sz w:val="24"/>
          <w:szCs w:val="24"/>
        </w:rPr>
        <w:t xml:space="preserve"> and</w:t>
      </w:r>
      <w:r w:rsidR="00521F9F" w:rsidRPr="00D06584">
        <w:rPr>
          <w:rFonts w:ascii="Times New Roman" w:hAnsi="Times New Roman"/>
          <w:sz w:val="24"/>
          <w:szCs w:val="24"/>
        </w:rPr>
        <w:t xml:space="preserve"> </w:t>
      </w:r>
      <w:r w:rsidR="00967F4B" w:rsidRPr="00D06584">
        <w:rPr>
          <w:rFonts w:ascii="Times New Roman" w:hAnsi="Times New Roman"/>
          <w:sz w:val="24"/>
          <w:szCs w:val="24"/>
        </w:rPr>
        <w:t>adults</w:t>
      </w:r>
      <w:r w:rsidR="00967F4B">
        <w:rPr>
          <w:rFonts w:ascii="Times New Roman" w:hAnsi="Times New Roman"/>
          <w:sz w:val="24"/>
          <w:szCs w:val="24"/>
        </w:rPr>
        <w:t>,</w:t>
      </w:r>
      <w:r w:rsidR="00967F4B" w:rsidRPr="00D06584">
        <w:rPr>
          <w:rFonts w:ascii="Times New Roman" w:hAnsi="Times New Roman"/>
          <w:sz w:val="24"/>
          <w:szCs w:val="24"/>
        </w:rPr>
        <w:t xml:space="preserve"> </w:t>
      </w:r>
      <w:r w:rsidR="00521F9F">
        <w:rPr>
          <w:rFonts w:ascii="Times New Roman" w:hAnsi="Times New Roman"/>
          <w:sz w:val="24"/>
          <w:szCs w:val="24"/>
        </w:rPr>
        <w:t xml:space="preserve">and attend to important </w:t>
      </w:r>
      <w:r w:rsidR="00521F9F" w:rsidRPr="00D43BD9">
        <w:rPr>
          <w:rFonts w:ascii="Times New Roman" w:hAnsi="Times New Roman"/>
          <w:sz w:val="24"/>
          <w:szCs w:val="24"/>
        </w:rPr>
        <w:t>social and environmental</w:t>
      </w:r>
      <w:r w:rsidR="00521F9F">
        <w:rPr>
          <w:rFonts w:ascii="Times New Roman" w:hAnsi="Times New Roman"/>
          <w:sz w:val="24"/>
          <w:szCs w:val="24"/>
        </w:rPr>
        <w:t xml:space="preserve"> </w:t>
      </w:r>
      <w:r w:rsidR="00521F9F" w:rsidRPr="00D43BD9">
        <w:rPr>
          <w:rFonts w:ascii="Times New Roman" w:hAnsi="Times New Roman"/>
          <w:sz w:val="24"/>
          <w:szCs w:val="24"/>
        </w:rPr>
        <w:t>factors that affect the successful completion</w:t>
      </w:r>
      <w:r w:rsidR="00521F9F">
        <w:rPr>
          <w:rFonts w:ascii="Times New Roman" w:hAnsi="Times New Roman"/>
          <w:sz w:val="24"/>
          <w:szCs w:val="24"/>
        </w:rPr>
        <w:t xml:space="preserve"> </w:t>
      </w:r>
      <w:r w:rsidR="00521F9F" w:rsidRPr="00D43BD9">
        <w:rPr>
          <w:rFonts w:ascii="Times New Roman" w:hAnsi="Times New Roman"/>
          <w:sz w:val="24"/>
          <w:szCs w:val="24"/>
        </w:rPr>
        <w:t>of developmental tasks</w:t>
      </w:r>
      <w:r w:rsidR="00521F9F">
        <w:rPr>
          <w:rFonts w:ascii="Times New Roman" w:hAnsi="Times New Roman"/>
          <w:sz w:val="24"/>
          <w:szCs w:val="24"/>
        </w:rPr>
        <w:t>. R</w:t>
      </w:r>
      <w:r w:rsidR="00521F9F" w:rsidRPr="009D4235">
        <w:rPr>
          <w:rFonts w:ascii="Times New Roman" w:hAnsi="Times New Roman"/>
          <w:sz w:val="24"/>
          <w:szCs w:val="24"/>
        </w:rPr>
        <w:t xml:space="preserve">esearch </w:t>
      </w:r>
      <w:r w:rsidR="00521F9F">
        <w:rPr>
          <w:rFonts w:ascii="Times New Roman" w:hAnsi="Times New Roman"/>
          <w:sz w:val="24"/>
          <w:szCs w:val="24"/>
        </w:rPr>
        <w:t xml:space="preserve">on the </w:t>
      </w:r>
      <w:r>
        <w:rPr>
          <w:rFonts w:ascii="Times New Roman" w:hAnsi="Times New Roman"/>
          <w:sz w:val="24"/>
          <w:szCs w:val="24"/>
        </w:rPr>
        <w:t xml:space="preserve">effect </w:t>
      </w:r>
      <w:r w:rsidR="00521F9F">
        <w:rPr>
          <w:rFonts w:ascii="Times New Roman" w:hAnsi="Times New Roman"/>
          <w:sz w:val="24"/>
          <w:szCs w:val="24"/>
        </w:rPr>
        <w:t>of</w:t>
      </w:r>
      <w:r w:rsidR="00521F9F" w:rsidRPr="009D4235">
        <w:rPr>
          <w:rFonts w:ascii="Times New Roman" w:hAnsi="Times New Roman"/>
          <w:sz w:val="24"/>
          <w:szCs w:val="24"/>
        </w:rPr>
        <w:t xml:space="preserve"> positive youth development </w:t>
      </w:r>
      <w:r>
        <w:rPr>
          <w:rFonts w:ascii="Times New Roman" w:hAnsi="Times New Roman"/>
          <w:sz w:val="24"/>
          <w:szCs w:val="24"/>
        </w:rPr>
        <w:t>programs</w:t>
      </w:r>
      <w:r w:rsidR="00521F9F" w:rsidRPr="009D4235">
        <w:rPr>
          <w:rFonts w:ascii="Times New Roman" w:hAnsi="Times New Roman"/>
          <w:sz w:val="24"/>
          <w:szCs w:val="24"/>
        </w:rPr>
        <w:t xml:space="preserve"> o</w:t>
      </w:r>
      <w:r>
        <w:rPr>
          <w:rFonts w:ascii="Times New Roman" w:hAnsi="Times New Roman"/>
          <w:sz w:val="24"/>
          <w:szCs w:val="24"/>
        </w:rPr>
        <w:t>n</w:t>
      </w:r>
      <w:r w:rsidR="00521F9F" w:rsidRPr="009D4235">
        <w:rPr>
          <w:rFonts w:ascii="Times New Roman" w:hAnsi="Times New Roman"/>
          <w:sz w:val="24"/>
          <w:szCs w:val="24"/>
        </w:rPr>
        <w:t xml:space="preserve"> youth violence</w:t>
      </w:r>
      <w:r w:rsidR="00521F9F">
        <w:rPr>
          <w:rFonts w:ascii="Times New Roman" w:hAnsi="Times New Roman"/>
          <w:sz w:val="24"/>
          <w:szCs w:val="24"/>
        </w:rPr>
        <w:t xml:space="preserve"> is still </w:t>
      </w:r>
      <w:r w:rsidR="00431A2F">
        <w:rPr>
          <w:rFonts w:ascii="Times New Roman" w:hAnsi="Times New Roman"/>
          <w:sz w:val="24"/>
          <w:szCs w:val="24"/>
        </w:rPr>
        <w:t>undertheorized</w:t>
      </w:r>
      <w:r w:rsidR="00521F9F">
        <w:rPr>
          <w:rFonts w:ascii="Times New Roman" w:hAnsi="Times New Roman"/>
          <w:sz w:val="24"/>
          <w:szCs w:val="24"/>
        </w:rPr>
        <w:t xml:space="preserve"> and inconclusive, however</w:t>
      </w:r>
      <w:r w:rsidR="00F03A63">
        <w:rPr>
          <w:rFonts w:ascii="Times New Roman" w:hAnsi="Times New Roman"/>
          <w:sz w:val="24"/>
          <w:szCs w:val="24"/>
        </w:rPr>
        <w:t xml:space="preserve"> (</w:t>
      </w:r>
      <w:proofErr w:type="spellStart"/>
      <w:r w:rsidR="00F03A63">
        <w:rPr>
          <w:rFonts w:ascii="Times New Roman" w:hAnsi="Times New Roman"/>
          <w:sz w:val="24"/>
          <w:szCs w:val="24"/>
        </w:rPr>
        <w:t>Bonell</w:t>
      </w:r>
      <w:proofErr w:type="spellEnd"/>
      <w:r w:rsidR="00F03A63">
        <w:rPr>
          <w:rFonts w:ascii="Times New Roman" w:hAnsi="Times New Roman"/>
          <w:sz w:val="24"/>
          <w:szCs w:val="24"/>
        </w:rPr>
        <w:t xml:space="preserve"> et al. 2016)</w:t>
      </w:r>
      <w:r w:rsidR="00521F9F" w:rsidRPr="009D4235">
        <w:rPr>
          <w:rFonts w:ascii="Times New Roman" w:hAnsi="Times New Roman"/>
          <w:sz w:val="24"/>
          <w:szCs w:val="24"/>
        </w:rPr>
        <w:t>.</w:t>
      </w:r>
      <w:r w:rsidR="00521F9F">
        <w:rPr>
          <w:rFonts w:ascii="Times New Roman" w:hAnsi="Times New Roman"/>
          <w:sz w:val="24"/>
          <w:szCs w:val="24"/>
        </w:rPr>
        <w:t xml:space="preserve"> </w:t>
      </w:r>
    </w:p>
    <w:p w14:paraId="59223CD9" w14:textId="3C5CE5F0" w:rsidR="009024D2" w:rsidRPr="009D4235" w:rsidRDefault="00327710" w:rsidP="009024D2">
      <w:pPr>
        <w:spacing w:after="0"/>
        <w:ind w:firstLine="720"/>
        <w:contextualSpacing/>
        <w:rPr>
          <w:rFonts w:ascii="Times New Roman" w:hAnsi="Times New Roman"/>
          <w:sz w:val="24"/>
          <w:szCs w:val="24"/>
        </w:rPr>
      </w:pPr>
      <w:r>
        <w:rPr>
          <w:rFonts w:ascii="Times New Roman" w:hAnsi="Times New Roman"/>
          <w:sz w:val="24"/>
          <w:szCs w:val="24"/>
        </w:rPr>
        <w:t xml:space="preserve">Another </w:t>
      </w:r>
      <w:r w:rsidR="009024D2">
        <w:rPr>
          <w:rFonts w:ascii="Times New Roman" w:hAnsi="Times New Roman"/>
          <w:sz w:val="24"/>
          <w:szCs w:val="24"/>
        </w:rPr>
        <w:t>popular YVP strateg</w:t>
      </w:r>
      <w:r>
        <w:rPr>
          <w:rFonts w:ascii="Times New Roman" w:hAnsi="Times New Roman"/>
          <w:sz w:val="24"/>
          <w:szCs w:val="24"/>
        </w:rPr>
        <w:t>y</w:t>
      </w:r>
      <w:r w:rsidR="00610B8E">
        <w:rPr>
          <w:rFonts w:ascii="Times New Roman" w:hAnsi="Times New Roman"/>
          <w:sz w:val="24"/>
          <w:szCs w:val="24"/>
        </w:rPr>
        <w:t>,</w:t>
      </w:r>
      <w:r w:rsidR="009024D2">
        <w:rPr>
          <w:rFonts w:ascii="Times New Roman" w:hAnsi="Times New Roman"/>
          <w:sz w:val="24"/>
          <w:szCs w:val="24"/>
        </w:rPr>
        <w:t xml:space="preserve"> mentoring </w:t>
      </w:r>
      <w:r w:rsidR="00610B8E">
        <w:rPr>
          <w:rFonts w:ascii="Times New Roman" w:hAnsi="Times New Roman"/>
          <w:sz w:val="24"/>
          <w:szCs w:val="24"/>
        </w:rPr>
        <w:t>program</w:t>
      </w:r>
      <w:r w:rsidR="009024D2">
        <w:rPr>
          <w:rFonts w:ascii="Times New Roman" w:hAnsi="Times New Roman"/>
          <w:sz w:val="24"/>
          <w:szCs w:val="24"/>
        </w:rPr>
        <w:t>s</w:t>
      </w:r>
      <w:r w:rsidR="00610B8E">
        <w:rPr>
          <w:rFonts w:ascii="Times New Roman" w:hAnsi="Times New Roman"/>
          <w:sz w:val="24"/>
          <w:szCs w:val="24"/>
        </w:rPr>
        <w:t>,</w:t>
      </w:r>
      <w:r w:rsidR="009024D2">
        <w:rPr>
          <w:rFonts w:ascii="Times New Roman" w:hAnsi="Times New Roman"/>
          <w:sz w:val="24"/>
          <w:szCs w:val="24"/>
        </w:rPr>
        <w:t xml:space="preserve"> </w:t>
      </w:r>
      <w:r w:rsidR="00DB6575">
        <w:rPr>
          <w:rFonts w:ascii="Times New Roman" w:hAnsi="Times New Roman"/>
          <w:sz w:val="24"/>
          <w:szCs w:val="24"/>
        </w:rPr>
        <w:t xml:space="preserve">can </w:t>
      </w:r>
      <w:r w:rsidR="009024D2">
        <w:rPr>
          <w:rFonts w:ascii="Times New Roman" w:hAnsi="Times New Roman"/>
          <w:sz w:val="24"/>
          <w:szCs w:val="24"/>
        </w:rPr>
        <w:t xml:space="preserve">prevent or reduce </w:t>
      </w:r>
      <w:r w:rsidR="00DB6575" w:rsidRPr="007C7CB9">
        <w:rPr>
          <w:rFonts w:ascii="Times New Roman" w:hAnsi="Times New Roman"/>
          <w:sz w:val="24"/>
          <w:szCs w:val="24"/>
        </w:rPr>
        <w:t>at</w:t>
      </w:r>
      <w:r w:rsidR="00DB6575">
        <w:rPr>
          <w:rFonts w:ascii="Times New Roman" w:hAnsi="Times New Roman"/>
          <w:sz w:val="24"/>
          <w:szCs w:val="24"/>
        </w:rPr>
        <w:t>-</w:t>
      </w:r>
      <w:r w:rsidR="00DB6575" w:rsidRPr="007C7CB9">
        <w:rPr>
          <w:rFonts w:ascii="Times New Roman" w:hAnsi="Times New Roman"/>
          <w:sz w:val="24"/>
          <w:szCs w:val="24"/>
        </w:rPr>
        <w:t>risk</w:t>
      </w:r>
      <w:r w:rsidR="00DB6575">
        <w:rPr>
          <w:rFonts w:ascii="Times New Roman" w:hAnsi="Times New Roman"/>
          <w:sz w:val="24"/>
          <w:szCs w:val="24"/>
        </w:rPr>
        <w:t xml:space="preserve"> youth </w:t>
      </w:r>
      <w:r w:rsidR="009024D2" w:rsidRPr="007C7CB9">
        <w:rPr>
          <w:rFonts w:ascii="Times New Roman" w:hAnsi="Times New Roman"/>
          <w:sz w:val="24"/>
          <w:szCs w:val="24"/>
        </w:rPr>
        <w:t xml:space="preserve">delinquency and associated outcomes </w:t>
      </w:r>
      <w:r w:rsidR="009024D2">
        <w:rPr>
          <w:rFonts w:ascii="Times New Roman" w:hAnsi="Times New Roman"/>
          <w:sz w:val="24"/>
          <w:szCs w:val="24"/>
        </w:rPr>
        <w:t xml:space="preserve">(Tolan et al., 2014). </w:t>
      </w:r>
      <w:r w:rsidR="00DB6575">
        <w:rPr>
          <w:rFonts w:ascii="Times New Roman" w:hAnsi="Times New Roman"/>
          <w:sz w:val="24"/>
          <w:szCs w:val="24"/>
        </w:rPr>
        <w:t>E</w:t>
      </w:r>
      <w:r w:rsidR="009024D2">
        <w:rPr>
          <w:rFonts w:ascii="Times New Roman" w:hAnsi="Times New Roman"/>
          <w:sz w:val="24"/>
          <w:szCs w:val="24"/>
        </w:rPr>
        <w:t xml:space="preserve">ffects of mentoring </w:t>
      </w:r>
      <w:r w:rsidR="00DB6575">
        <w:rPr>
          <w:rFonts w:ascii="Times New Roman" w:hAnsi="Times New Roman"/>
          <w:sz w:val="24"/>
          <w:szCs w:val="24"/>
        </w:rPr>
        <w:t>vary</w:t>
      </w:r>
      <w:r w:rsidR="009024D2">
        <w:rPr>
          <w:rFonts w:ascii="Times New Roman" w:hAnsi="Times New Roman"/>
          <w:sz w:val="24"/>
          <w:szCs w:val="24"/>
        </w:rPr>
        <w:t xml:space="preserve"> across programs</w:t>
      </w:r>
      <w:r w:rsidR="00DB6575">
        <w:rPr>
          <w:rFonts w:ascii="Times New Roman" w:hAnsi="Times New Roman"/>
          <w:sz w:val="24"/>
          <w:szCs w:val="24"/>
        </w:rPr>
        <w:t>, however,</w:t>
      </w:r>
      <w:r w:rsidR="009024D2">
        <w:rPr>
          <w:rFonts w:ascii="Times New Roman" w:hAnsi="Times New Roman"/>
          <w:sz w:val="24"/>
          <w:szCs w:val="24"/>
        </w:rPr>
        <w:t xml:space="preserve"> and reports from interventions persistently lack details about program features and outcomes </w:t>
      </w:r>
      <w:r w:rsidR="005836F2">
        <w:rPr>
          <w:rFonts w:ascii="Times New Roman" w:hAnsi="Times New Roman"/>
          <w:sz w:val="24"/>
          <w:szCs w:val="24"/>
        </w:rPr>
        <w:t>(Tolan et al. 2014)</w:t>
      </w:r>
      <w:r w:rsidR="009024D2">
        <w:rPr>
          <w:rFonts w:ascii="Times New Roman" w:hAnsi="Times New Roman"/>
          <w:sz w:val="24"/>
          <w:szCs w:val="24"/>
        </w:rPr>
        <w:t xml:space="preserve">. Thus our understanding of mentoring’s mechanisms and benefits remains far from complete. Further, </w:t>
      </w:r>
      <w:r w:rsidR="009024D2" w:rsidRPr="009D4235">
        <w:rPr>
          <w:rFonts w:ascii="Times New Roman" w:hAnsi="Times New Roman"/>
          <w:sz w:val="24"/>
          <w:szCs w:val="24"/>
        </w:rPr>
        <w:t xml:space="preserve">the level of primary prevention in </w:t>
      </w:r>
      <w:r w:rsidR="009024D2">
        <w:rPr>
          <w:rFonts w:ascii="Times New Roman" w:hAnsi="Times New Roman"/>
          <w:sz w:val="24"/>
          <w:szCs w:val="24"/>
        </w:rPr>
        <w:t>many</w:t>
      </w:r>
      <w:r w:rsidR="009024D2" w:rsidRPr="009D4235">
        <w:rPr>
          <w:rFonts w:ascii="Times New Roman" w:hAnsi="Times New Roman"/>
          <w:sz w:val="24"/>
          <w:szCs w:val="24"/>
        </w:rPr>
        <w:t xml:space="preserve"> mentoring programs is questionable, as often youth must be first identified as at-risk</w:t>
      </w:r>
      <w:r w:rsidR="009024D2">
        <w:rPr>
          <w:rFonts w:ascii="Times New Roman" w:hAnsi="Times New Roman"/>
          <w:sz w:val="24"/>
          <w:szCs w:val="24"/>
        </w:rPr>
        <w:t xml:space="preserve">, if not </w:t>
      </w:r>
      <w:r w:rsidR="00DF5CF0">
        <w:rPr>
          <w:rFonts w:ascii="Times New Roman" w:hAnsi="Times New Roman"/>
          <w:sz w:val="24"/>
          <w:szCs w:val="24"/>
        </w:rPr>
        <w:t>already-</w:t>
      </w:r>
      <w:r w:rsidR="009024D2">
        <w:rPr>
          <w:rFonts w:ascii="Times New Roman" w:hAnsi="Times New Roman"/>
          <w:sz w:val="24"/>
          <w:szCs w:val="24"/>
        </w:rPr>
        <w:t>in</w:t>
      </w:r>
      <w:r w:rsidR="00DF5CF0">
        <w:rPr>
          <w:rFonts w:ascii="Times New Roman" w:hAnsi="Times New Roman"/>
          <w:sz w:val="24"/>
          <w:szCs w:val="24"/>
        </w:rPr>
        <w:t>-</w:t>
      </w:r>
      <w:r w:rsidR="009024D2">
        <w:rPr>
          <w:rFonts w:ascii="Times New Roman" w:hAnsi="Times New Roman"/>
          <w:sz w:val="24"/>
          <w:szCs w:val="24"/>
        </w:rPr>
        <w:t>trouble,</w:t>
      </w:r>
      <w:r w:rsidR="009024D2" w:rsidRPr="009D4235">
        <w:rPr>
          <w:rFonts w:ascii="Times New Roman" w:hAnsi="Times New Roman"/>
          <w:sz w:val="24"/>
          <w:szCs w:val="24"/>
        </w:rPr>
        <w:t xml:space="preserve"> before entering </w:t>
      </w:r>
      <w:r w:rsidR="009024D2">
        <w:rPr>
          <w:rFonts w:ascii="Times New Roman" w:hAnsi="Times New Roman"/>
          <w:sz w:val="24"/>
          <w:szCs w:val="24"/>
        </w:rPr>
        <w:t>some</w:t>
      </w:r>
      <w:r w:rsidR="009024D2" w:rsidRPr="009D4235">
        <w:rPr>
          <w:rFonts w:ascii="Times New Roman" w:hAnsi="Times New Roman"/>
          <w:sz w:val="24"/>
          <w:szCs w:val="24"/>
        </w:rPr>
        <w:t xml:space="preserve"> </w:t>
      </w:r>
      <w:r w:rsidR="009024D2">
        <w:rPr>
          <w:rFonts w:ascii="Times New Roman" w:hAnsi="Times New Roman"/>
          <w:sz w:val="24"/>
          <w:szCs w:val="24"/>
        </w:rPr>
        <w:t>programs</w:t>
      </w:r>
      <w:r w:rsidR="009024D2" w:rsidRPr="009D4235">
        <w:rPr>
          <w:rFonts w:ascii="Times New Roman" w:hAnsi="Times New Roman"/>
          <w:sz w:val="24"/>
          <w:szCs w:val="24"/>
        </w:rPr>
        <w:t xml:space="preserve">. </w:t>
      </w:r>
    </w:p>
    <w:p w14:paraId="45F896AC" w14:textId="00CD3C51" w:rsidR="00521F9F" w:rsidRDefault="005346F4" w:rsidP="00A55AAE">
      <w:pPr>
        <w:spacing w:after="0"/>
        <w:ind w:firstLine="720"/>
        <w:contextualSpacing/>
        <w:rPr>
          <w:rFonts w:ascii="Times New Roman" w:hAnsi="Times New Roman"/>
          <w:sz w:val="24"/>
          <w:szCs w:val="24"/>
        </w:rPr>
      </w:pPr>
      <w:r>
        <w:rPr>
          <w:rFonts w:ascii="Times New Roman" w:hAnsi="Times New Roman"/>
          <w:sz w:val="24"/>
          <w:szCs w:val="24"/>
        </w:rPr>
        <w:lastRenderedPageBreak/>
        <w:t>School-based s</w:t>
      </w:r>
      <w:r w:rsidRPr="0010426C">
        <w:rPr>
          <w:rFonts w:ascii="Times New Roman" w:hAnsi="Times New Roman"/>
          <w:sz w:val="24"/>
          <w:szCs w:val="24"/>
        </w:rPr>
        <w:t>ocial-emotional learning interventions</w:t>
      </w:r>
      <w:r>
        <w:rPr>
          <w:rFonts w:ascii="Times New Roman" w:hAnsi="Times New Roman"/>
          <w:sz w:val="24"/>
          <w:szCs w:val="24"/>
        </w:rPr>
        <w:t xml:space="preserve"> represent yet a</w:t>
      </w:r>
      <w:r w:rsidR="00C30B91">
        <w:rPr>
          <w:rFonts w:ascii="Times New Roman" w:hAnsi="Times New Roman"/>
          <w:sz w:val="24"/>
          <w:szCs w:val="24"/>
        </w:rPr>
        <w:t>nother popular</w:t>
      </w:r>
      <w:r>
        <w:rPr>
          <w:rFonts w:ascii="Times New Roman" w:hAnsi="Times New Roman"/>
          <w:sz w:val="24"/>
          <w:szCs w:val="24"/>
        </w:rPr>
        <w:t xml:space="preserve"> </w:t>
      </w:r>
      <w:r w:rsidR="00327710">
        <w:rPr>
          <w:rFonts w:ascii="Times New Roman" w:hAnsi="Times New Roman"/>
          <w:sz w:val="24"/>
          <w:szCs w:val="24"/>
        </w:rPr>
        <w:t>u</w:t>
      </w:r>
      <w:r w:rsidR="0010426C" w:rsidRPr="0010426C">
        <w:rPr>
          <w:rFonts w:ascii="Times New Roman" w:hAnsi="Times New Roman"/>
          <w:sz w:val="24"/>
          <w:szCs w:val="24"/>
        </w:rPr>
        <w:t>niversal YVP</w:t>
      </w:r>
      <w:r>
        <w:rPr>
          <w:rFonts w:ascii="Times New Roman" w:hAnsi="Times New Roman"/>
          <w:sz w:val="24"/>
          <w:szCs w:val="24"/>
        </w:rPr>
        <w:t xml:space="preserve"> strategy and</w:t>
      </w:r>
      <w:r w:rsidR="0010426C" w:rsidRPr="0010426C">
        <w:rPr>
          <w:rFonts w:ascii="Times New Roman" w:hAnsi="Times New Roman"/>
          <w:sz w:val="24"/>
          <w:szCs w:val="24"/>
        </w:rPr>
        <w:t xml:space="preserve"> </w:t>
      </w:r>
      <w:r w:rsidR="00DF5CF0">
        <w:rPr>
          <w:rFonts w:ascii="Times New Roman" w:hAnsi="Times New Roman"/>
          <w:sz w:val="24"/>
          <w:szCs w:val="24"/>
        </w:rPr>
        <w:t>can</w:t>
      </w:r>
      <w:r w:rsidR="0010426C" w:rsidRPr="0010426C">
        <w:rPr>
          <w:rFonts w:ascii="Times New Roman" w:hAnsi="Times New Roman"/>
          <w:sz w:val="24"/>
          <w:szCs w:val="24"/>
        </w:rPr>
        <w:t xml:space="preserve"> </w:t>
      </w:r>
      <w:r w:rsidR="00DF5CF0">
        <w:rPr>
          <w:rFonts w:ascii="Times New Roman" w:hAnsi="Times New Roman"/>
          <w:sz w:val="24"/>
          <w:szCs w:val="24"/>
        </w:rPr>
        <w:t xml:space="preserve">reduce </w:t>
      </w:r>
      <w:r w:rsidR="0010426C" w:rsidRPr="0010426C">
        <w:rPr>
          <w:rFonts w:ascii="Times New Roman" w:hAnsi="Times New Roman"/>
          <w:sz w:val="24"/>
          <w:szCs w:val="24"/>
        </w:rPr>
        <w:t>violence, aggression, bullying, and substance use (Taylor et al., 2017). Still, the mechanisms of effects</w:t>
      </w:r>
      <w:r w:rsidR="00DF5CF0">
        <w:rPr>
          <w:rFonts w:ascii="Times New Roman" w:hAnsi="Times New Roman"/>
          <w:sz w:val="24"/>
          <w:szCs w:val="24"/>
        </w:rPr>
        <w:t>--</w:t>
      </w:r>
      <w:r w:rsidR="0010426C" w:rsidRPr="0010426C">
        <w:rPr>
          <w:rFonts w:ascii="Times New Roman" w:hAnsi="Times New Roman"/>
          <w:sz w:val="24"/>
          <w:szCs w:val="24"/>
        </w:rPr>
        <w:t>especially mediating, moderating and program factors</w:t>
      </w:r>
      <w:r w:rsidR="00DF5CF0">
        <w:rPr>
          <w:rFonts w:ascii="Times New Roman" w:hAnsi="Times New Roman"/>
          <w:sz w:val="24"/>
          <w:szCs w:val="24"/>
        </w:rPr>
        <w:t>--</w:t>
      </w:r>
      <w:r w:rsidR="00DF5CF0" w:rsidRPr="0010426C">
        <w:rPr>
          <w:rFonts w:ascii="Times New Roman" w:hAnsi="Times New Roman"/>
          <w:sz w:val="24"/>
          <w:szCs w:val="24"/>
        </w:rPr>
        <w:t xml:space="preserve">remain understudied </w:t>
      </w:r>
      <w:r w:rsidR="0010426C" w:rsidRPr="0010426C">
        <w:rPr>
          <w:rFonts w:ascii="Times New Roman" w:hAnsi="Times New Roman"/>
          <w:sz w:val="24"/>
          <w:szCs w:val="24"/>
        </w:rPr>
        <w:t>(</w:t>
      </w:r>
      <w:proofErr w:type="spellStart"/>
      <w:r w:rsidR="0010426C" w:rsidRPr="0010426C">
        <w:rPr>
          <w:rFonts w:ascii="Times New Roman" w:hAnsi="Times New Roman"/>
          <w:sz w:val="24"/>
          <w:szCs w:val="24"/>
        </w:rPr>
        <w:t>Waschbusch</w:t>
      </w:r>
      <w:proofErr w:type="spellEnd"/>
      <w:r>
        <w:rPr>
          <w:rFonts w:ascii="Times New Roman" w:hAnsi="Times New Roman"/>
          <w:sz w:val="24"/>
          <w:szCs w:val="24"/>
        </w:rPr>
        <w:t xml:space="preserve"> et al.</w:t>
      </w:r>
      <w:r w:rsidR="0010426C" w:rsidRPr="0010426C">
        <w:rPr>
          <w:rFonts w:ascii="Times New Roman" w:hAnsi="Times New Roman"/>
          <w:sz w:val="24"/>
          <w:szCs w:val="24"/>
        </w:rPr>
        <w:t xml:space="preserve">, 2019). </w:t>
      </w:r>
      <w:r w:rsidR="00DF5CF0">
        <w:rPr>
          <w:rFonts w:ascii="Times New Roman" w:hAnsi="Times New Roman"/>
          <w:sz w:val="24"/>
          <w:szCs w:val="24"/>
        </w:rPr>
        <w:t>M</w:t>
      </w:r>
      <w:r w:rsidR="0010426C" w:rsidRPr="0010426C">
        <w:rPr>
          <w:rFonts w:ascii="Times New Roman" w:hAnsi="Times New Roman"/>
          <w:sz w:val="24"/>
          <w:szCs w:val="24"/>
        </w:rPr>
        <w:t xml:space="preserve">ulti-component, multi-level interventions </w:t>
      </w:r>
      <w:r w:rsidR="00DF5CF0">
        <w:rPr>
          <w:rFonts w:ascii="Times New Roman" w:hAnsi="Times New Roman"/>
          <w:sz w:val="24"/>
          <w:szCs w:val="24"/>
        </w:rPr>
        <w:t>are more promising</w:t>
      </w:r>
      <w:r w:rsidR="0010426C" w:rsidRPr="0010426C">
        <w:rPr>
          <w:rFonts w:ascii="Times New Roman" w:hAnsi="Times New Roman"/>
          <w:sz w:val="24"/>
          <w:szCs w:val="24"/>
        </w:rPr>
        <w:t xml:space="preserve">, </w:t>
      </w:r>
      <w:r w:rsidR="00DF5CF0">
        <w:rPr>
          <w:rFonts w:ascii="Times New Roman" w:hAnsi="Times New Roman"/>
          <w:sz w:val="24"/>
          <w:szCs w:val="24"/>
        </w:rPr>
        <w:t>but are</w:t>
      </w:r>
      <w:r w:rsidR="0010426C" w:rsidRPr="0010426C">
        <w:rPr>
          <w:rFonts w:ascii="Times New Roman" w:hAnsi="Times New Roman"/>
          <w:sz w:val="24"/>
          <w:szCs w:val="24"/>
        </w:rPr>
        <w:t xml:space="preserve"> hindered by their complexity in implementation (</w:t>
      </w:r>
      <w:proofErr w:type="spellStart"/>
      <w:r w:rsidR="0010426C" w:rsidRPr="0010426C">
        <w:rPr>
          <w:rFonts w:ascii="Times New Roman" w:hAnsi="Times New Roman"/>
          <w:sz w:val="24"/>
          <w:szCs w:val="24"/>
        </w:rPr>
        <w:t>Waschbusch</w:t>
      </w:r>
      <w:proofErr w:type="spellEnd"/>
      <w:r w:rsidR="0010426C" w:rsidRPr="0010426C">
        <w:rPr>
          <w:rFonts w:ascii="Times New Roman" w:hAnsi="Times New Roman"/>
          <w:sz w:val="24"/>
          <w:szCs w:val="24"/>
        </w:rPr>
        <w:t xml:space="preserve"> et al., 2019).</w:t>
      </w:r>
      <w:r w:rsidR="00521F9F" w:rsidRPr="009D4235">
        <w:rPr>
          <w:rFonts w:ascii="Times New Roman" w:hAnsi="Times New Roman"/>
          <w:sz w:val="24"/>
          <w:szCs w:val="24"/>
        </w:rPr>
        <w:t xml:space="preserve"> Thus, the </w:t>
      </w:r>
      <w:r w:rsidR="000771FC">
        <w:rPr>
          <w:rFonts w:ascii="Times New Roman" w:hAnsi="Times New Roman"/>
          <w:sz w:val="24"/>
          <w:szCs w:val="24"/>
        </w:rPr>
        <w:t xml:space="preserve">etiological </w:t>
      </w:r>
      <w:r w:rsidR="00521F9F" w:rsidRPr="009D4235">
        <w:rPr>
          <w:rFonts w:ascii="Times New Roman" w:hAnsi="Times New Roman"/>
          <w:sz w:val="24"/>
          <w:szCs w:val="24"/>
        </w:rPr>
        <w:t>complexity of youth violence leads to difficulty in identifying strategies that are truly preventive</w:t>
      </w:r>
      <w:r w:rsidR="00521F9F">
        <w:rPr>
          <w:rFonts w:ascii="Times New Roman" w:hAnsi="Times New Roman"/>
          <w:sz w:val="24"/>
          <w:szCs w:val="24"/>
        </w:rPr>
        <w:t xml:space="preserve"> and maintain lasting effects</w:t>
      </w:r>
      <w:r w:rsidR="00521F9F" w:rsidRPr="009D4235">
        <w:rPr>
          <w:rFonts w:ascii="Times New Roman" w:hAnsi="Times New Roman"/>
          <w:sz w:val="24"/>
          <w:szCs w:val="24"/>
        </w:rPr>
        <w:t xml:space="preserve">. </w:t>
      </w:r>
    </w:p>
    <w:p w14:paraId="6CB916AE" w14:textId="77777777" w:rsidR="00521F9F" w:rsidRPr="00B9543C" w:rsidRDefault="00521F9F" w:rsidP="00A55AAE">
      <w:pPr>
        <w:spacing w:after="0"/>
        <w:contextualSpacing/>
        <w:rPr>
          <w:rFonts w:ascii="Times New Roman" w:hAnsi="Times New Roman"/>
          <w:sz w:val="24"/>
          <w:szCs w:val="24"/>
          <w:u w:val="single"/>
        </w:rPr>
      </w:pPr>
      <w:r w:rsidRPr="00B9543C">
        <w:rPr>
          <w:rFonts w:ascii="Times New Roman" w:hAnsi="Times New Roman"/>
          <w:sz w:val="24"/>
          <w:szCs w:val="24"/>
          <w:u w:val="single"/>
        </w:rPr>
        <w:t>Organizational Coalitions for Youth Violence Prevention</w:t>
      </w:r>
    </w:p>
    <w:p w14:paraId="2D6F7232" w14:textId="73573CC1" w:rsidR="00521F9F" w:rsidRPr="009D4235" w:rsidRDefault="00521F9F" w:rsidP="00A55AAE">
      <w:pPr>
        <w:spacing w:after="0"/>
        <w:ind w:firstLine="720"/>
        <w:contextualSpacing/>
        <w:rPr>
          <w:rFonts w:ascii="Times New Roman" w:hAnsi="Times New Roman"/>
          <w:sz w:val="24"/>
          <w:szCs w:val="24"/>
        </w:rPr>
      </w:pPr>
      <w:r w:rsidRPr="009D4235">
        <w:rPr>
          <w:rFonts w:ascii="Times New Roman" w:hAnsi="Times New Roman"/>
          <w:sz w:val="24"/>
          <w:szCs w:val="24"/>
        </w:rPr>
        <w:t>Due to th</w:t>
      </w:r>
      <w:r w:rsidR="000771FC">
        <w:rPr>
          <w:rFonts w:ascii="Times New Roman" w:hAnsi="Times New Roman"/>
          <w:sz w:val="24"/>
          <w:szCs w:val="24"/>
        </w:rPr>
        <w:t>e limited</w:t>
      </w:r>
      <w:r w:rsidRPr="009D4235">
        <w:rPr>
          <w:rFonts w:ascii="Times New Roman" w:hAnsi="Times New Roman"/>
          <w:sz w:val="24"/>
          <w:szCs w:val="24"/>
        </w:rPr>
        <w:t xml:space="preserve"> success </w:t>
      </w:r>
      <w:r w:rsidR="006F1CC6">
        <w:rPr>
          <w:rFonts w:ascii="Times New Roman" w:hAnsi="Times New Roman"/>
          <w:sz w:val="24"/>
          <w:szCs w:val="24"/>
        </w:rPr>
        <w:t xml:space="preserve">by </w:t>
      </w:r>
      <w:r w:rsidRPr="009D4235">
        <w:rPr>
          <w:rFonts w:ascii="Times New Roman" w:hAnsi="Times New Roman"/>
          <w:sz w:val="24"/>
          <w:szCs w:val="24"/>
        </w:rPr>
        <w:t xml:space="preserve">individual organizations </w:t>
      </w:r>
      <w:r w:rsidR="000771FC">
        <w:rPr>
          <w:rFonts w:ascii="Times New Roman" w:hAnsi="Times New Roman"/>
          <w:sz w:val="24"/>
          <w:szCs w:val="24"/>
        </w:rPr>
        <w:t>in preventing youth violence</w:t>
      </w:r>
      <w:r w:rsidRPr="009D4235">
        <w:rPr>
          <w:rFonts w:ascii="Times New Roman" w:hAnsi="Times New Roman"/>
          <w:sz w:val="24"/>
          <w:szCs w:val="24"/>
        </w:rPr>
        <w:t>, many communities turn</w:t>
      </w:r>
      <w:r w:rsidR="00496642">
        <w:rPr>
          <w:rFonts w:ascii="Times New Roman" w:hAnsi="Times New Roman"/>
          <w:sz w:val="24"/>
          <w:szCs w:val="24"/>
        </w:rPr>
        <w:t>ed</w:t>
      </w:r>
      <w:r w:rsidRPr="009D4235">
        <w:rPr>
          <w:rFonts w:ascii="Times New Roman" w:hAnsi="Times New Roman"/>
          <w:sz w:val="24"/>
          <w:szCs w:val="24"/>
        </w:rPr>
        <w:t xml:space="preserve"> to collaborative partnerships and </w:t>
      </w:r>
      <w:r w:rsidR="000771FC">
        <w:rPr>
          <w:rFonts w:ascii="Times New Roman" w:hAnsi="Times New Roman"/>
          <w:sz w:val="24"/>
          <w:szCs w:val="24"/>
        </w:rPr>
        <w:t xml:space="preserve">organizational </w:t>
      </w:r>
      <w:r w:rsidRPr="009D4235">
        <w:rPr>
          <w:rFonts w:ascii="Times New Roman" w:hAnsi="Times New Roman"/>
          <w:sz w:val="24"/>
          <w:szCs w:val="24"/>
        </w:rPr>
        <w:t>coalitions (</w:t>
      </w:r>
      <w:r w:rsidRPr="001B1157">
        <w:rPr>
          <w:rFonts w:ascii="Times New Roman" w:hAnsi="Times New Roman"/>
          <w:sz w:val="24"/>
          <w:szCs w:val="24"/>
        </w:rPr>
        <w:t>Griffith et al., 2008</w:t>
      </w:r>
      <w:r w:rsidRPr="009D4235">
        <w:rPr>
          <w:rFonts w:ascii="Times New Roman" w:hAnsi="Times New Roman"/>
          <w:sz w:val="24"/>
          <w:szCs w:val="24"/>
        </w:rPr>
        <w:t>)</w:t>
      </w:r>
      <w:r w:rsidR="000771FC">
        <w:rPr>
          <w:rFonts w:ascii="Times New Roman" w:hAnsi="Times New Roman"/>
          <w:sz w:val="24"/>
          <w:szCs w:val="24"/>
        </w:rPr>
        <w:t>, which</w:t>
      </w:r>
      <w:r>
        <w:rPr>
          <w:rFonts w:ascii="Times New Roman" w:hAnsi="Times New Roman"/>
          <w:sz w:val="24"/>
          <w:szCs w:val="24"/>
        </w:rPr>
        <w:t xml:space="preserve"> </w:t>
      </w:r>
      <w:r w:rsidR="000771FC">
        <w:rPr>
          <w:rFonts w:ascii="Times New Roman" w:hAnsi="Times New Roman"/>
          <w:sz w:val="24"/>
          <w:szCs w:val="24"/>
        </w:rPr>
        <w:t>have been</w:t>
      </w:r>
      <w:r w:rsidRPr="009D4235">
        <w:rPr>
          <w:rFonts w:ascii="Times New Roman" w:hAnsi="Times New Roman"/>
          <w:sz w:val="24"/>
          <w:szCs w:val="24"/>
        </w:rPr>
        <w:t xml:space="preserve"> </w:t>
      </w:r>
      <w:r>
        <w:rPr>
          <w:rFonts w:ascii="Times New Roman" w:hAnsi="Times New Roman"/>
          <w:sz w:val="24"/>
          <w:szCs w:val="24"/>
        </w:rPr>
        <w:t>popular</w:t>
      </w:r>
      <w:r w:rsidRPr="009D4235">
        <w:rPr>
          <w:rFonts w:ascii="Times New Roman" w:hAnsi="Times New Roman"/>
          <w:sz w:val="24"/>
          <w:szCs w:val="24"/>
        </w:rPr>
        <w:t xml:space="preserve"> in </w:t>
      </w:r>
      <w:r>
        <w:rPr>
          <w:rFonts w:ascii="Times New Roman" w:hAnsi="Times New Roman"/>
          <w:sz w:val="24"/>
          <w:szCs w:val="24"/>
        </w:rPr>
        <w:t xml:space="preserve">other </w:t>
      </w:r>
      <w:r w:rsidRPr="009D4235">
        <w:rPr>
          <w:rFonts w:ascii="Times New Roman" w:hAnsi="Times New Roman"/>
          <w:sz w:val="24"/>
          <w:szCs w:val="24"/>
        </w:rPr>
        <w:t xml:space="preserve">areas </w:t>
      </w:r>
      <w:r>
        <w:rPr>
          <w:rFonts w:ascii="Times New Roman" w:hAnsi="Times New Roman"/>
          <w:sz w:val="24"/>
          <w:szCs w:val="24"/>
        </w:rPr>
        <w:t>of</w:t>
      </w:r>
      <w:r w:rsidRPr="009D4235">
        <w:rPr>
          <w:rFonts w:ascii="Times New Roman" w:hAnsi="Times New Roman"/>
          <w:sz w:val="24"/>
          <w:szCs w:val="24"/>
        </w:rPr>
        <w:t xml:space="preserve"> public health </w:t>
      </w:r>
      <w:r>
        <w:rPr>
          <w:rFonts w:ascii="Times New Roman" w:hAnsi="Times New Roman"/>
          <w:sz w:val="24"/>
          <w:szCs w:val="24"/>
        </w:rPr>
        <w:t>promotion, especially</w:t>
      </w:r>
      <w:r w:rsidRPr="009D4235">
        <w:rPr>
          <w:rFonts w:ascii="Times New Roman" w:hAnsi="Times New Roman"/>
          <w:sz w:val="24"/>
          <w:szCs w:val="24"/>
        </w:rPr>
        <w:t xml:space="preserve"> substance abuse prevention (</w:t>
      </w:r>
      <w:r w:rsidR="00AA3A70" w:rsidRPr="001B1157">
        <w:rPr>
          <w:rFonts w:ascii="Times New Roman" w:hAnsi="Times New Roman"/>
          <w:sz w:val="24"/>
          <w:szCs w:val="24"/>
        </w:rPr>
        <w:t>Johnson et al. 2017</w:t>
      </w:r>
      <w:r w:rsidRPr="009D4235">
        <w:rPr>
          <w:rFonts w:ascii="Times New Roman" w:hAnsi="Times New Roman"/>
          <w:sz w:val="24"/>
          <w:szCs w:val="24"/>
        </w:rPr>
        <w:t>).</w:t>
      </w:r>
      <w:r>
        <w:rPr>
          <w:rFonts w:ascii="Times New Roman" w:hAnsi="Times New Roman"/>
          <w:sz w:val="24"/>
          <w:szCs w:val="24"/>
        </w:rPr>
        <w:t xml:space="preserve"> </w:t>
      </w:r>
      <w:r w:rsidRPr="009D4235">
        <w:rPr>
          <w:rFonts w:ascii="Times New Roman" w:hAnsi="Times New Roman"/>
          <w:sz w:val="24"/>
          <w:szCs w:val="24"/>
        </w:rPr>
        <w:t>Howe</w:t>
      </w:r>
      <w:r>
        <w:rPr>
          <w:rFonts w:ascii="Times New Roman" w:hAnsi="Times New Roman"/>
          <w:sz w:val="24"/>
          <w:szCs w:val="24"/>
        </w:rPr>
        <w:t>ver, not all coalitions are</w:t>
      </w:r>
      <w:r w:rsidRPr="009D4235">
        <w:rPr>
          <w:rFonts w:ascii="Times New Roman" w:hAnsi="Times New Roman"/>
          <w:sz w:val="24"/>
          <w:szCs w:val="24"/>
        </w:rPr>
        <w:t xml:space="preserve"> equal</w:t>
      </w:r>
      <w:r>
        <w:rPr>
          <w:rFonts w:ascii="Times New Roman" w:hAnsi="Times New Roman"/>
          <w:sz w:val="24"/>
          <w:szCs w:val="24"/>
        </w:rPr>
        <w:t>ly effective</w:t>
      </w:r>
      <w:r w:rsidRPr="009D4235">
        <w:rPr>
          <w:rFonts w:ascii="Times New Roman" w:hAnsi="Times New Roman"/>
          <w:sz w:val="24"/>
          <w:szCs w:val="24"/>
        </w:rPr>
        <w:t xml:space="preserve">; </w:t>
      </w:r>
      <w:r w:rsidR="001B1157" w:rsidRPr="001B1157">
        <w:rPr>
          <w:rFonts w:ascii="Times New Roman" w:hAnsi="Times New Roman"/>
          <w:sz w:val="24"/>
          <w:szCs w:val="24"/>
        </w:rPr>
        <w:t xml:space="preserve">prior collaboration and </w:t>
      </w:r>
      <w:r w:rsidR="001B1157">
        <w:rPr>
          <w:rFonts w:ascii="Times New Roman" w:hAnsi="Times New Roman"/>
          <w:sz w:val="24"/>
          <w:szCs w:val="24"/>
        </w:rPr>
        <w:t xml:space="preserve">participation of </w:t>
      </w:r>
      <w:r w:rsidR="001B1157" w:rsidRPr="001B1157">
        <w:rPr>
          <w:rFonts w:ascii="Times New Roman" w:hAnsi="Times New Roman"/>
          <w:sz w:val="24"/>
          <w:szCs w:val="24"/>
        </w:rPr>
        <w:t>local leader</w:t>
      </w:r>
      <w:r w:rsidR="001B1157">
        <w:rPr>
          <w:rFonts w:ascii="Times New Roman" w:hAnsi="Times New Roman"/>
          <w:sz w:val="24"/>
          <w:szCs w:val="24"/>
        </w:rPr>
        <w:t>s</w:t>
      </w:r>
      <w:r w:rsidR="001B1157" w:rsidRPr="001B1157">
        <w:rPr>
          <w:rFonts w:ascii="Times New Roman" w:hAnsi="Times New Roman"/>
          <w:sz w:val="24"/>
          <w:szCs w:val="24"/>
        </w:rPr>
        <w:t xml:space="preserve"> </w:t>
      </w:r>
      <w:r w:rsidR="005834AA" w:rsidRPr="001B1157">
        <w:rPr>
          <w:rFonts w:ascii="Times New Roman" w:hAnsi="Times New Roman"/>
          <w:sz w:val="24"/>
          <w:szCs w:val="24"/>
        </w:rPr>
        <w:t xml:space="preserve">may </w:t>
      </w:r>
      <w:r w:rsidR="001B1157">
        <w:rPr>
          <w:rFonts w:ascii="Times New Roman" w:hAnsi="Times New Roman"/>
          <w:sz w:val="24"/>
          <w:szCs w:val="24"/>
        </w:rPr>
        <w:t>be more important than</w:t>
      </w:r>
      <w:r w:rsidR="001B1157" w:rsidRPr="001B1157">
        <w:rPr>
          <w:rFonts w:ascii="Times New Roman" w:hAnsi="Times New Roman"/>
          <w:sz w:val="24"/>
          <w:szCs w:val="24"/>
        </w:rPr>
        <w:t xml:space="preserve"> organizational attributes </w:t>
      </w:r>
      <w:r w:rsidR="001B1157">
        <w:rPr>
          <w:rFonts w:ascii="Times New Roman" w:hAnsi="Times New Roman"/>
          <w:sz w:val="24"/>
          <w:szCs w:val="24"/>
        </w:rPr>
        <w:t>to</w:t>
      </w:r>
      <w:r w:rsidRPr="001B1157">
        <w:rPr>
          <w:rFonts w:ascii="Times New Roman" w:hAnsi="Times New Roman"/>
          <w:sz w:val="24"/>
          <w:szCs w:val="24"/>
        </w:rPr>
        <w:t xml:space="preserve"> the success of coalition</w:t>
      </w:r>
      <w:r w:rsidR="005834AA" w:rsidRPr="001B1157">
        <w:rPr>
          <w:rFonts w:ascii="Times New Roman" w:hAnsi="Times New Roman"/>
          <w:sz w:val="24"/>
          <w:szCs w:val="24"/>
        </w:rPr>
        <w:t>s</w:t>
      </w:r>
      <w:r w:rsidRPr="001B1157">
        <w:rPr>
          <w:rFonts w:ascii="Times New Roman" w:hAnsi="Times New Roman"/>
          <w:sz w:val="24"/>
          <w:szCs w:val="24"/>
        </w:rPr>
        <w:t xml:space="preserve"> (</w:t>
      </w:r>
      <w:r w:rsidR="001B1157">
        <w:rPr>
          <w:rFonts w:ascii="Times New Roman" w:hAnsi="Times New Roman"/>
          <w:sz w:val="24"/>
          <w:szCs w:val="24"/>
        </w:rPr>
        <w:t>Bess</w:t>
      </w:r>
      <w:r w:rsidR="001B1157" w:rsidRPr="00ED5747">
        <w:rPr>
          <w:rFonts w:ascii="Times New Roman" w:hAnsi="Times New Roman"/>
          <w:sz w:val="24"/>
          <w:szCs w:val="24"/>
        </w:rPr>
        <w:t xml:space="preserve"> </w:t>
      </w:r>
      <w:r w:rsidR="00B80665" w:rsidRPr="00ED5747">
        <w:rPr>
          <w:rFonts w:ascii="Times New Roman" w:hAnsi="Times New Roman"/>
          <w:sz w:val="24"/>
          <w:szCs w:val="24"/>
        </w:rPr>
        <w:t>et al.</w:t>
      </w:r>
      <w:r w:rsidRPr="00ED5747">
        <w:rPr>
          <w:rFonts w:ascii="Times New Roman" w:hAnsi="Times New Roman"/>
          <w:sz w:val="24"/>
          <w:szCs w:val="24"/>
        </w:rPr>
        <w:t xml:space="preserve"> 20</w:t>
      </w:r>
      <w:r w:rsidR="001B1157">
        <w:rPr>
          <w:rFonts w:ascii="Times New Roman" w:hAnsi="Times New Roman"/>
          <w:sz w:val="24"/>
          <w:szCs w:val="24"/>
        </w:rPr>
        <w:t>12</w:t>
      </w:r>
      <w:r>
        <w:rPr>
          <w:rFonts w:ascii="Times New Roman" w:hAnsi="Times New Roman"/>
          <w:sz w:val="24"/>
          <w:szCs w:val="24"/>
        </w:rPr>
        <w:t>)</w:t>
      </w:r>
      <w:r w:rsidRPr="009D4235">
        <w:rPr>
          <w:rFonts w:ascii="Times New Roman" w:hAnsi="Times New Roman"/>
          <w:sz w:val="24"/>
          <w:szCs w:val="24"/>
        </w:rPr>
        <w:t xml:space="preserve">. For example, Griffith </w:t>
      </w:r>
      <w:r w:rsidRPr="00E23672">
        <w:rPr>
          <w:rFonts w:ascii="Times New Roman" w:hAnsi="Times New Roman"/>
          <w:i/>
          <w:sz w:val="24"/>
          <w:szCs w:val="24"/>
        </w:rPr>
        <w:t>et al</w:t>
      </w:r>
      <w:r w:rsidR="004269A8">
        <w:rPr>
          <w:rFonts w:ascii="Times New Roman" w:hAnsi="Times New Roman"/>
          <w:i/>
          <w:sz w:val="24"/>
          <w:szCs w:val="24"/>
        </w:rPr>
        <w:t>.</w:t>
      </w:r>
      <w:r w:rsidRPr="009D4235">
        <w:rPr>
          <w:rFonts w:ascii="Times New Roman" w:hAnsi="Times New Roman"/>
          <w:sz w:val="24"/>
          <w:szCs w:val="24"/>
        </w:rPr>
        <w:t xml:space="preserve"> (</w:t>
      </w:r>
      <w:r w:rsidRPr="004269A8">
        <w:rPr>
          <w:rFonts w:ascii="Times New Roman" w:hAnsi="Times New Roman"/>
          <w:sz w:val="24"/>
          <w:szCs w:val="24"/>
        </w:rPr>
        <w:t>2008</w:t>
      </w:r>
      <w:r w:rsidRPr="009D4235">
        <w:rPr>
          <w:rFonts w:ascii="Times New Roman" w:hAnsi="Times New Roman"/>
          <w:sz w:val="24"/>
          <w:szCs w:val="24"/>
        </w:rPr>
        <w:t xml:space="preserve">) </w:t>
      </w:r>
      <w:r w:rsidR="006D57ED">
        <w:rPr>
          <w:rFonts w:ascii="Times New Roman" w:hAnsi="Times New Roman"/>
          <w:sz w:val="24"/>
          <w:szCs w:val="24"/>
        </w:rPr>
        <w:t>examin</w:t>
      </w:r>
      <w:r w:rsidRPr="009D4235">
        <w:rPr>
          <w:rFonts w:ascii="Times New Roman" w:hAnsi="Times New Roman"/>
          <w:sz w:val="24"/>
          <w:szCs w:val="24"/>
        </w:rPr>
        <w:t xml:space="preserve">ed </w:t>
      </w:r>
      <w:r>
        <w:rPr>
          <w:rFonts w:ascii="Times New Roman" w:hAnsi="Times New Roman"/>
          <w:sz w:val="24"/>
          <w:szCs w:val="24"/>
        </w:rPr>
        <w:t>YVP</w:t>
      </w:r>
      <w:r w:rsidRPr="009D4235">
        <w:rPr>
          <w:rFonts w:ascii="Times New Roman" w:hAnsi="Times New Roman"/>
          <w:sz w:val="24"/>
          <w:szCs w:val="24"/>
        </w:rPr>
        <w:t xml:space="preserve"> organizations and </w:t>
      </w:r>
      <w:r w:rsidR="006D57ED">
        <w:rPr>
          <w:rFonts w:ascii="Times New Roman" w:hAnsi="Times New Roman"/>
          <w:sz w:val="24"/>
          <w:szCs w:val="24"/>
        </w:rPr>
        <w:t>coalitions</w:t>
      </w:r>
      <w:r w:rsidRPr="00104CDB">
        <w:rPr>
          <w:rFonts w:ascii="Times New Roman" w:hAnsi="Times New Roman"/>
          <w:sz w:val="24"/>
          <w:szCs w:val="24"/>
        </w:rPr>
        <w:t xml:space="preserve"> </w:t>
      </w:r>
      <w:r w:rsidR="006D57ED">
        <w:rPr>
          <w:rFonts w:ascii="Times New Roman" w:hAnsi="Times New Roman"/>
          <w:sz w:val="24"/>
          <w:szCs w:val="24"/>
        </w:rPr>
        <w:t>and</w:t>
      </w:r>
      <w:r w:rsidRPr="00104CDB">
        <w:rPr>
          <w:rFonts w:ascii="Times New Roman" w:hAnsi="Times New Roman"/>
          <w:sz w:val="24"/>
          <w:szCs w:val="24"/>
        </w:rPr>
        <w:t xml:space="preserve"> found that </w:t>
      </w:r>
      <w:r w:rsidR="00C818F8" w:rsidRPr="00104CDB">
        <w:rPr>
          <w:rFonts w:ascii="Times New Roman" w:hAnsi="Times New Roman"/>
          <w:sz w:val="24"/>
          <w:szCs w:val="24"/>
        </w:rPr>
        <w:t xml:space="preserve">a combination of empowering </w:t>
      </w:r>
      <w:r w:rsidRPr="00104CDB">
        <w:rPr>
          <w:rFonts w:ascii="Times New Roman" w:hAnsi="Times New Roman"/>
          <w:sz w:val="24"/>
          <w:szCs w:val="24"/>
        </w:rPr>
        <w:t xml:space="preserve">internal </w:t>
      </w:r>
      <w:r w:rsidR="00C818F8" w:rsidRPr="00104CDB">
        <w:rPr>
          <w:rFonts w:ascii="Times New Roman" w:hAnsi="Times New Roman"/>
          <w:sz w:val="24"/>
          <w:szCs w:val="24"/>
        </w:rPr>
        <w:t xml:space="preserve">organizational </w:t>
      </w:r>
      <w:r w:rsidRPr="00104CDB">
        <w:rPr>
          <w:rFonts w:ascii="Times New Roman" w:hAnsi="Times New Roman"/>
          <w:sz w:val="24"/>
          <w:szCs w:val="24"/>
        </w:rPr>
        <w:t xml:space="preserve">structures and interactions </w:t>
      </w:r>
      <w:r w:rsidR="00C818F8" w:rsidRPr="00104CDB">
        <w:rPr>
          <w:rFonts w:ascii="Times New Roman" w:hAnsi="Times New Roman"/>
          <w:sz w:val="24"/>
          <w:szCs w:val="24"/>
        </w:rPr>
        <w:t>between coalition members</w:t>
      </w:r>
      <w:r w:rsidRPr="00104CDB">
        <w:rPr>
          <w:rFonts w:ascii="Times New Roman" w:hAnsi="Times New Roman"/>
          <w:sz w:val="24"/>
          <w:szCs w:val="24"/>
        </w:rPr>
        <w:t xml:space="preserve"> </w:t>
      </w:r>
      <w:r w:rsidR="00C818F8" w:rsidRPr="00104CDB">
        <w:rPr>
          <w:rFonts w:ascii="Times New Roman" w:hAnsi="Times New Roman"/>
          <w:sz w:val="24"/>
          <w:szCs w:val="24"/>
        </w:rPr>
        <w:t>led to</w:t>
      </w:r>
      <w:r w:rsidRPr="00104CDB">
        <w:rPr>
          <w:rFonts w:ascii="Times New Roman" w:hAnsi="Times New Roman"/>
          <w:sz w:val="24"/>
          <w:szCs w:val="24"/>
        </w:rPr>
        <w:t xml:space="preserve"> </w:t>
      </w:r>
      <w:r w:rsidR="00C818F8" w:rsidRPr="00104CDB">
        <w:rPr>
          <w:rFonts w:ascii="Times New Roman" w:hAnsi="Times New Roman"/>
          <w:sz w:val="24"/>
          <w:szCs w:val="24"/>
        </w:rPr>
        <w:t xml:space="preserve">critical </w:t>
      </w:r>
      <w:r w:rsidR="0008445C" w:rsidRPr="00104CDB">
        <w:rPr>
          <w:rFonts w:ascii="Times New Roman" w:hAnsi="Times New Roman"/>
          <w:sz w:val="24"/>
          <w:szCs w:val="24"/>
        </w:rPr>
        <w:t>community</w:t>
      </w:r>
      <w:r w:rsidRPr="00104CDB">
        <w:rPr>
          <w:rFonts w:ascii="Times New Roman" w:hAnsi="Times New Roman"/>
          <w:sz w:val="24"/>
          <w:szCs w:val="24"/>
        </w:rPr>
        <w:t xml:space="preserve"> mobiliz</w:t>
      </w:r>
      <w:r w:rsidR="0008445C" w:rsidRPr="00104CDB">
        <w:rPr>
          <w:rFonts w:ascii="Times New Roman" w:hAnsi="Times New Roman"/>
          <w:sz w:val="24"/>
          <w:szCs w:val="24"/>
        </w:rPr>
        <w:t xml:space="preserve">ation that </w:t>
      </w:r>
      <w:r w:rsidRPr="00104CDB">
        <w:rPr>
          <w:rFonts w:ascii="Times New Roman" w:hAnsi="Times New Roman"/>
          <w:sz w:val="24"/>
          <w:szCs w:val="24"/>
        </w:rPr>
        <w:t xml:space="preserve">resulted in </w:t>
      </w:r>
      <w:r w:rsidR="00C818F8" w:rsidRPr="00104CDB">
        <w:rPr>
          <w:rFonts w:ascii="Times New Roman" w:hAnsi="Times New Roman"/>
          <w:sz w:val="24"/>
          <w:szCs w:val="24"/>
        </w:rPr>
        <w:t xml:space="preserve">a variety of </w:t>
      </w:r>
      <w:r w:rsidRPr="00104CDB">
        <w:rPr>
          <w:rFonts w:ascii="Times New Roman" w:hAnsi="Times New Roman"/>
          <w:sz w:val="24"/>
          <w:szCs w:val="24"/>
        </w:rPr>
        <w:t xml:space="preserve">positive outcomes. Specifically, this extra-organizational change was due to networking and collaborative partnerships </w:t>
      </w:r>
      <w:r w:rsidR="004269A8" w:rsidRPr="00104CDB">
        <w:rPr>
          <w:rFonts w:ascii="Times New Roman" w:hAnsi="Times New Roman"/>
          <w:sz w:val="24"/>
          <w:szCs w:val="24"/>
        </w:rPr>
        <w:t>allowing</w:t>
      </w:r>
      <w:r w:rsidRPr="00104CDB">
        <w:rPr>
          <w:rFonts w:ascii="Times New Roman" w:hAnsi="Times New Roman"/>
          <w:sz w:val="24"/>
          <w:szCs w:val="24"/>
        </w:rPr>
        <w:t xml:space="preserve"> key stakeholders</w:t>
      </w:r>
      <w:r w:rsidR="004269A8" w:rsidRPr="00104CDB">
        <w:rPr>
          <w:rFonts w:ascii="Times New Roman" w:hAnsi="Times New Roman"/>
          <w:sz w:val="24"/>
          <w:szCs w:val="24"/>
        </w:rPr>
        <w:t xml:space="preserve"> to</w:t>
      </w:r>
      <w:r w:rsidRPr="00104CDB">
        <w:rPr>
          <w:rFonts w:ascii="Times New Roman" w:hAnsi="Times New Roman"/>
          <w:sz w:val="24"/>
          <w:szCs w:val="24"/>
        </w:rPr>
        <w:t xml:space="preserve"> increase access to resources, </w:t>
      </w:r>
      <w:r w:rsidR="00425DFE" w:rsidRPr="00104CDB">
        <w:rPr>
          <w:rFonts w:ascii="Times New Roman" w:hAnsi="Times New Roman"/>
          <w:sz w:val="24"/>
          <w:szCs w:val="24"/>
        </w:rPr>
        <w:t xml:space="preserve">political </w:t>
      </w:r>
      <w:r w:rsidRPr="00104CDB">
        <w:rPr>
          <w:rFonts w:ascii="Times New Roman" w:hAnsi="Times New Roman"/>
          <w:sz w:val="24"/>
          <w:szCs w:val="24"/>
        </w:rPr>
        <w:t xml:space="preserve">influence, community </w:t>
      </w:r>
      <w:r w:rsidR="00425DFE" w:rsidRPr="00104CDB">
        <w:rPr>
          <w:rFonts w:ascii="Times New Roman" w:hAnsi="Times New Roman"/>
          <w:sz w:val="24"/>
          <w:szCs w:val="24"/>
        </w:rPr>
        <w:t xml:space="preserve">engagement, </w:t>
      </w:r>
      <w:r w:rsidRPr="00104CDB">
        <w:rPr>
          <w:rFonts w:ascii="Times New Roman" w:hAnsi="Times New Roman"/>
          <w:sz w:val="24"/>
          <w:szCs w:val="24"/>
        </w:rPr>
        <w:t>and information</w:t>
      </w:r>
      <w:r w:rsidR="00425DFE" w:rsidRPr="00104CDB">
        <w:rPr>
          <w:rFonts w:ascii="Times New Roman" w:hAnsi="Times New Roman"/>
          <w:sz w:val="24"/>
          <w:szCs w:val="24"/>
        </w:rPr>
        <w:t xml:space="preserve"> dissemination</w:t>
      </w:r>
      <w:r w:rsidRPr="00104CDB">
        <w:rPr>
          <w:rFonts w:ascii="Times New Roman" w:hAnsi="Times New Roman"/>
          <w:sz w:val="24"/>
          <w:szCs w:val="24"/>
        </w:rPr>
        <w:t xml:space="preserve">. Similarly, Hays </w:t>
      </w:r>
      <w:r w:rsidRPr="00104CDB">
        <w:rPr>
          <w:rFonts w:ascii="Times New Roman" w:hAnsi="Times New Roman"/>
          <w:i/>
          <w:sz w:val="24"/>
          <w:szCs w:val="24"/>
        </w:rPr>
        <w:t>et al</w:t>
      </w:r>
      <w:r w:rsidR="00CE0F91" w:rsidRPr="00104CDB">
        <w:rPr>
          <w:rFonts w:ascii="Times New Roman" w:hAnsi="Times New Roman"/>
          <w:sz w:val="24"/>
          <w:szCs w:val="24"/>
        </w:rPr>
        <w:t>.</w:t>
      </w:r>
      <w:r w:rsidRPr="00104CDB">
        <w:rPr>
          <w:rFonts w:ascii="Times New Roman" w:hAnsi="Times New Roman"/>
          <w:sz w:val="24"/>
          <w:szCs w:val="24"/>
        </w:rPr>
        <w:t xml:space="preserve"> (2000) found that </w:t>
      </w:r>
      <w:r w:rsidR="004E1B05" w:rsidRPr="00104CDB">
        <w:rPr>
          <w:rFonts w:ascii="Times New Roman" w:hAnsi="Times New Roman"/>
          <w:sz w:val="24"/>
          <w:szCs w:val="24"/>
        </w:rPr>
        <w:t xml:space="preserve">organizational and structural features of </w:t>
      </w:r>
      <w:r w:rsidRPr="00104CDB">
        <w:rPr>
          <w:rFonts w:ascii="Times New Roman" w:hAnsi="Times New Roman"/>
          <w:sz w:val="24"/>
          <w:szCs w:val="24"/>
        </w:rPr>
        <w:t>coalition</w:t>
      </w:r>
      <w:r w:rsidR="004E1B05" w:rsidRPr="00104CDB">
        <w:rPr>
          <w:rFonts w:ascii="Times New Roman" w:hAnsi="Times New Roman"/>
          <w:sz w:val="24"/>
          <w:szCs w:val="24"/>
        </w:rPr>
        <w:t>s-- including intersectoral and other forms of diversity, strength of participation, and collaboration between members—matter in</w:t>
      </w:r>
      <w:r w:rsidRPr="00104CDB">
        <w:rPr>
          <w:rFonts w:ascii="Times New Roman" w:hAnsi="Times New Roman"/>
          <w:sz w:val="24"/>
          <w:szCs w:val="24"/>
        </w:rPr>
        <w:t xml:space="preserve"> prevention system </w:t>
      </w:r>
      <w:r w:rsidR="004E1B05" w:rsidRPr="00104CDB">
        <w:rPr>
          <w:rFonts w:ascii="Times New Roman" w:hAnsi="Times New Roman"/>
          <w:sz w:val="24"/>
          <w:szCs w:val="24"/>
        </w:rPr>
        <w:t>planning, implementation and effectiveness</w:t>
      </w:r>
      <w:r w:rsidRPr="00104CDB">
        <w:rPr>
          <w:rFonts w:ascii="Times New Roman" w:hAnsi="Times New Roman"/>
          <w:sz w:val="24"/>
          <w:szCs w:val="24"/>
        </w:rPr>
        <w:t xml:space="preserve">. Thus, while coalitions are viable options for YVP, </w:t>
      </w:r>
      <w:r w:rsidR="004E1B05" w:rsidRPr="00104CDB">
        <w:rPr>
          <w:rFonts w:ascii="Times New Roman" w:hAnsi="Times New Roman"/>
          <w:sz w:val="24"/>
          <w:szCs w:val="24"/>
        </w:rPr>
        <w:t xml:space="preserve">the </w:t>
      </w:r>
      <w:r w:rsidRPr="00104CDB">
        <w:rPr>
          <w:rFonts w:ascii="Times New Roman" w:hAnsi="Times New Roman"/>
          <w:sz w:val="24"/>
          <w:szCs w:val="24"/>
        </w:rPr>
        <w:lastRenderedPageBreak/>
        <w:t>structure of coalition</w:t>
      </w:r>
      <w:r w:rsidR="004E1B05" w:rsidRPr="00104CDB">
        <w:rPr>
          <w:rFonts w:ascii="Times New Roman" w:hAnsi="Times New Roman"/>
          <w:sz w:val="24"/>
          <w:szCs w:val="24"/>
        </w:rPr>
        <w:t>s</w:t>
      </w:r>
      <w:r w:rsidRPr="00104CDB">
        <w:rPr>
          <w:rFonts w:ascii="Times New Roman" w:hAnsi="Times New Roman"/>
          <w:sz w:val="24"/>
          <w:szCs w:val="24"/>
        </w:rPr>
        <w:t xml:space="preserve"> and member</w:t>
      </w:r>
      <w:r w:rsidR="00310EDA" w:rsidRPr="00104CDB">
        <w:rPr>
          <w:rFonts w:ascii="Times New Roman" w:hAnsi="Times New Roman"/>
          <w:sz w:val="24"/>
          <w:szCs w:val="24"/>
        </w:rPr>
        <w:t xml:space="preserve"> diversity and relationships</w:t>
      </w:r>
      <w:r w:rsidRPr="00104CDB">
        <w:rPr>
          <w:rFonts w:ascii="Times New Roman" w:hAnsi="Times New Roman"/>
          <w:sz w:val="24"/>
          <w:szCs w:val="24"/>
        </w:rPr>
        <w:t xml:space="preserve"> </w:t>
      </w:r>
      <w:r w:rsidR="004E1B05" w:rsidRPr="00104CDB">
        <w:rPr>
          <w:rFonts w:ascii="Times New Roman" w:hAnsi="Times New Roman"/>
          <w:sz w:val="24"/>
          <w:szCs w:val="24"/>
        </w:rPr>
        <w:t>greatly</w:t>
      </w:r>
      <w:r w:rsidR="004E1B05">
        <w:rPr>
          <w:rFonts w:ascii="Times New Roman" w:hAnsi="Times New Roman"/>
          <w:sz w:val="24"/>
          <w:szCs w:val="24"/>
        </w:rPr>
        <w:t xml:space="preserve"> </w:t>
      </w:r>
      <w:r w:rsidRPr="009D4235">
        <w:rPr>
          <w:rFonts w:ascii="Times New Roman" w:hAnsi="Times New Roman"/>
          <w:sz w:val="24"/>
          <w:szCs w:val="24"/>
        </w:rPr>
        <w:t>determin</w:t>
      </w:r>
      <w:r w:rsidR="00310EDA">
        <w:rPr>
          <w:rFonts w:ascii="Times New Roman" w:hAnsi="Times New Roman"/>
          <w:sz w:val="24"/>
          <w:szCs w:val="24"/>
        </w:rPr>
        <w:t>e</w:t>
      </w:r>
      <w:r w:rsidRPr="009D4235">
        <w:rPr>
          <w:rFonts w:ascii="Times New Roman" w:hAnsi="Times New Roman"/>
          <w:sz w:val="24"/>
          <w:szCs w:val="24"/>
        </w:rPr>
        <w:t xml:space="preserve"> </w:t>
      </w:r>
      <w:r w:rsidR="00310EDA">
        <w:rPr>
          <w:rFonts w:ascii="Times New Roman" w:hAnsi="Times New Roman"/>
          <w:sz w:val="24"/>
          <w:szCs w:val="24"/>
        </w:rPr>
        <w:t>their</w:t>
      </w:r>
      <w:r w:rsidRPr="009D4235">
        <w:rPr>
          <w:rFonts w:ascii="Times New Roman" w:hAnsi="Times New Roman"/>
          <w:sz w:val="24"/>
          <w:szCs w:val="24"/>
        </w:rPr>
        <w:t xml:space="preserve"> overall effectiveness (</w:t>
      </w:r>
      <w:r w:rsidR="00CE0F91">
        <w:rPr>
          <w:rFonts w:ascii="Times New Roman" w:hAnsi="Times New Roman"/>
          <w:sz w:val="24"/>
          <w:szCs w:val="24"/>
        </w:rPr>
        <w:t xml:space="preserve">Bess et al. 2012; </w:t>
      </w:r>
      <w:r w:rsidRPr="00BD72C2">
        <w:rPr>
          <w:rFonts w:ascii="Times New Roman" w:hAnsi="Times New Roman"/>
          <w:sz w:val="24"/>
          <w:szCs w:val="24"/>
        </w:rPr>
        <w:t>Griffith et al. 2008).</w:t>
      </w:r>
    </w:p>
    <w:p w14:paraId="4DAD5363" w14:textId="00624E65" w:rsidR="00521F9F" w:rsidRPr="009D4235" w:rsidRDefault="006F1CC6" w:rsidP="00A55AAE">
      <w:pPr>
        <w:spacing w:after="0"/>
        <w:ind w:firstLine="720"/>
        <w:contextualSpacing/>
        <w:rPr>
          <w:rFonts w:ascii="Times New Roman" w:hAnsi="Times New Roman"/>
          <w:bCs/>
          <w:sz w:val="24"/>
          <w:szCs w:val="24"/>
        </w:rPr>
      </w:pPr>
      <w:r>
        <w:rPr>
          <w:rFonts w:ascii="Times New Roman" w:hAnsi="Times New Roman"/>
          <w:sz w:val="24"/>
          <w:szCs w:val="24"/>
        </w:rPr>
        <w:t>A</w:t>
      </w:r>
      <w:r w:rsidR="00521F9F" w:rsidRPr="009D4235">
        <w:rPr>
          <w:rFonts w:ascii="Times New Roman" w:hAnsi="Times New Roman"/>
          <w:sz w:val="24"/>
          <w:szCs w:val="24"/>
        </w:rPr>
        <w:t xml:space="preserve"> promising </w:t>
      </w:r>
      <w:r w:rsidR="001B6010">
        <w:rPr>
          <w:rFonts w:ascii="Times New Roman" w:hAnsi="Times New Roman"/>
          <w:sz w:val="24"/>
          <w:szCs w:val="24"/>
        </w:rPr>
        <w:t>strateg</w:t>
      </w:r>
      <w:r>
        <w:rPr>
          <w:rFonts w:ascii="Times New Roman" w:hAnsi="Times New Roman"/>
          <w:sz w:val="24"/>
          <w:szCs w:val="24"/>
        </w:rPr>
        <w:t>y, especially</w:t>
      </w:r>
      <w:r w:rsidR="001B6010">
        <w:rPr>
          <w:rFonts w:ascii="Times New Roman" w:hAnsi="Times New Roman"/>
          <w:sz w:val="24"/>
          <w:szCs w:val="24"/>
        </w:rPr>
        <w:t xml:space="preserve"> </w:t>
      </w:r>
      <w:r w:rsidR="00521F9F" w:rsidRPr="009D4235">
        <w:rPr>
          <w:rFonts w:ascii="Times New Roman" w:hAnsi="Times New Roman"/>
          <w:sz w:val="24"/>
          <w:szCs w:val="24"/>
        </w:rPr>
        <w:t>for coal</w:t>
      </w:r>
      <w:r w:rsidR="00521F9F">
        <w:rPr>
          <w:rFonts w:ascii="Times New Roman" w:hAnsi="Times New Roman"/>
          <w:sz w:val="24"/>
          <w:szCs w:val="24"/>
        </w:rPr>
        <w:t>itions</w:t>
      </w:r>
      <w:r>
        <w:rPr>
          <w:rFonts w:ascii="Times New Roman" w:hAnsi="Times New Roman"/>
          <w:sz w:val="24"/>
          <w:szCs w:val="24"/>
        </w:rPr>
        <w:t>,</w:t>
      </w:r>
      <w:r w:rsidR="00521F9F">
        <w:rPr>
          <w:rFonts w:ascii="Times New Roman" w:hAnsi="Times New Roman"/>
          <w:sz w:val="24"/>
          <w:szCs w:val="24"/>
        </w:rPr>
        <w:t xml:space="preserve"> is </w:t>
      </w:r>
      <w:r w:rsidR="001B6010">
        <w:rPr>
          <w:rFonts w:ascii="Times New Roman" w:hAnsi="Times New Roman"/>
          <w:sz w:val="24"/>
          <w:szCs w:val="24"/>
        </w:rPr>
        <w:t xml:space="preserve">to go beyond </w:t>
      </w:r>
      <w:r>
        <w:rPr>
          <w:rFonts w:ascii="Times New Roman" w:hAnsi="Times New Roman"/>
          <w:sz w:val="24"/>
          <w:szCs w:val="24"/>
        </w:rPr>
        <w:t>mere service</w:t>
      </w:r>
      <w:r w:rsidR="00331E4F">
        <w:rPr>
          <w:rFonts w:ascii="Times New Roman" w:hAnsi="Times New Roman"/>
          <w:sz w:val="24"/>
          <w:szCs w:val="24"/>
        </w:rPr>
        <w:t xml:space="preserve"> provi</w:t>
      </w:r>
      <w:r>
        <w:rPr>
          <w:rFonts w:ascii="Times New Roman" w:hAnsi="Times New Roman"/>
          <w:sz w:val="24"/>
          <w:szCs w:val="24"/>
        </w:rPr>
        <w:t>sion</w:t>
      </w:r>
      <w:r w:rsidR="00331E4F">
        <w:rPr>
          <w:rFonts w:ascii="Times New Roman" w:hAnsi="Times New Roman"/>
          <w:sz w:val="24"/>
          <w:szCs w:val="24"/>
        </w:rPr>
        <w:t xml:space="preserve"> </w:t>
      </w:r>
      <w:r>
        <w:rPr>
          <w:rFonts w:ascii="Times New Roman" w:hAnsi="Times New Roman"/>
          <w:sz w:val="24"/>
          <w:szCs w:val="24"/>
        </w:rPr>
        <w:t>to</w:t>
      </w:r>
      <w:r w:rsidR="001B6010">
        <w:rPr>
          <w:rFonts w:ascii="Times New Roman" w:hAnsi="Times New Roman"/>
          <w:sz w:val="24"/>
          <w:szCs w:val="24"/>
        </w:rPr>
        <w:t xml:space="preserve"> </w:t>
      </w:r>
      <w:r w:rsidR="00521F9F" w:rsidRPr="00ED5747">
        <w:rPr>
          <w:rFonts w:ascii="Times New Roman" w:hAnsi="Times New Roman"/>
          <w:sz w:val="24"/>
          <w:szCs w:val="24"/>
        </w:rPr>
        <w:t>engag</w:t>
      </w:r>
      <w:r w:rsidR="001B6010" w:rsidRPr="00ED5747">
        <w:rPr>
          <w:rFonts w:ascii="Times New Roman" w:hAnsi="Times New Roman"/>
          <w:sz w:val="24"/>
          <w:szCs w:val="24"/>
        </w:rPr>
        <w:t>e</w:t>
      </w:r>
      <w:r w:rsidR="00521F9F" w:rsidRPr="00ED5747">
        <w:rPr>
          <w:rFonts w:ascii="Times New Roman" w:hAnsi="Times New Roman"/>
          <w:sz w:val="24"/>
          <w:szCs w:val="24"/>
        </w:rPr>
        <w:t xml:space="preserve"> in advocacy fo</w:t>
      </w:r>
      <w:r w:rsidR="00331E4F" w:rsidRPr="00ED5747">
        <w:rPr>
          <w:rFonts w:ascii="Times New Roman" w:hAnsi="Times New Roman"/>
          <w:sz w:val="24"/>
          <w:szCs w:val="24"/>
        </w:rPr>
        <w:t>r</w:t>
      </w:r>
      <w:r w:rsidR="00521F9F" w:rsidRPr="00ED5747">
        <w:rPr>
          <w:rFonts w:ascii="Times New Roman" w:hAnsi="Times New Roman"/>
          <w:sz w:val="24"/>
          <w:szCs w:val="24"/>
        </w:rPr>
        <w:t xml:space="preserve"> policy change</w:t>
      </w:r>
      <w:r w:rsidR="00521F9F" w:rsidRPr="00AB6AF1">
        <w:rPr>
          <w:rFonts w:ascii="Times New Roman" w:hAnsi="Times New Roman"/>
          <w:sz w:val="24"/>
          <w:szCs w:val="24"/>
        </w:rPr>
        <w:t xml:space="preserve"> (Schmid</w:t>
      </w:r>
      <w:r w:rsidR="00AA79C7" w:rsidRPr="00AB6AF1">
        <w:rPr>
          <w:rFonts w:ascii="Times New Roman" w:hAnsi="Times New Roman"/>
          <w:sz w:val="24"/>
          <w:szCs w:val="24"/>
        </w:rPr>
        <w:t xml:space="preserve"> et al.</w:t>
      </w:r>
      <w:r w:rsidR="00521F9F" w:rsidRPr="00AB6AF1">
        <w:rPr>
          <w:rFonts w:ascii="Times New Roman" w:hAnsi="Times New Roman"/>
          <w:sz w:val="24"/>
          <w:szCs w:val="24"/>
        </w:rPr>
        <w:t xml:space="preserve">, 2008). At the organizational level, </w:t>
      </w:r>
      <w:proofErr w:type="spellStart"/>
      <w:r w:rsidR="00521F9F" w:rsidRPr="00AB6AF1">
        <w:rPr>
          <w:rFonts w:ascii="Times New Roman" w:hAnsi="Times New Roman"/>
          <w:sz w:val="24"/>
          <w:szCs w:val="24"/>
        </w:rPr>
        <w:t>Pentz</w:t>
      </w:r>
      <w:proofErr w:type="spellEnd"/>
      <w:r w:rsidR="00521F9F" w:rsidRPr="00AB6AF1">
        <w:rPr>
          <w:rFonts w:ascii="Times New Roman" w:hAnsi="Times New Roman"/>
          <w:sz w:val="24"/>
          <w:szCs w:val="24"/>
        </w:rPr>
        <w:t xml:space="preserve"> (2000) found that </w:t>
      </w:r>
      <w:r w:rsidR="00521F9F" w:rsidRPr="00ED5747">
        <w:rPr>
          <w:rFonts w:ascii="Times New Roman" w:hAnsi="Times New Roman"/>
          <w:sz w:val="24"/>
          <w:szCs w:val="24"/>
        </w:rPr>
        <w:t>organizations that involve community leaders</w:t>
      </w:r>
      <w:r w:rsidR="00521F9F" w:rsidRPr="00AB6AF1">
        <w:rPr>
          <w:rFonts w:ascii="Times New Roman" w:hAnsi="Times New Roman"/>
          <w:sz w:val="24"/>
          <w:szCs w:val="24"/>
        </w:rPr>
        <w:t xml:space="preserve"> in decision-making and network with other community leaders and organizations were more likely to engage in advocacy. Schmid </w:t>
      </w:r>
      <w:r w:rsidR="00521F9F" w:rsidRPr="00AB6AF1">
        <w:rPr>
          <w:rFonts w:ascii="Times New Roman" w:hAnsi="Times New Roman"/>
          <w:i/>
          <w:sz w:val="24"/>
          <w:szCs w:val="24"/>
        </w:rPr>
        <w:t>et al</w:t>
      </w:r>
      <w:r w:rsidR="00521F9F" w:rsidRPr="00AB6AF1">
        <w:rPr>
          <w:rFonts w:ascii="Times New Roman" w:hAnsi="Times New Roman"/>
          <w:sz w:val="24"/>
          <w:szCs w:val="24"/>
        </w:rPr>
        <w:t xml:space="preserve"> (2008) showed that </w:t>
      </w:r>
      <w:r w:rsidR="00521F9F" w:rsidRPr="00ED5747">
        <w:rPr>
          <w:rFonts w:ascii="Times New Roman" w:hAnsi="Times New Roman"/>
          <w:sz w:val="24"/>
          <w:szCs w:val="24"/>
        </w:rPr>
        <w:t>greater access to resources including a large volunteer base and budget</w:t>
      </w:r>
      <w:r w:rsidR="00521F9F" w:rsidRPr="00AB6AF1">
        <w:rPr>
          <w:rFonts w:ascii="Times New Roman" w:hAnsi="Times New Roman"/>
          <w:sz w:val="24"/>
          <w:szCs w:val="24"/>
        </w:rPr>
        <w:t xml:space="preserve"> enabled political involvement in</w:t>
      </w:r>
      <w:r w:rsidR="00521F9F" w:rsidRPr="009D4235">
        <w:rPr>
          <w:rFonts w:ascii="Times New Roman" w:hAnsi="Times New Roman"/>
          <w:sz w:val="24"/>
          <w:szCs w:val="24"/>
        </w:rPr>
        <w:t xml:space="preserve"> nonprofits. In coalitions, Hays </w:t>
      </w:r>
      <w:r w:rsidR="00521F9F" w:rsidRPr="00E67390">
        <w:rPr>
          <w:rFonts w:ascii="Times New Roman" w:hAnsi="Times New Roman"/>
          <w:i/>
          <w:sz w:val="24"/>
          <w:szCs w:val="24"/>
        </w:rPr>
        <w:t>et al</w:t>
      </w:r>
      <w:r w:rsidR="00521F9F" w:rsidRPr="009D4235">
        <w:rPr>
          <w:rFonts w:ascii="Times New Roman" w:hAnsi="Times New Roman"/>
          <w:sz w:val="24"/>
          <w:szCs w:val="24"/>
        </w:rPr>
        <w:t xml:space="preserve"> (</w:t>
      </w:r>
      <w:r w:rsidR="00521F9F" w:rsidRPr="00AB6AF1">
        <w:rPr>
          <w:rFonts w:ascii="Times New Roman" w:hAnsi="Times New Roman"/>
          <w:sz w:val="24"/>
          <w:szCs w:val="24"/>
        </w:rPr>
        <w:t>2000</w:t>
      </w:r>
      <w:r w:rsidR="00521F9F" w:rsidRPr="009D4235">
        <w:rPr>
          <w:rFonts w:ascii="Times New Roman" w:hAnsi="Times New Roman"/>
          <w:sz w:val="24"/>
          <w:szCs w:val="24"/>
        </w:rPr>
        <w:t xml:space="preserve">) found that political advocacy positively related to member diversity and the number of sectors of the community represented in the coalition. Surprisingly, they also found that collaboration among coalition members negatively correlated </w:t>
      </w:r>
      <w:r w:rsidR="00521F9F">
        <w:rPr>
          <w:rFonts w:ascii="Times New Roman" w:hAnsi="Times New Roman"/>
          <w:sz w:val="24"/>
          <w:szCs w:val="24"/>
        </w:rPr>
        <w:t>with</w:t>
      </w:r>
      <w:r w:rsidR="00521F9F" w:rsidRPr="009D4235">
        <w:rPr>
          <w:rFonts w:ascii="Times New Roman" w:hAnsi="Times New Roman"/>
          <w:sz w:val="24"/>
          <w:szCs w:val="24"/>
        </w:rPr>
        <w:t xml:space="preserve"> political action (</w:t>
      </w:r>
      <w:r w:rsidR="00521F9F" w:rsidRPr="00AB6AF1">
        <w:rPr>
          <w:rFonts w:ascii="Times New Roman" w:hAnsi="Times New Roman"/>
          <w:sz w:val="24"/>
          <w:szCs w:val="24"/>
        </w:rPr>
        <w:t>Hays</w:t>
      </w:r>
      <w:r w:rsidR="00521F9F" w:rsidRPr="009D4235">
        <w:rPr>
          <w:rFonts w:ascii="Times New Roman" w:hAnsi="Times New Roman"/>
          <w:sz w:val="24"/>
          <w:szCs w:val="24"/>
        </w:rPr>
        <w:t xml:space="preserve"> et al</w:t>
      </w:r>
      <w:r w:rsidR="00521F9F">
        <w:rPr>
          <w:rFonts w:ascii="Times New Roman" w:hAnsi="Times New Roman"/>
          <w:sz w:val="24"/>
          <w:szCs w:val="24"/>
        </w:rPr>
        <w:t>.</w:t>
      </w:r>
      <w:r w:rsidR="00521F9F" w:rsidRPr="009D4235">
        <w:rPr>
          <w:rFonts w:ascii="Times New Roman" w:hAnsi="Times New Roman"/>
          <w:sz w:val="24"/>
          <w:szCs w:val="24"/>
        </w:rPr>
        <w:t xml:space="preserve"> 2000). However, Griffith </w:t>
      </w:r>
      <w:r w:rsidR="00521F9F" w:rsidRPr="00B9543C">
        <w:rPr>
          <w:rFonts w:ascii="Times New Roman" w:hAnsi="Times New Roman"/>
          <w:i/>
          <w:sz w:val="24"/>
          <w:szCs w:val="24"/>
        </w:rPr>
        <w:t>et al</w:t>
      </w:r>
      <w:r w:rsidR="00521F9F" w:rsidRPr="009D4235">
        <w:rPr>
          <w:rFonts w:ascii="Times New Roman" w:hAnsi="Times New Roman"/>
          <w:sz w:val="24"/>
          <w:szCs w:val="24"/>
        </w:rPr>
        <w:t xml:space="preserve"> (</w:t>
      </w:r>
      <w:r w:rsidR="00521F9F" w:rsidRPr="00AB6AF1">
        <w:rPr>
          <w:rFonts w:ascii="Times New Roman" w:hAnsi="Times New Roman"/>
          <w:sz w:val="24"/>
          <w:szCs w:val="24"/>
        </w:rPr>
        <w:t>2008</w:t>
      </w:r>
      <w:r w:rsidR="00521F9F" w:rsidRPr="009D4235">
        <w:rPr>
          <w:rFonts w:ascii="Times New Roman" w:hAnsi="Times New Roman"/>
          <w:sz w:val="24"/>
          <w:szCs w:val="24"/>
        </w:rPr>
        <w:t xml:space="preserve">) contradicted these results, and showed that increased networking in </w:t>
      </w:r>
      <w:r w:rsidR="00521F9F">
        <w:rPr>
          <w:rFonts w:ascii="Times New Roman" w:hAnsi="Times New Roman"/>
          <w:sz w:val="24"/>
          <w:szCs w:val="24"/>
        </w:rPr>
        <w:t>YVP</w:t>
      </w:r>
      <w:r w:rsidR="00521F9F" w:rsidRPr="009D4235">
        <w:rPr>
          <w:rFonts w:ascii="Times New Roman" w:hAnsi="Times New Roman"/>
          <w:sz w:val="24"/>
          <w:szCs w:val="24"/>
        </w:rPr>
        <w:t xml:space="preserve"> coalitions actually led to increased influence in political arenas</w:t>
      </w:r>
      <w:r w:rsidR="00ED3B04">
        <w:rPr>
          <w:rFonts w:ascii="Times New Roman" w:hAnsi="Times New Roman"/>
          <w:sz w:val="24"/>
          <w:szCs w:val="24"/>
        </w:rPr>
        <w:t>, suggesting the need for more research</w:t>
      </w:r>
      <w:r w:rsidR="00521F9F" w:rsidRPr="009D4235">
        <w:rPr>
          <w:rFonts w:ascii="Times New Roman" w:hAnsi="Times New Roman"/>
          <w:sz w:val="24"/>
          <w:szCs w:val="24"/>
        </w:rPr>
        <w:t>.</w:t>
      </w:r>
      <w:r w:rsidR="00ED3B04">
        <w:rPr>
          <w:rFonts w:ascii="Times New Roman" w:hAnsi="Times New Roman"/>
          <w:sz w:val="24"/>
          <w:szCs w:val="24"/>
        </w:rPr>
        <w:t xml:space="preserve"> </w:t>
      </w:r>
      <w:r w:rsidR="00521F9F">
        <w:rPr>
          <w:rFonts w:ascii="Times New Roman" w:hAnsi="Times New Roman"/>
          <w:sz w:val="24"/>
        </w:rPr>
        <w:t xml:space="preserve">YVP coalitions should perhaps look to certain </w:t>
      </w:r>
      <w:r w:rsidR="00521F9F" w:rsidRPr="00AB6AF1">
        <w:rPr>
          <w:rFonts w:ascii="Times New Roman" w:hAnsi="Times New Roman"/>
          <w:sz w:val="24"/>
        </w:rPr>
        <w:t>comm</w:t>
      </w:r>
      <w:r w:rsidR="00521F9F" w:rsidRPr="00ED5747">
        <w:rPr>
          <w:rFonts w:ascii="Times New Roman" w:hAnsi="Times New Roman"/>
          <w:sz w:val="24"/>
        </w:rPr>
        <w:t>unity coalitions for youth HIV prevention</w:t>
      </w:r>
      <w:r w:rsidR="00521F9F" w:rsidRPr="00AB6AF1">
        <w:rPr>
          <w:rFonts w:ascii="Times New Roman" w:hAnsi="Times New Roman"/>
          <w:sz w:val="24"/>
        </w:rPr>
        <w:t xml:space="preserve"> which </w:t>
      </w:r>
      <w:r w:rsidR="00790059">
        <w:rPr>
          <w:rFonts w:ascii="Times New Roman" w:hAnsi="Times New Roman"/>
          <w:sz w:val="24"/>
        </w:rPr>
        <w:t>created</w:t>
      </w:r>
      <w:r w:rsidR="00521F9F" w:rsidRPr="00C1058C">
        <w:rPr>
          <w:rFonts w:ascii="Times New Roman" w:hAnsi="Times New Roman"/>
          <w:sz w:val="24"/>
        </w:rPr>
        <w:t xml:space="preserve"> </w:t>
      </w:r>
      <w:r w:rsidR="00521F9F">
        <w:rPr>
          <w:rFonts w:ascii="Times New Roman" w:hAnsi="Times New Roman"/>
          <w:sz w:val="24"/>
        </w:rPr>
        <w:t xml:space="preserve">sustainable structural changes </w:t>
      </w:r>
      <w:r w:rsidR="00521F9F" w:rsidRPr="00C1058C">
        <w:rPr>
          <w:rFonts w:ascii="Times New Roman" w:hAnsi="Times New Roman"/>
          <w:sz w:val="24"/>
        </w:rPr>
        <w:t xml:space="preserve">affecting </w:t>
      </w:r>
      <w:r w:rsidR="006A4ED2">
        <w:rPr>
          <w:rFonts w:ascii="Times New Roman" w:hAnsi="Times New Roman"/>
          <w:sz w:val="24"/>
        </w:rPr>
        <w:t xml:space="preserve">health and juvenile justice </w:t>
      </w:r>
      <w:r w:rsidR="00521F9F" w:rsidRPr="00C1058C">
        <w:rPr>
          <w:rFonts w:ascii="Times New Roman" w:hAnsi="Times New Roman"/>
          <w:sz w:val="24"/>
        </w:rPr>
        <w:t xml:space="preserve">policies, practices and programs </w:t>
      </w:r>
      <w:r w:rsidR="00521F9F">
        <w:rPr>
          <w:rFonts w:ascii="Times New Roman" w:hAnsi="Times New Roman"/>
          <w:sz w:val="24"/>
        </w:rPr>
        <w:t>(</w:t>
      </w:r>
      <w:proofErr w:type="spellStart"/>
      <w:r w:rsidR="00521F9F" w:rsidRPr="00F828A4">
        <w:rPr>
          <w:rFonts w:ascii="Times New Roman" w:hAnsi="Times New Roman"/>
          <w:sz w:val="24"/>
        </w:rPr>
        <w:t>Chutuape</w:t>
      </w:r>
      <w:proofErr w:type="spellEnd"/>
      <w:r w:rsidR="00521F9F" w:rsidRPr="00F15F9A">
        <w:rPr>
          <w:rFonts w:ascii="Times New Roman" w:hAnsi="Times New Roman"/>
          <w:sz w:val="24"/>
        </w:rPr>
        <w:t xml:space="preserve"> </w:t>
      </w:r>
      <w:r w:rsidR="00521F9F">
        <w:rPr>
          <w:rFonts w:ascii="Times New Roman" w:hAnsi="Times New Roman"/>
          <w:sz w:val="24"/>
        </w:rPr>
        <w:t xml:space="preserve">et al., </w:t>
      </w:r>
      <w:r w:rsidR="00521F9F" w:rsidRPr="00F15F9A">
        <w:rPr>
          <w:rFonts w:ascii="Times New Roman" w:hAnsi="Times New Roman"/>
          <w:sz w:val="24"/>
        </w:rPr>
        <w:t xml:space="preserve">2010). </w:t>
      </w:r>
      <w:r w:rsidR="00521F9F" w:rsidRPr="009D4235">
        <w:rPr>
          <w:rFonts w:ascii="Times New Roman" w:hAnsi="Times New Roman"/>
          <w:sz w:val="24"/>
          <w:szCs w:val="24"/>
        </w:rPr>
        <w:t xml:space="preserve">Clearly, more research is needed to fully understand the relationship between coalitions and their involvement in advocacy. </w:t>
      </w:r>
    </w:p>
    <w:p w14:paraId="47502BE7" w14:textId="77777777" w:rsidR="00F51392" w:rsidRPr="00E248FD" w:rsidRDefault="00F51392" w:rsidP="00F51392">
      <w:pPr>
        <w:spacing w:after="0"/>
        <w:contextualSpacing/>
        <w:rPr>
          <w:rFonts w:ascii="Times New Roman" w:hAnsi="Times New Roman"/>
          <w:sz w:val="24"/>
          <w:szCs w:val="24"/>
          <w:u w:val="single"/>
        </w:rPr>
      </w:pPr>
      <w:r w:rsidRPr="00E248FD">
        <w:rPr>
          <w:rFonts w:ascii="Times New Roman" w:hAnsi="Times New Roman"/>
          <w:sz w:val="24"/>
          <w:szCs w:val="24"/>
          <w:u w:val="single"/>
        </w:rPr>
        <w:t>Shifting the Par</w:t>
      </w:r>
      <w:r>
        <w:rPr>
          <w:rFonts w:ascii="Times New Roman" w:hAnsi="Times New Roman"/>
          <w:sz w:val="24"/>
          <w:szCs w:val="24"/>
          <w:u w:val="single"/>
        </w:rPr>
        <w:t xml:space="preserve">adigm toward Strengths, </w:t>
      </w:r>
      <w:r w:rsidRPr="00E248FD">
        <w:rPr>
          <w:rFonts w:ascii="Times New Roman" w:hAnsi="Times New Roman"/>
          <w:sz w:val="24"/>
          <w:szCs w:val="24"/>
          <w:u w:val="single"/>
        </w:rPr>
        <w:t>Prevention, Emp</w:t>
      </w:r>
      <w:r>
        <w:rPr>
          <w:rFonts w:ascii="Times New Roman" w:hAnsi="Times New Roman"/>
          <w:sz w:val="24"/>
          <w:szCs w:val="24"/>
          <w:u w:val="single"/>
        </w:rPr>
        <w:t>owerment and Community Change</w:t>
      </w:r>
    </w:p>
    <w:p w14:paraId="69B1224B" w14:textId="44DB9A4D" w:rsidR="00F51392" w:rsidRDefault="00F51392" w:rsidP="00F51392">
      <w:pPr>
        <w:spacing w:after="0"/>
        <w:ind w:firstLine="720"/>
        <w:contextualSpacing/>
        <w:rPr>
          <w:rFonts w:ascii="Times New Roman" w:hAnsi="Times New Roman"/>
          <w:sz w:val="24"/>
          <w:szCs w:val="24"/>
        </w:rPr>
      </w:pPr>
      <w:r>
        <w:rPr>
          <w:rFonts w:ascii="Times New Roman" w:hAnsi="Times New Roman"/>
          <w:sz w:val="24"/>
          <w:szCs w:val="24"/>
        </w:rPr>
        <w:t xml:space="preserve">The traditional medical </w:t>
      </w:r>
      <w:r w:rsidR="00AA3739">
        <w:rPr>
          <w:rFonts w:ascii="Times New Roman" w:hAnsi="Times New Roman"/>
          <w:sz w:val="24"/>
          <w:szCs w:val="24"/>
        </w:rPr>
        <w:t>and</w:t>
      </w:r>
      <w:r>
        <w:rPr>
          <w:rFonts w:ascii="Times New Roman" w:hAnsi="Times New Roman"/>
          <w:sz w:val="24"/>
          <w:szCs w:val="24"/>
        </w:rPr>
        <w:t xml:space="preserve"> social work paradigm</w:t>
      </w:r>
      <w:r w:rsidR="00AA3739">
        <w:rPr>
          <w:rFonts w:ascii="Times New Roman" w:hAnsi="Times New Roman"/>
          <w:sz w:val="24"/>
          <w:szCs w:val="24"/>
        </w:rPr>
        <w:t>s</w:t>
      </w:r>
      <w:r>
        <w:rPr>
          <w:rFonts w:ascii="Times New Roman" w:hAnsi="Times New Roman"/>
          <w:sz w:val="24"/>
          <w:szCs w:val="24"/>
        </w:rPr>
        <w:t xml:space="preserve"> </w:t>
      </w:r>
      <w:r w:rsidR="00FD6AE8">
        <w:rPr>
          <w:rFonts w:ascii="Times New Roman" w:hAnsi="Times New Roman"/>
          <w:sz w:val="24"/>
          <w:szCs w:val="24"/>
        </w:rPr>
        <w:t>in</w:t>
      </w:r>
      <w:r>
        <w:rPr>
          <w:rFonts w:ascii="Times New Roman" w:hAnsi="Times New Roman"/>
          <w:sz w:val="24"/>
          <w:szCs w:val="24"/>
        </w:rPr>
        <w:t xml:space="preserve"> health and human services ha</w:t>
      </w:r>
      <w:r w:rsidR="00FD6AE8">
        <w:rPr>
          <w:rFonts w:ascii="Times New Roman" w:hAnsi="Times New Roman"/>
          <w:sz w:val="24"/>
          <w:szCs w:val="24"/>
        </w:rPr>
        <w:t>ve</w:t>
      </w:r>
      <w:r>
        <w:rPr>
          <w:rFonts w:ascii="Times New Roman" w:hAnsi="Times New Roman"/>
          <w:sz w:val="24"/>
          <w:szCs w:val="24"/>
        </w:rPr>
        <w:t xml:space="preserve"> been criticized as too exclusively deficit- or pathology-focused, passive-reactive, professional/expert-driven, disempowering, and victim-blaming. In contrast, a “</w:t>
      </w:r>
      <w:r w:rsidRPr="00E248FD">
        <w:rPr>
          <w:rFonts w:ascii="Times New Roman" w:hAnsi="Times New Roman"/>
          <w:sz w:val="24"/>
          <w:szCs w:val="24"/>
        </w:rPr>
        <w:t>SPEC</w:t>
      </w:r>
      <w:r>
        <w:rPr>
          <w:rFonts w:ascii="Times New Roman" w:hAnsi="Times New Roman"/>
          <w:sz w:val="24"/>
          <w:szCs w:val="24"/>
        </w:rPr>
        <w:t xml:space="preserve">” </w:t>
      </w:r>
      <w:r w:rsidR="003F0464">
        <w:rPr>
          <w:rFonts w:ascii="Times New Roman" w:hAnsi="Times New Roman"/>
          <w:sz w:val="24"/>
          <w:szCs w:val="24"/>
        </w:rPr>
        <w:t>intervention orientation</w:t>
      </w:r>
      <w:r>
        <w:rPr>
          <w:rFonts w:ascii="Times New Roman" w:hAnsi="Times New Roman"/>
          <w:sz w:val="24"/>
          <w:szCs w:val="24"/>
        </w:rPr>
        <w:t xml:space="preserve"> promotes </w:t>
      </w:r>
      <w:r w:rsidR="003F0464">
        <w:rPr>
          <w:rFonts w:ascii="Times New Roman" w:hAnsi="Times New Roman"/>
          <w:sz w:val="24"/>
          <w:szCs w:val="24"/>
        </w:rPr>
        <w:t xml:space="preserve">individual and community </w:t>
      </w:r>
      <w:r w:rsidR="003F0464" w:rsidRPr="003F0464">
        <w:rPr>
          <w:rFonts w:ascii="Times New Roman" w:hAnsi="Times New Roman"/>
          <w:i/>
          <w:sz w:val="24"/>
          <w:szCs w:val="24"/>
          <w:u w:val="single"/>
        </w:rPr>
        <w:t>strengths</w:t>
      </w:r>
      <w:r w:rsidR="003F0464">
        <w:rPr>
          <w:rFonts w:ascii="Times New Roman" w:hAnsi="Times New Roman"/>
          <w:sz w:val="24"/>
          <w:szCs w:val="24"/>
        </w:rPr>
        <w:t xml:space="preserve">, </w:t>
      </w:r>
      <w:r w:rsidR="003F0464" w:rsidRPr="001A278A">
        <w:rPr>
          <w:rFonts w:ascii="Times New Roman" w:hAnsi="Times New Roman"/>
          <w:i/>
          <w:sz w:val="24"/>
          <w:szCs w:val="24"/>
          <w:u w:val="single"/>
        </w:rPr>
        <w:t>prevention</w:t>
      </w:r>
      <w:r w:rsidR="003F0464">
        <w:rPr>
          <w:rFonts w:ascii="Times New Roman" w:hAnsi="Times New Roman"/>
          <w:sz w:val="24"/>
          <w:szCs w:val="24"/>
        </w:rPr>
        <w:t xml:space="preserve"> of problems </w:t>
      </w:r>
      <w:r w:rsidR="003F0464">
        <w:rPr>
          <w:rFonts w:ascii="Times New Roman" w:hAnsi="Times New Roman"/>
          <w:sz w:val="24"/>
          <w:szCs w:val="24"/>
        </w:rPr>
        <w:lastRenderedPageBreak/>
        <w:t>before they be</w:t>
      </w:r>
      <w:r w:rsidR="001A278A">
        <w:rPr>
          <w:rFonts w:ascii="Times New Roman" w:hAnsi="Times New Roman"/>
          <w:sz w:val="24"/>
          <w:szCs w:val="24"/>
        </w:rPr>
        <w:t>come intractable</w:t>
      </w:r>
      <w:r w:rsidR="003F0464">
        <w:rPr>
          <w:rFonts w:ascii="Times New Roman" w:hAnsi="Times New Roman"/>
          <w:sz w:val="24"/>
          <w:szCs w:val="24"/>
        </w:rPr>
        <w:t xml:space="preserve">, </w:t>
      </w:r>
      <w:r w:rsidR="001A278A">
        <w:rPr>
          <w:rFonts w:ascii="Times New Roman" w:hAnsi="Times New Roman"/>
          <w:sz w:val="24"/>
          <w:szCs w:val="24"/>
        </w:rPr>
        <w:t xml:space="preserve">and </w:t>
      </w:r>
      <w:r w:rsidR="001A278A" w:rsidRPr="001A278A">
        <w:rPr>
          <w:rFonts w:ascii="Times New Roman" w:hAnsi="Times New Roman"/>
          <w:i/>
          <w:sz w:val="24"/>
          <w:szCs w:val="24"/>
          <w:u w:val="single"/>
        </w:rPr>
        <w:t>e</w:t>
      </w:r>
      <w:r w:rsidR="003F0464" w:rsidRPr="001A278A">
        <w:rPr>
          <w:rFonts w:ascii="Times New Roman" w:hAnsi="Times New Roman"/>
          <w:i/>
          <w:sz w:val="24"/>
          <w:szCs w:val="24"/>
          <w:u w:val="single"/>
        </w:rPr>
        <w:t>mpowerment</w:t>
      </w:r>
      <w:r w:rsidR="001A278A">
        <w:rPr>
          <w:rFonts w:ascii="Times New Roman" w:hAnsi="Times New Roman"/>
          <w:sz w:val="24"/>
          <w:szCs w:val="24"/>
        </w:rPr>
        <w:t xml:space="preserve"> through participation in</w:t>
      </w:r>
      <w:r w:rsidR="003F0464">
        <w:rPr>
          <w:rFonts w:ascii="Times New Roman" w:hAnsi="Times New Roman"/>
          <w:sz w:val="24"/>
          <w:szCs w:val="24"/>
        </w:rPr>
        <w:t xml:space="preserve"> </w:t>
      </w:r>
      <w:r w:rsidR="001A278A">
        <w:rPr>
          <w:rFonts w:ascii="Times New Roman" w:hAnsi="Times New Roman"/>
          <w:sz w:val="24"/>
          <w:szCs w:val="24"/>
        </w:rPr>
        <w:t xml:space="preserve">organized, </w:t>
      </w:r>
      <w:r w:rsidR="001A278A" w:rsidRPr="001A278A">
        <w:rPr>
          <w:rFonts w:ascii="Times New Roman" w:hAnsi="Times New Roman"/>
          <w:i/>
          <w:sz w:val="24"/>
          <w:szCs w:val="24"/>
          <w:u w:val="single"/>
        </w:rPr>
        <w:t>c</w:t>
      </w:r>
      <w:r w:rsidR="003F0464" w:rsidRPr="001A278A">
        <w:rPr>
          <w:rFonts w:ascii="Times New Roman" w:hAnsi="Times New Roman"/>
          <w:i/>
          <w:sz w:val="24"/>
          <w:szCs w:val="24"/>
          <w:u w:val="single"/>
        </w:rPr>
        <w:t>ommunity-level change</w:t>
      </w:r>
      <w:r w:rsidR="001A278A">
        <w:rPr>
          <w:rFonts w:ascii="Times New Roman" w:hAnsi="Times New Roman"/>
          <w:sz w:val="24"/>
          <w:szCs w:val="24"/>
        </w:rPr>
        <w:t xml:space="preserve"> efforts</w:t>
      </w:r>
      <w:r w:rsidR="003F0464">
        <w:rPr>
          <w:rFonts w:ascii="Times New Roman" w:hAnsi="Times New Roman"/>
          <w:sz w:val="24"/>
          <w:szCs w:val="24"/>
        </w:rPr>
        <w:t xml:space="preserve"> </w:t>
      </w:r>
      <w:r>
        <w:rPr>
          <w:rFonts w:ascii="Times New Roman" w:hAnsi="Times New Roman"/>
          <w:sz w:val="24"/>
          <w:szCs w:val="24"/>
        </w:rPr>
        <w:t xml:space="preserve">(Bess et al. </w:t>
      </w:r>
      <w:r w:rsidRPr="00B13AD1">
        <w:rPr>
          <w:rFonts w:ascii="Times New Roman" w:hAnsi="Times New Roman"/>
          <w:sz w:val="24"/>
          <w:szCs w:val="24"/>
        </w:rPr>
        <w:t>2009</w:t>
      </w:r>
      <w:r w:rsidR="003F0464">
        <w:rPr>
          <w:rFonts w:ascii="Times New Roman" w:hAnsi="Times New Roman"/>
          <w:sz w:val="24"/>
          <w:szCs w:val="24"/>
        </w:rPr>
        <w:t>; Evans et al.</w:t>
      </w:r>
      <w:r w:rsidR="003F0464" w:rsidRPr="00E248FD">
        <w:rPr>
          <w:rFonts w:ascii="Times New Roman" w:hAnsi="Times New Roman"/>
          <w:sz w:val="24"/>
          <w:szCs w:val="24"/>
        </w:rPr>
        <w:t xml:space="preserve"> 20</w:t>
      </w:r>
      <w:r w:rsidR="003F0464">
        <w:rPr>
          <w:rFonts w:ascii="Times New Roman" w:hAnsi="Times New Roman"/>
          <w:sz w:val="24"/>
          <w:szCs w:val="24"/>
        </w:rPr>
        <w:t>11</w:t>
      </w:r>
      <w:r w:rsidRPr="00403095">
        <w:rPr>
          <w:rFonts w:ascii="Times New Roman" w:hAnsi="Times New Roman"/>
          <w:sz w:val="24"/>
          <w:szCs w:val="24"/>
        </w:rPr>
        <w:t>)</w:t>
      </w:r>
      <w:r w:rsidRPr="00E248FD">
        <w:rPr>
          <w:rFonts w:ascii="Times New Roman" w:hAnsi="Times New Roman"/>
          <w:sz w:val="24"/>
          <w:szCs w:val="24"/>
        </w:rPr>
        <w:t xml:space="preserve">. </w:t>
      </w:r>
      <w:r>
        <w:rPr>
          <w:rFonts w:ascii="Times New Roman" w:hAnsi="Times New Roman"/>
          <w:sz w:val="24"/>
          <w:szCs w:val="24"/>
        </w:rPr>
        <w:t xml:space="preserve"> </w:t>
      </w:r>
    </w:p>
    <w:p w14:paraId="4B7D8E3B" w14:textId="240F9560" w:rsidR="00F51392" w:rsidRPr="00E248FD" w:rsidRDefault="00F51392" w:rsidP="00F51392">
      <w:pPr>
        <w:spacing w:after="0"/>
        <w:ind w:firstLine="720"/>
        <w:contextualSpacing/>
        <w:rPr>
          <w:rFonts w:ascii="Times New Roman" w:hAnsi="Times New Roman"/>
          <w:sz w:val="24"/>
          <w:szCs w:val="24"/>
        </w:rPr>
      </w:pPr>
      <w:r>
        <w:rPr>
          <w:rFonts w:ascii="Times New Roman" w:hAnsi="Times New Roman"/>
          <w:sz w:val="24"/>
          <w:szCs w:val="24"/>
        </w:rPr>
        <w:t xml:space="preserve">A </w:t>
      </w:r>
      <w:r w:rsidRPr="00835117">
        <w:rPr>
          <w:rFonts w:ascii="Times New Roman" w:hAnsi="Times New Roman"/>
          <w:i/>
          <w:sz w:val="24"/>
          <w:szCs w:val="24"/>
        </w:rPr>
        <w:t>strengths</w:t>
      </w:r>
      <w:r w:rsidRPr="00436A0C">
        <w:rPr>
          <w:rFonts w:ascii="Times New Roman" w:hAnsi="Times New Roman"/>
          <w:sz w:val="24"/>
          <w:szCs w:val="24"/>
        </w:rPr>
        <w:t xml:space="preserve"> </w:t>
      </w:r>
      <w:r>
        <w:rPr>
          <w:rFonts w:ascii="Times New Roman" w:hAnsi="Times New Roman"/>
          <w:sz w:val="24"/>
          <w:szCs w:val="24"/>
        </w:rPr>
        <w:t>orientation emphasizes the individual and community</w:t>
      </w:r>
      <w:r w:rsidR="00316DDF">
        <w:rPr>
          <w:rFonts w:ascii="Times New Roman" w:hAnsi="Times New Roman"/>
          <w:sz w:val="24"/>
          <w:szCs w:val="24"/>
        </w:rPr>
        <w:t xml:space="preserve"> affirmation,</w:t>
      </w:r>
      <w:r>
        <w:rPr>
          <w:rFonts w:ascii="Times New Roman" w:hAnsi="Times New Roman"/>
          <w:sz w:val="24"/>
          <w:szCs w:val="24"/>
        </w:rPr>
        <w:t xml:space="preserve"> </w:t>
      </w:r>
      <w:r w:rsidRPr="00436A0C">
        <w:rPr>
          <w:rFonts w:ascii="Times New Roman" w:hAnsi="Times New Roman"/>
          <w:sz w:val="24"/>
          <w:szCs w:val="24"/>
        </w:rPr>
        <w:t xml:space="preserve">resilience, </w:t>
      </w:r>
      <w:r w:rsidR="00FD6AE8">
        <w:rPr>
          <w:rFonts w:ascii="Times New Roman" w:hAnsi="Times New Roman"/>
          <w:sz w:val="24"/>
          <w:szCs w:val="24"/>
        </w:rPr>
        <w:t xml:space="preserve">coping skills and resources, </w:t>
      </w:r>
      <w:r w:rsidRPr="00436A0C">
        <w:rPr>
          <w:rFonts w:ascii="Times New Roman" w:hAnsi="Times New Roman"/>
          <w:sz w:val="24"/>
          <w:szCs w:val="24"/>
        </w:rPr>
        <w:t>and ability to</w:t>
      </w:r>
      <w:r>
        <w:rPr>
          <w:rFonts w:ascii="Times New Roman" w:hAnsi="Times New Roman"/>
          <w:sz w:val="24"/>
          <w:szCs w:val="24"/>
        </w:rPr>
        <w:t xml:space="preserve"> thrive in challenging situations rather than labeling people or neighborhoods as “dangerous” or pathological, which can become a self-fulfilling prophecy </w:t>
      </w:r>
      <w:r w:rsidRPr="00E248FD">
        <w:rPr>
          <w:rFonts w:ascii="Times New Roman" w:hAnsi="Times New Roman"/>
          <w:sz w:val="24"/>
          <w:szCs w:val="24"/>
        </w:rPr>
        <w:t>(</w:t>
      </w:r>
      <w:proofErr w:type="spellStart"/>
      <w:r w:rsidRPr="00B13AD1">
        <w:rPr>
          <w:rFonts w:ascii="Times New Roman" w:hAnsi="Times New Roman"/>
          <w:sz w:val="24"/>
          <w:szCs w:val="24"/>
        </w:rPr>
        <w:t>Maton</w:t>
      </w:r>
      <w:proofErr w:type="spellEnd"/>
      <w:r>
        <w:rPr>
          <w:rFonts w:ascii="Times New Roman" w:hAnsi="Times New Roman"/>
          <w:sz w:val="24"/>
          <w:szCs w:val="24"/>
        </w:rPr>
        <w:t xml:space="preserve"> et al.</w:t>
      </w:r>
      <w:r w:rsidRPr="00E248FD">
        <w:rPr>
          <w:rFonts w:ascii="Times New Roman" w:hAnsi="Times New Roman"/>
          <w:sz w:val="24"/>
          <w:szCs w:val="24"/>
        </w:rPr>
        <w:t xml:space="preserve"> 2004</w:t>
      </w:r>
      <w:r>
        <w:rPr>
          <w:rFonts w:ascii="Times New Roman" w:hAnsi="Times New Roman"/>
          <w:sz w:val="24"/>
          <w:szCs w:val="24"/>
        </w:rPr>
        <w:t>). Social, cultural, and physical assets are also critical to recognize, develop, and map at the community level</w:t>
      </w:r>
      <w:r w:rsidRPr="00E248FD">
        <w:rPr>
          <w:rFonts w:ascii="Times New Roman" w:hAnsi="Times New Roman"/>
          <w:sz w:val="24"/>
          <w:szCs w:val="24"/>
        </w:rPr>
        <w:t xml:space="preserve"> </w:t>
      </w:r>
      <w:r>
        <w:rPr>
          <w:rFonts w:ascii="Times New Roman" w:hAnsi="Times New Roman"/>
          <w:sz w:val="24"/>
          <w:szCs w:val="24"/>
        </w:rPr>
        <w:t>(</w:t>
      </w:r>
      <w:r w:rsidRPr="00B13AD1">
        <w:rPr>
          <w:rFonts w:ascii="Times New Roman" w:hAnsi="Times New Roman"/>
          <w:sz w:val="24"/>
          <w:szCs w:val="24"/>
        </w:rPr>
        <w:t>McKnight</w:t>
      </w:r>
      <w:r w:rsidRPr="00E248FD">
        <w:rPr>
          <w:rFonts w:ascii="Times New Roman" w:hAnsi="Times New Roman"/>
          <w:sz w:val="24"/>
          <w:szCs w:val="24"/>
        </w:rPr>
        <w:t xml:space="preserve"> &amp;</w:t>
      </w:r>
      <w:r>
        <w:rPr>
          <w:rFonts w:ascii="Times New Roman" w:hAnsi="Times New Roman"/>
          <w:sz w:val="24"/>
          <w:szCs w:val="24"/>
        </w:rPr>
        <w:t xml:space="preserve"> </w:t>
      </w:r>
      <w:proofErr w:type="spellStart"/>
      <w:r w:rsidRPr="00E248FD">
        <w:rPr>
          <w:rFonts w:ascii="Times New Roman" w:hAnsi="Times New Roman"/>
          <w:sz w:val="24"/>
          <w:szCs w:val="24"/>
        </w:rPr>
        <w:t>Kretzmann</w:t>
      </w:r>
      <w:proofErr w:type="spellEnd"/>
      <w:r w:rsidRPr="00E248FD">
        <w:rPr>
          <w:rFonts w:ascii="Times New Roman" w:hAnsi="Times New Roman"/>
          <w:sz w:val="24"/>
          <w:szCs w:val="24"/>
        </w:rPr>
        <w:t>, 2005).</w:t>
      </w:r>
    </w:p>
    <w:p w14:paraId="2AC6585C" w14:textId="28F6ADFB" w:rsidR="00F51392" w:rsidRPr="00E248FD" w:rsidRDefault="00F51392" w:rsidP="00F51392">
      <w:pPr>
        <w:spacing w:after="0"/>
        <w:ind w:firstLine="720"/>
        <w:contextualSpacing/>
        <w:rPr>
          <w:rFonts w:ascii="Times New Roman" w:hAnsi="Times New Roman"/>
          <w:sz w:val="24"/>
          <w:szCs w:val="24"/>
        </w:rPr>
      </w:pPr>
      <w:r w:rsidRPr="00835117">
        <w:rPr>
          <w:rFonts w:ascii="Times New Roman" w:hAnsi="Times New Roman"/>
          <w:i/>
          <w:sz w:val="24"/>
          <w:szCs w:val="24"/>
        </w:rPr>
        <w:t>Prevention</w:t>
      </w:r>
      <w:r w:rsidRPr="00E67723">
        <w:rPr>
          <w:rFonts w:ascii="Times New Roman" w:hAnsi="Times New Roman"/>
          <w:sz w:val="24"/>
          <w:szCs w:val="24"/>
        </w:rPr>
        <w:t xml:space="preserve"> </w:t>
      </w:r>
      <w:r w:rsidR="00F62D6A">
        <w:rPr>
          <w:rFonts w:ascii="Times New Roman" w:hAnsi="Times New Roman"/>
          <w:sz w:val="24"/>
          <w:szCs w:val="24"/>
        </w:rPr>
        <w:t>aims to</w:t>
      </w:r>
      <w:r>
        <w:rPr>
          <w:rFonts w:ascii="Times New Roman" w:hAnsi="Times New Roman"/>
          <w:sz w:val="24"/>
          <w:szCs w:val="24"/>
        </w:rPr>
        <w:t xml:space="preserve"> reduce both the </w:t>
      </w:r>
      <w:r w:rsidRPr="00E67723">
        <w:rPr>
          <w:rFonts w:ascii="Times New Roman" w:hAnsi="Times New Roman"/>
          <w:sz w:val="24"/>
          <w:szCs w:val="24"/>
        </w:rPr>
        <w:t>incidence and prevalence of suffering</w:t>
      </w:r>
      <w:r w:rsidR="000008ED">
        <w:rPr>
          <w:rFonts w:ascii="Times New Roman" w:hAnsi="Times New Roman"/>
          <w:sz w:val="24"/>
          <w:szCs w:val="24"/>
        </w:rPr>
        <w:t xml:space="preserve">, whether </w:t>
      </w:r>
      <w:r>
        <w:rPr>
          <w:rFonts w:ascii="Times New Roman" w:hAnsi="Times New Roman"/>
          <w:sz w:val="24"/>
          <w:szCs w:val="24"/>
        </w:rPr>
        <w:t>universal (community-</w:t>
      </w:r>
      <w:r w:rsidRPr="00835117">
        <w:rPr>
          <w:rFonts w:ascii="Times New Roman" w:hAnsi="Times New Roman"/>
          <w:sz w:val="24"/>
          <w:szCs w:val="24"/>
        </w:rPr>
        <w:t>wi</w:t>
      </w:r>
      <w:r>
        <w:rPr>
          <w:rFonts w:ascii="Times New Roman" w:hAnsi="Times New Roman"/>
          <w:sz w:val="24"/>
          <w:szCs w:val="24"/>
        </w:rPr>
        <w:t>de)</w:t>
      </w:r>
      <w:r w:rsidR="000B0061">
        <w:rPr>
          <w:rFonts w:ascii="Times New Roman" w:hAnsi="Times New Roman"/>
          <w:sz w:val="24"/>
          <w:szCs w:val="24"/>
        </w:rPr>
        <w:t xml:space="preserve"> or</w:t>
      </w:r>
      <w:r w:rsidRPr="00835117">
        <w:rPr>
          <w:rFonts w:ascii="Times New Roman" w:hAnsi="Times New Roman"/>
          <w:sz w:val="24"/>
          <w:szCs w:val="24"/>
        </w:rPr>
        <w:t xml:space="preserve"> </w:t>
      </w:r>
      <w:r>
        <w:rPr>
          <w:rFonts w:ascii="Times New Roman" w:hAnsi="Times New Roman"/>
          <w:sz w:val="24"/>
          <w:szCs w:val="24"/>
        </w:rPr>
        <w:t xml:space="preserve">selective (e.g., targeting </w:t>
      </w:r>
      <w:r w:rsidRPr="00835117">
        <w:rPr>
          <w:rFonts w:ascii="Times New Roman" w:hAnsi="Times New Roman"/>
          <w:sz w:val="24"/>
          <w:szCs w:val="24"/>
        </w:rPr>
        <w:t xml:space="preserve">critical developmental </w:t>
      </w:r>
      <w:r>
        <w:rPr>
          <w:rFonts w:ascii="Times New Roman" w:hAnsi="Times New Roman"/>
          <w:sz w:val="24"/>
          <w:szCs w:val="24"/>
        </w:rPr>
        <w:t>“</w:t>
      </w:r>
      <w:r w:rsidRPr="00835117">
        <w:rPr>
          <w:rFonts w:ascii="Times New Roman" w:hAnsi="Times New Roman"/>
          <w:sz w:val="24"/>
          <w:szCs w:val="24"/>
        </w:rPr>
        <w:t>milestone</w:t>
      </w:r>
      <w:r>
        <w:rPr>
          <w:rFonts w:ascii="Times New Roman" w:hAnsi="Times New Roman"/>
          <w:sz w:val="24"/>
          <w:szCs w:val="24"/>
        </w:rPr>
        <w:t>s</w:t>
      </w:r>
      <w:r w:rsidRPr="00835117">
        <w:rPr>
          <w:rFonts w:ascii="Times New Roman" w:hAnsi="Times New Roman"/>
          <w:sz w:val="24"/>
          <w:szCs w:val="24"/>
        </w:rPr>
        <w:t xml:space="preserve">" or life transition points) </w:t>
      </w:r>
      <w:r>
        <w:rPr>
          <w:rFonts w:ascii="Times New Roman" w:hAnsi="Times New Roman"/>
          <w:sz w:val="24"/>
          <w:szCs w:val="24"/>
        </w:rPr>
        <w:t>primary p</w:t>
      </w:r>
      <w:r w:rsidRPr="00835117">
        <w:rPr>
          <w:rFonts w:ascii="Times New Roman" w:hAnsi="Times New Roman"/>
          <w:sz w:val="24"/>
          <w:szCs w:val="24"/>
        </w:rPr>
        <w:t>reventi</w:t>
      </w:r>
      <w:r w:rsidR="000008ED">
        <w:rPr>
          <w:rFonts w:ascii="Times New Roman" w:hAnsi="Times New Roman"/>
          <w:sz w:val="24"/>
          <w:szCs w:val="24"/>
        </w:rPr>
        <w:t>on, or</w:t>
      </w:r>
      <w:r w:rsidRPr="00835117">
        <w:rPr>
          <w:rFonts w:ascii="Times New Roman" w:hAnsi="Times New Roman"/>
          <w:sz w:val="24"/>
          <w:szCs w:val="24"/>
        </w:rPr>
        <w:t xml:space="preserve"> </w:t>
      </w:r>
      <w:r w:rsidR="000008ED">
        <w:rPr>
          <w:rFonts w:ascii="Times New Roman" w:hAnsi="Times New Roman"/>
          <w:sz w:val="24"/>
          <w:szCs w:val="24"/>
        </w:rPr>
        <w:t>i</w:t>
      </w:r>
      <w:r>
        <w:rPr>
          <w:rFonts w:ascii="Times New Roman" w:hAnsi="Times New Roman"/>
          <w:sz w:val="24"/>
          <w:szCs w:val="24"/>
        </w:rPr>
        <w:t xml:space="preserve">ndicated </w:t>
      </w:r>
      <w:r w:rsidR="000B0061">
        <w:rPr>
          <w:rFonts w:ascii="Times New Roman" w:hAnsi="Times New Roman"/>
          <w:sz w:val="24"/>
          <w:szCs w:val="24"/>
        </w:rPr>
        <w:t>or seco</w:t>
      </w:r>
      <w:r w:rsidR="000B0061" w:rsidRPr="00835117">
        <w:rPr>
          <w:rFonts w:ascii="Times New Roman" w:hAnsi="Times New Roman"/>
          <w:sz w:val="24"/>
          <w:szCs w:val="24"/>
        </w:rPr>
        <w:t>ndary</w:t>
      </w:r>
      <w:r w:rsidR="000B0061">
        <w:rPr>
          <w:rFonts w:ascii="Times New Roman" w:hAnsi="Times New Roman"/>
          <w:sz w:val="24"/>
          <w:szCs w:val="24"/>
        </w:rPr>
        <w:t xml:space="preserve"> </w:t>
      </w:r>
      <w:r>
        <w:rPr>
          <w:rFonts w:ascii="Times New Roman" w:hAnsi="Times New Roman"/>
          <w:sz w:val="24"/>
          <w:szCs w:val="24"/>
        </w:rPr>
        <w:t xml:space="preserve">prevention targeting </w:t>
      </w:r>
      <w:r w:rsidR="000B0061">
        <w:rPr>
          <w:rFonts w:ascii="Times New Roman" w:hAnsi="Times New Roman"/>
          <w:sz w:val="24"/>
          <w:szCs w:val="24"/>
        </w:rPr>
        <w:t>at</w:t>
      </w:r>
      <w:r>
        <w:rPr>
          <w:rFonts w:ascii="Times New Roman" w:hAnsi="Times New Roman"/>
          <w:sz w:val="24"/>
          <w:szCs w:val="24"/>
        </w:rPr>
        <w:t>-</w:t>
      </w:r>
      <w:r w:rsidRPr="00835117">
        <w:rPr>
          <w:rFonts w:ascii="Times New Roman" w:hAnsi="Times New Roman"/>
          <w:sz w:val="24"/>
          <w:szCs w:val="24"/>
        </w:rPr>
        <w:t xml:space="preserve">risk </w:t>
      </w:r>
      <w:r w:rsidR="000B0061">
        <w:rPr>
          <w:rFonts w:ascii="Times New Roman" w:hAnsi="Times New Roman"/>
          <w:sz w:val="24"/>
          <w:szCs w:val="24"/>
        </w:rPr>
        <w:t>youth or first-offenders</w:t>
      </w:r>
      <w:r>
        <w:rPr>
          <w:rFonts w:ascii="Times New Roman" w:hAnsi="Times New Roman"/>
          <w:sz w:val="24"/>
          <w:szCs w:val="24"/>
        </w:rPr>
        <w:t xml:space="preserve"> </w:t>
      </w:r>
      <w:r w:rsidR="000008ED">
        <w:rPr>
          <w:rFonts w:ascii="Times New Roman" w:hAnsi="Times New Roman"/>
          <w:sz w:val="24"/>
          <w:szCs w:val="24"/>
        </w:rPr>
        <w:t xml:space="preserve">(Kingston et al. 2016). </w:t>
      </w:r>
      <w:r w:rsidR="000B0061">
        <w:rPr>
          <w:rFonts w:ascii="Times New Roman" w:hAnsi="Times New Roman"/>
          <w:sz w:val="24"/>
          <w:szCs w:val="24"/>
        </w:rPr>
        <w:t xml:space="preserve">Prevention </w:t>
      </w:r>
      <w:r w:rsidR="005B4B9C">
        <w:rPr>
          <w:rFonts w:ascii="Times New Roman" w:hAnsi="Times New Roman"/>
          <w:sz w:val="24"/>
          <w:szCs w:val="24"/>
        </w:rPr>
        <w:t xml:space="preserve">should </w:t>
      </w:r>
      <w:r>
        <w:rPr>
          <w:rFonts w:ascii="Times New Roman" w:hAnsi="Times New Roman"/>
          <w:sz w:val="24"/>
          <w:szCs w:val="24"/>
        </w:rPr>
        <w:t xml:space="preserve">link to the other SPEC elements by focusing on developing youths’ strengths and empowerment </w:t>
      </w:r>
      <w:r w:rsidR="007952CA">
        <w:rPr>
          <w:rFonts w:ascii="Times New Roman" w:hAnsi="Times New Roman"/>
          <w:sz w:val="24"/>
          <w:szCs w:val="24"/>
        </w:rPr>
        <w:t xml:space="preserve">through </w:t>
      </w:r>
      <w:r>
        <w:rPr>
          <w:rFonts w:ascii="Times New Roman" w:hAnsi="Times New Roman"/>
          <w:sz w:val="24"/>
          <w:szCs w:val="24"/>
        </w:rPr>
        <w:t>engag</w:t>
      </w:r>
      <w:r w:rsidR="007952CA">
        <w:rPr>
          <w:rFonts w:ascii="Times New Roman" w:hAnsi="Times New Roman"/>
          <w:sz w:val="24"/>
          <w:szCs w:val="24"/>
        </w:rPr>
        <w:t>ement</w:t>
      </w:r>
      <w:r>
        <w:rPr>
          <w:rFonts w:ascii="Times New Roman" w:hAnsi="Times New Roman"/>
          <w:sz w:val="24"/>
          <w:szCs w:val="24"/>
        </w:rPr>
        <w:t xml:space="preserve"> in changing community conditions.</w:t>
      </w:r>
    </w:p>
    <w:p w14:paraId="16387C9E" w14:textId="7025241C" w:rsidR="00F51392" w:rsidRPr="00E248FD" w:rsidRDefault="00F51392" w:rsidP="00F51392">
      <w:pPr>
        <w:spacing w:after="0"/>
        <w:ind w:firstLine="720"/>
        <w:contextualSpacing/>
        <w:rPr>
          <w:rFonts w:ascii="Times New Roman" w:hAnsi="Times New Roman"/>
          <w:sz w:val="24"/>
          <w:szCs w:val="24"/>
        </w:rPr>
      </w:pPr>
      <w:r w:rsidRPr="00835117">
        <w:rPr>
          <w:rFonts w:ascii="Times New Roman" w:hAnsi="Times New Roman"/>
          <w:i/>
          <w:sz w:val="24"/>
          <w:szCs w:val="24"/>
        </w:rPr>
        <w:t>Empowerment</w:t>
      </w:r>
      <w:r>
        <w:rPr>
          <w:rFonts w:ascii="Times New Roman" w:hAnsi="Times New Roman"/>
          <w:sz w:val="24"/>
          <w:szCs w:val="24"/>
        </w:rPr>
        <w:t xml:space="preserve"> is a</w:t>
      </w:r>
      <w:r w:rsidRPr="00D07FB1">
        <w:rPr>
          <w:rFonts w:ascii="Times New Roman" w:hAnsi="Times New Roman"/>
          <w:sz w:val="24"/>
          <w:szCs w:val="24"/>
        </w:rPr>
        <w:t xml:space="preserve"> </w:t>
      </w:r>
      <w:r w:rsidR="00743271">
        <w:rPr>
          <w:rFonts w:ascii="Times New Roman" w:hAnsi="Times New Roman"/>
          <w:sz w:val="24"/>
          <w:szCs w:val="24"/>
        </w:rPr>
        <w:t>multi-level</w:t>
      </w:r>
      <w:r>
        <w:rPr>
          <w:rFonts w:ascii="Times New Roman" w:hAnsi="Times New Roman"/>
          <w:sz w:val="24"/>
          <w:szCs w:val="24"/>
        </w:rPr>
        <w:t xml:space="preserve"> </w:t>
      </w:r>
      <w:r w:rsidR="00743271">
        <w:rPr>
          <w:rFonts w:ascii="Times New Roman" w:hAnsi="Times New Roman"/>
          <w:sz w:val="24"/>
          <w:szCs w:val="24"/>
        </w:rPr>
        <w:t>(</w:t>
      </w:r>
      <w:r>
        <w:rPr>
          <w:rFonts w:ascii="Times New Roman" w:hAnsi="Times New Roman"/>
          <w:sz w:val="24"/>
          <w:szCs w:val="24"/>
        </w:rPr>
        <w:t xml:space="preserve">individual, organizational, </w:t>
      </w:r>
      <w:r w:rsidRPr="00D07FB1">
        <w:rPr>
          <w:rFonts w:ascii="Times New Roman" w:hAnsi="Times New Roman"/>
          <w:sz w:val="24"/>
          <w:szCs w:val="24"/>
        </w:rPr>
        <w:t>community</w:t>
      </w:r>
      <w:r w:rsidR="00743271">
        <w:rPr>
          <w:rFonts w:ascii="Times New Roman" w:hAnsi="Times New Roman"/>
          <w:sz w:val="24"/>
          <w:szCs w:val="24"/>
        </w:rPr>
        <w:t>) process</w:t>
      </w:r>
      <w:r w:rsidR="00FA5CA2">
        <w:rPr>
          <w:rFonts w:ascii="Times New Roman" w:hAnsi="Times New Roman"/>
          <w:sz w:val="24"/>
          <w:szCs w:val="24"/>
        </w:rPr>
        <w:t>--</w:t>
      </w:r>
      <w:r w:rsidRPr="00D07FB1">
        <w:rPr>
          <w:rFonts w:ascii="Times New Roman" w:hAnsi="Times New Roman"/>
          <w:sz w:val="24"/>
          <w:szCs w:val="24"/>
        </w:rPr>
        <w:t xml:space="preserve">involving mutual respect, critical reflection, and </w:t>
      </w:r>
      <w:r w:rsidR="00FA5CA2">
        <w:rPr>
          <w:rFonts w:ascii="Times New Roman" w:hAnsi="Times New Roman"/>
          <w:sz w:val="24"/>
          <w:szCs w:val="24"/>
        </w:rPr>
        <w:t xml:space="preserve">democratic </w:t>
      </w:r>
      <w:r w:rsidRPr="00D07FB1">
        <w:rPr>
          <w:rFonts w:ascii="Times New Roman" w:hAnsi="Times New Roman"/>
          <w:sz w:val="24"/>
          <w:szCs w:val="24"/>
        </w:rPr>
        <w:t>participation</w:t>
      </w:r>
      <w:r w:rsidR="00FA5CA2">
        <w:rPr>
          <w:rFonts w:ascii="Times New Roman" w:hAnsi="Times New Roman"/>
          <w:sz w:val="24"/>
          <w:szCs w:val="24"/>
        </w:rPr>
        <w:t>--</w:t>
      </w:r>
      <w:r w:rsidRPr="00D07FB1">
        <w:rPr>
          <w:rFonts w:ascii="Times New Roman" w:hAnsi="Times New Roman"/>
          <w:sz w:val="24"/>
          <w:szCs w:val="24"/>
        </w:rPr>
        <w:t>by which people gain control over their lives and a critical understanding of t</w:t>
      </w:r>
      <w:r>
        <w:rPr>
          <w:rFonts w:ascii="Times New Roman" w:hAnsi="Times New Roman"/>
          <w:sz w:val="24"/>
          <w:szCs w:val="24"/>
        </w:rPr>
        <w:t>heir environment (Perkins, 2010</w:t>
      </w:r>
      <w:r w:rsidRPr="00D07FB1">
        <w:rPr>
          <w:rFonts w:ascii="Times New Roman" w:hAnsi="Times New Roman"/>
          <w:sz w:val="24"/>
          <w:szCs w:val="24"/>
        </w:rPr>
        <w:t>)</w:t>
      </w:r>
      <w:r>
        <w:rPr>
          <w:rFonts w:ascii="Times New Roman" w:hAnsi="Times New Roman"/>
          <w:sz w:val="24"/>
          <w:szCs w:val="24"/>
        </w:rPr>
        <w:t xml:space="preserve">. </w:t>
      </w:r>
      <w:r w:rsidR="000F2BDD">
        <w:rPr>
          <w:rFonts w:ascii="Times New Roman" w:hAnsi="Times New Roman"/>
          <w:sz w:val="24"/>
          <w:szCs w:val="24"/>
        </w:rPr>
        <w:t xml:space="preserve">Empowering </w:t>
      </w:r>
      <w:r w:rsidR="00B751C3">
        <w:rPr>
          <w:rFonts w:ascii="Times New Roman" w:hAnsi="Times New Roman"/>
          <w:sz w:val="24"/>
          <w:szCs w:val="24"/>
        </w:rPr>
        <w:t xml:space="preserve">YVP </w:t>
      </w:r>
      <w:r>
        <w:rPr>
          <w:rFonts w:ascii="Times New Roman" w:hAnsi="Times New Roman"/>
          <w:sz w:val="24"/>
          <w:szCs w:val="24"/>
        </w:rPr>
        <w:t xml:space="preserve"> </w:t>
      </w:r>
      <w:r w:rsidR="000F2BDD">
        <w:rPr>
          <w:rFonts w:ascii="Times New Roman" w:hAnsi="Times New Roman"/>
          <w:sz w:val="24"/>
          <w:szCs w:val="24"/>
        </w:rPr>
        <w:t xml:space="preserve">interventions </w:t>
      </w:r>
      <w:r w:rsidR="00DA5AC6">
        <w:rPr>
          <w:rFonts w:ascii="Times New Roman" w:hAnsi="Times New Roman"/>
          <w:sz w:val="24"/>
          <w:szCs w:val="24"/>
        </w:rPr>
        <w:t>aim to</w:t>
      </w:r>
      <w:r w:rsidR="000F2BDD">
        <w:rPr>
          <w:rFonts w:ascii="Times New Roman" w:hAnsi="Times New Roman"/>
          <w:sz w:val="24"/>
          <w:szCs w:val="24"/>
        </w:rPr>
        <w:t xml:space="preserve"> </w:t>
      </w:r>
      <w:r>
        <w:rPr>
          <w:rFonts w:ascii="Times New Roman" w:hAnsi="Times New Roman"/>
          <w:sz w:val="24"/>
          <w:szCs w:val="24"/>
        </w:rPr>
        <w:t>give youth greater “voice and choice</w:t>
      </w:r>
      <w:r w:rsidRPr="00D07FB1">
        <w:rPr>
          <w:rFonts w:ascii="Times New Roman" w:hAnsi="Times New Roman"/>
          <w:sz w:val="24"/>
          <w:szCs w:val="24"/>
        </w:rPr>
        <w:t xml:space="preserve">” </w:t>
      </w:r>
      <w:r>
        <w:rPr>
          <w:rFonts w:ascii="Times New Roman" w:hAnsi="Times New Roman"/>
          <w:sz w:val="24"/>
          <w:szCs w:val="24"/>
        </w:rPr>
        <w:t>in family decisions, their schools, and the groups and institutions that affect them</w:t>
      </w:r>
      <w:r w:rsidR="000F2BDD">
        <w:rPr>
          <w:rFonts w:ascii="Times New Roman" w:hAnsi="Times New Roman"/>
          <w:sz w:val="24"/>
          <w:szCs w:val="24"/>
        </w:rPr>
        <w:t xml:space="preserve"> and so a greater sense of sociopolitical control (</w:t>
      </w:r>
      <w:r w:rsidR="000F2BDD" w:rsidRPr="000F2BDD">
        <w:rPr>
          <w:rFonts w:ascii="Times New Roman" w:hAnsi="Times New Roman"/>
          <w:sz w:val="24"/>
        </w:rPr>
        <w:t>Christens &amp; Peterson, 2012)</w:t>
      </w:r>
      <w:r w:rsidRPr="006B3474">
        <w:rPr>
          <w:rFonts w:ascii="Times New Roman" w:hAnsi="Times New Roman"/>
          <w:sz w:val="24"/>
          <w:szCs w:val="24"/>
        </w:rPr>
        <w:t>.</w:t>
      </w:r>
    </w:p>
    <w:p w14:paraId="10117FE9" w14:textId="0CE86A42" w:rsidR="00F51392" w:rsidRPr="00E248FD" w:rsidRDefault="00F51392" w:rsidP="00F51392">
      <w:pPr>
        <w:spacing w:after="0"/>
        <w:ind w:firstLine="720"/>
        <w:contextualSpacing/>
        <w:rPr>
          <w:rFonts w:ascii="Times New Roman" w:hAnsi="Times New Roman"/>
          <w:sz w:val="24"/>
          <w:szCs w:val="24"/>
        </w:rPr>
      </w:pPr>
      <w:r w:rsidRPr="00835117">
        <w:rPr>
          <w:rFonts w:ascii="Times New Roman" w:hAnsi="Times New Roman"/>
          <w:i/>
          <w:sz w:val="24"/>
          <w:szCs w:val="24"/>
        </w:rPr>
        <w:t>Community change</w:t>
      </w:r>
      <w:r w:rsidRPr="0000424B">
        <w:rPr>
          <w:rFonts w:ascii="Times New Roman" w:hAnsi="Times New Roman"/>
          <w:sz w:val="24"/>
          <w:szCs w:val="24"/>
        </w:rPr>
        <w:t xml:space="preserve"> is </w:t>
      </w:r>
      <w:r>
        <w:rPr>
          <w:rFonts w:ascii="Times New Roman" w:hAnsi="Times New Roman"/>
          <w:sz w:val="24"/>
          <w:szCs w:val="24"/>
        </w:rPr>
        <w:t xml:space="preserve">about </w:t>
      </w:r>
      <w:r w:rsidR="00FA5CA2">
        <w:rPr>
          <w:rFonts w:ascii="Times New Roman" w:hAnsi="Times New Roman"/>
          <w:sz w:val="24"/>
          <w:szCs w:val="24"/>
        </w:rPr>
        <w:t xml:space="preserve">collectively </w:t>
      </w:r>
      <w:r w:rsidRPr="0000424B">
        <w:rPr>
          <w:rFonts w:ascii="Times New Roman" w:hAnsi="Times New Roman"/>
          <w:sz w:val="24"/>
          <w:szCs w:val="24"/>
        </w:rPr>
        <w:t>addressing root causes</w:t>
      </w:r>
      <w:r w:rsidR="005269D8">
        <w:rPr>
          <w:rFonts w:ascii="Times New Roman" w:hAnsi="Times New Roman"/>
          <w:sz w:val="24"/>
          <w:szCs w:val="24"/>
        </w:rPr>
        <w:t>,</w:t>
      </w:r>
      <w:r w:rsidRPr="0000424B">
        <w:rPr>
          <w:rFonts w:ascii="Times New Roman" w:hAnsi="Times New Roman"/>
          <w:sz w:val="24"/>
          <w:szCs w:val="24"/>
        </w:rPr>
        <w:t xml:space="preserve"> of </w:t>
      </w:r>
      <w:r w:rsidR="00DA5AC6">
        <w:rPr>
          <w:rFonts w:ascii="Times New Roman" w:hAnsi="Times New Roman"/>
          <w:sz w:val="24"/>
          <w:szCs w:val="24"/>
        </w:rPr>
        <w:t xml:space="preserve">youth violence </w:t>
      </w:r>
      <w:r w:rsidR="005269D8">
        <w:rPr>
          <w:rFonts w:ascii="Times New Roman" w:hAnsi="Times New Roman"/>
          <w:sz w:val="24"/>
          <w:szCs w:val="24"/>
        </w:rPr>
        <w:t>or whatever the</w:t>
      </w:r>
      <w:r w:rsidRPr="0000424B">
        <w:rPr>
          <w:rFonts w:ascii="Times New Roman" w:hAnsi="Times New Roman"/>
          <w:sz w:val="24"/>
          <w:szCs w:val="24"/>
        </w:rPr>
        <w:t xml:space="preserve"> problem</w:t>
      </w:r>
      <w:r w:rsidR="009C1C37">
        <w:rPr>
          <w:rFonts w:ascii="Times New Roman" w:hAnsi="Times New Roman"/>
          <w:sz w:val="24"/>
          <w:szCs w:val="24"/>
        </w:rPr>
        <w:t>, in the historical, social, economic, or environmental context</w:t>
      </w:r>
      <w:r w:rsidR="005269D8">
        <w:rPr>
          <w:rFonts w:ascii="Times New Roman" w:hAnsi="Times New Roman"/>
          <w:sz w:val="24"/>
          <w:szCs w:val="24"/>
        </w:rPr>
        <w:t>,</w:t>
      </w:r>
      <w:r w:rsidRPr="0000424B">
        <w:rPr>
          <w:rFonts w:ascii="Times New Roman" w:hAnsi="Times New Roman"/>
          <w:sz w:val="24"/>
          <w:szCs w:val="24"/>
        </w:rPr>
        <w:t xml:space="preserve"> </w:t>
      </w:r>
      <w:r w:rsidR="00DA5AC6">
        <w:rPr>
          <w:rFonts w:ascii="Times New Roman" w:hAnsi="Times New Roman"/>
          <w:sz w:val="24"/>
          <w:szCs w:val="24"/>
        </w:rPr>
        <w:t>instead of labeling</w:t>
      </w:r>
      <w:r w:rsidR="009C1C37">
        <w:rPr>
          <w:rFonts w:ascii="Times New Roman" w:hAnsi="Times New Roman"/>
          <w:sz w:val="24"/>
          <w:szCs w:val="24"/>
        </w:rPr>
        <w:t>, blaming or</w:t>
      </w:r>
      <w:r w:rsidR="00DA5AC6">
        <w:rPr>
          <w:rFonts w:ascii="Times New Roman" w:hAnsi="Times New Roman"/>
          <w:sz w:val="24"/>
          <w:szCs w:val="24"/>
        </w:rPr>
        <w:t xml:space="preserve"> changing individuals.</w:t>
      </w:r>
      <w:r w:rsidRPr="0000424B">
        <w:rPr>
          <w:rFonts w:ascii="Times New Roman" w:hAnsi="Times New Roman"/>
          <w:sz w:val="24"/>
          <w:szCs w:val="24"/>
        </w:rPr>
        <w:t xml:space="preserve"> </w:t>
      </w:r>
      <w:r w:rsidR="00DA5AC6">
        <w:rPr>
          <w:rFonts w:ascii="Times New Roman" w:hAnsi="Times New Roman"/>
          <w:sz w:val="24"/>
          <w:szCs w:val="24"/>
        </w:rPr>
        <w:t xml:space="preserve">It is about </w:t>
      </w:r>
      <w:r w:rsidRPr="0000424B">
        <w:rPr>
          <w:rFonts w:ascii="Times New Roman" w:hAnsi="Times New Roman"/>
          <w:sz w:val="24"/>
          <w:szCs w:val="24"/>
        </w:rPr>
        <w:t xml:space="preserve">creating new </w:t>
      </w:r>
      <w:r w:rsidR="009C1C37">
        <w:rPr>
          <w:rFonts w:ascii="Times New Roman" w:hAnsi="Times New Roman"/>
          <w:sz w:val="24"/>
          <w:szCs w:val="24"/>
        </w:rPr>
        <w:t xml:space="preserve">participatory </w:t>
      </w:r>
      <w:r w:rsidRPr="0000424B">
        <w:rPr>
          <w:rFonts w:ascii="Times New Roman" w:hAnsi="Times New Roman"/>
          <w:sz w:val="24"/>
          <w:szCs w:val="24"/>
        </w:rPr>
        <w:t xml:space="preserve">systems </w:t>
      </w:r>
      <w:r w:rsidR="009C1C37">
        <w:rPr>
          <w:rFonts w:ascii="Times New Roman" w:hAnsi="Times New Roman"/>
          <w:sz w:val="24"/>
          <w:szCs w:val="24"/>
        </w:rPr>
        <w:t>and</w:t>
      </w:r>
      <w:r w:rsidRPr="0000424B">
        <w:rPr>
          <w:rFonts w:ascii="Times New Roman" w:hAnsi="Times New Roman"/>
          <w:sz w:val="24"/>
          <w:szCs w:val="24"/>
        </w:rPr>
        <w:t xml:space="preserve"> structures that </w:t>
      </w:r>
      <w:r w:rsidR="009C1C37">
        <w:rPr>
          <w:rFonts w:ascii="Times New Roman" w:hAnsi="Times New Roman"/>
          <w:sz w:val="24"/>
          <w:szCs w:val="24"/>
        </w:rPr>
        <w:t xml:space="preserve">that </w:t>
      </w:r>
      <w:r w:rsidRPr="0000424B">
        <w:rPr>
          <w:rFonts w:ascii="Times New Roman" w:hAnsi="Times New Roman"/>
          <w:sz w:val="24"/>
          <w:szCs w:val="24"/>
        </w:rPr>
        <w:t>remov</w:t>
      </w:r>
      <w:r w:rsidR="009C1C37">
        <w:rPr>
          <w:rFonts w:ascii="Times New Roman" w:hAnsi="Times New Roman"/>
          <w:sz w:val="24"/>
          <w:szCs w:val="24"/>
        </w:rPr>
        <w:t>e</w:t>
      </w:r>
      <w:r w:rsidRPr="0000424B">
        <w:rPr>
          <w:rFonts w:ascii="Times New Roman" w:hAnsi="Times New Roman"/>
          <w:sz w:val="24"/>
          <w:szCs w:val="24"/>
        </w:rPr>
        <w:t xml:space="preserve"> barriers to services and supports, and promoting policies that enhance </w:t>
      </w:r>
      <w:r w:rsidR="003B4C83">
        <w:rPr>
          <w:rFonts w:ascii="Times New Roman" w:hAnsi="Times New Roman"/>
          <w:sz w:val="24"/>
          <w:szCs w:val="24"/>
        </w:rPr>
        <w:lastRenderedPageBreak/>
        <w:t>community wellness</w:t>
      </w:r>
      <w:r w:rsidR="001A278A">
        <w:rPr>
          <w:rFonts w:ascii="Times New Roman" w:hAnsi="Times New Roman"/>
          <w:sz w:val="24"/>
          <w:szCs w:val="24"/>
        </w:rPr>
        <w:t xml:space="preserve"> </w:t>
      </w:r>
      <w:r w:rsidR="004028E4">
        <w:rPr>
          <w:rFonts w:ascii="Times New Roman" w:hAnsi="Times New Roman"/>
          <w:sz w:val="24"/>
          <w:szCs w:val="24"/>
        </w:rPr>
        <w:t xml:space="preserve">and safety </w:t>
      </w:r>
      <w:r w:rsidR="001A278A">
        <w:rPr>
          <w:rFonts w:ascii="Times New Roman" w:hAnsi="Times New Roman"/>
          <w:sz w:val="24"/>
          <w:szCs w:val="24"/>
        </w:rPr>
        <w:t xml:space="preserve">(such as </w:t>
      </w:r>
      <w:r w:rsidR="004028E4">
        <w:rPr>
          <w:rFonts w:ascii="Times New Roman" w:hAnsi="Times New Roman"/>
          <w:sz w:val="24"/>
          <w:szCs w:val="24"/>
        </w:rPr>
        <w:t xml:space="preserve">reducing illegal </w:t>
      </w:r>
      <w:r w:rsidR="00B7684D">
        <w:rPr>
          <w:rFonts w:ascii="Times New Roman" w:hAnsi="Times New Roman"/>
          <w:sz w:val="24"/>
          <w:szCs w:val="24"/>
        </w:rPr>
        <w:t>gun access</w:t>
      </w:r>
      <w:r w:rsidR="001A278A">
        <w:rPr>
          <w:rFonts w:ascii="Times New Roman" w:hAnsi="Times New Roman"/>
          <w:sz w:val="24"/>
          <w:szCs w:val="24"/>
        </w:rPr>
        <w:t xml:space="preserve"> </w:t>
      </w:r>
      <w:r w:rsidR="004028E4">
        <w:rPr>
          <w:rFonts w:ascii="Times New Roman" w:hAnsi="Times New Roman"/>
          <w:sz w:val="24"/>
          <w:szCs w:val="24"/>
        </w:rPr>
        <w:t>and increasing</w:t>
      </w:r>
      <w:r w:rsidR="001A278A">
        <w:rPr>
          <w:rFonts w:ascii="Times New Roman" w:hAnsi="Times New Roman"/>
          <w:sz w:val="24"/>
          <w:szCs w:val="24"/>
        </w:rPr>
        <w:t xml:space="preserve"> </w:t>
      </w:r>
      <w:r w:rsidR="004028E4">
        <w:rPr>
          <w:rFonts w:ascii="Times New Roman" w:hAnsi="Times New Roman"/>
          <w:sz w:val="24"/>
          <w:szCs w:val="24"/>
        </w:rPr>
        <w:t>opportunities;</w:t>
      </w:r>
      <w:r w:rsidRPr="00E248FD">
        <w:rPr>
          <w:rFonts w:ascii="Times New Roman" w:hAnsi="Times New Roman"/>
          <w:sz w:val="24"/>
          <w:szCs w:val="24"/>
        </w:rPr>
        <w:t xml:space="preserve"> Evans et al. 201</w:t>
      </w:r>
      <w:r w:rsidR="00B13AD1">
        <w:rPr>
          <w:rFonts w:ascii="Times New Roman" w:hAnsi="Times New Roman"/>
          <w:sz w:val="24"/>
          <w:szCs w:val="24"/>
        </w:rPr>
        <w:t>1</w:t>
      </w:r>
      <w:r w:rsidRPr="00E248FD">
        <w:rPr>
          <w:rFonts w:ascii="Times New Roman" w:hAnsi="Times New Roman"/>
          <w:sz w:val="24"/>
          <w:szCs w:val="24"/>
        </w:rPr>
        <w:t>).</w:t>
      </w:r>
      <w:r>
        <w:rPr>
          <w:rFonts w:ascii="Times New Roman" w:hAnsi="Times New Roman"/>
          <w:sz w:val="24"/>
          <w:szCs w:val="24"/>
        </w:rPr>
        <w:t xml:space="preserve">  </w:t>
      </w:r>
    </w:p>
    <w:p w14:paraId="0A64BE34" w14:textId="27FC94BF" w:rsidR="00F51392" w:rsidRDefault="00F51392" w:rsidP="00F51392">
      <w:pPr>
        <w:spacing w:after="0"/>
        <w:ind w:firstLine="720"/>
        <w:contextualSpacing/>
        <w:rPr>
          <w:rFonts w:ascii="Times New Roman" w:hAnsi="Times New Roman"/>
          <w:sz w:val="24"/>
          <w:szCs w:val="24"/>
        </w:rPr>
      </w:pPr>
      <w:r>
        <w:rPr>
          <w:rFonts w:ascii="Times New Roman" w:hAnsi="Times New Roman"/>
          <w:sz w:val="24"/>
          <w:szCs w:val="24"/>
        </w:rPr>
        <w:t>SPEC strategies are</w:t>
      </w:r>
      <w:r w:rsidRPr="00E248FD">
        <w:rPr>
          <w:rFonts w:ascii="Times New Roman" w:hAnsi="Times New Roman"/>
          <w:sz w:val="24"/>
          <w:szCs w:val="24"/>
        </w:rPr>
        <w:t xml:space="preserve"> </w:t>
      </w:r>
      <w:r>
        <w:rPr>
          <w:rFonts w:ascii="Times New Roman" w:hAnsi="Times New Roman"/>
          <w:sz w:val="24"/>
          <w:szCs w:val="24"/>
        </w:rPr>
        <w:t xml:space="preserve">generally more cost-effective </w:t>
      </w:r>
      <w:r w:rsidRPr="00E248FD">
        <w:rPr>
          <w:rFonts w:ascii="Times New Roman" w:hAnsi="Times New Roman"/>
          <w:sz w:val="24"/>
          <w:szCs w:val="24"/>
        </w:rPr>
        <w:t>than</w:t>
      </w:r>
      <w:r>
        <w:rPr>
          <w:rFonts w:ascii="Times New Roman" w:hAnsi="Times New Roman"/>
          <w:sz w:val="24"/>
          <w:szCs w:val="24"/>
        </w:rPr>
        <w:t xml:space="preserve"> traditional medical</w:t>
      </w:r>
      <w:r w:rsidR="008A3F41">
        <w:rPr>
          <w:rFonts w:ascii="Times New Roman" w:hAnsi="Times New Roman"/>
          <w:sz w:val="24"/>
          <w:szCs w:val="24"/>
        </w:rPr>
        <w:t>/</w:t>
      </w:r>
      <w:r>
        <w:rPr>
          <w:rFonts w:ascii="Times New Roman" w:hAnsi="Times New Roman"/>
          <w:sz w:val="24"/>
          <w:szCs w:val="24"/>
        </w:rPr>
        <w:t xml:space="preserve">human service models, which rely on expensive </w:t>
      </w:r>
      <w:r w:rsidRPr="00E248FD">
        <w:rPr>
          <w:rFonts w:ascii="Times New Roman" w:hAnsi="Times New Roman"/>
          <w:sz w:val="24"/>
          <w:szCs w:val="24"/>
        </w:rPr>
        <w:t>individual</w:t>
      </w:r>
      <w:r>
        <w:rPr>
          <w:rFonts w:ascii="Times New Roman" w:hAnsi="Times New Roman"/>
          <w:sz w:val="24"/>
          <w:szCs w:val="24"/>
        </w:rPr>
        <w:t>ized care by professionals supported by large bureaucracies</w:t>
      </w:r>
      <w:r w:rsidR="001A278A">
        <w:rPr>
          <w:rFonts w:ascii="Times New Roman" w:hAnsi="Times New Roman"/>
          <w:sz w:val="24"/>
          <w:szCs w:val="24"/>
        </w:rPr>
        <w:t xml:space="preserve"> that passively</w:t>
      </w:r>
      <w:r w:rsidR="003F0464">
        <w:rPr>
          <w:rFonts w:ascii="Times New Roman" w:hAnsi="Times New Roman"/>
          <w:sz w:val="24"/>
          <w:szCs w:val="24"/>
        </w:rPr>
        <w:t xml:space="preserve"> respond only after violence or other problems have occurred</w:t>
      </w:r>
      <w:r>
        <w:rPr>
          <w:rFonts w:ascii="Times New Roman" w:hAnsi="Times New Roman"/>
          <w:sz w:val="24"/>
          <w:szCs w:val="24"/>
        </w:rPr>
        <w:t xml:space="preserve"> (Evans et al. 2011)</w:t>
      </w:r>
      <w:r w:rsidRPr="00E248FD">
        <w:rPr>
          <w:rFonts w:ascii="Times New Roman" w:hAnsi="Times New Roman"/>
          <w:sz w:val="24"/>
          <w:szCs w:val="24"/>
        </w:rPr>
        <w:t xml:space="preserve">. </w:t>
      </w:r>
      <w:r>
        <w:rPr>
          <w:rFonts w:ascii="Times New Roman" w:hAnsi="Times New Roman"/>
          <w:sz w:val="24"/>
          <w:szCs w:val="24"/>
        </w:rPr>
        <w:t>What is less clear is the degree to which organizations have been able to implement clearly identifiable SPEC-oriented strategies</w:t>
      </w:r>
      <w:r w:rsidR="00C26697">
        <w:rPr>
          <w:rFonts w:ascii="Times New Roman" w:hAnsi="Times New Roman"/>
          <w:sz w:val="24"/>
          <w:szCs w:val="24"/>
        </w:rPr>
        <w:t xml:space="preserve"> (Bess et al. 2009)</w:t>
      </w:r>
      <w:r>
        <w:rPr>
          <w:rFonts w:ascii="Times New Roman" w:hAnsi="Times New Roman"/>
          <w:sz w:val="24"/>
          <w:szCs w:val="24"/>
        </w:rPr>
        <w:t>.</w:t>
      </w:r>
    </w:p>
    <w:p w14:paraId="5C235BC1" w14:textId="4176C51A" w:rsidR="00BF2DDE" w:rsidRPr="00EF2C04" w:rsidRDefault="00BF2DDE" w:rsidP="00BF2DDE">
      <w:pPr>
        <w:spacing w:after="0"/>
        <w:ind w:firstLine="720"/>
        <w:contextualSpacing/>
        <w:rPr>
          <w:rFonts w:ascii="Times New Roman" w:hAnsi="Times New Roman"/>
          <w:sz w:val="24"/>
          <w:szCs w:val="24"/>
        </w:rPr>
      </w:pPr>
      <w:r w:rsidRPr="00AB6AF1">
        <w:rPr>
          <w:rFonts w:ascii="Times New Roman" w:hAnsi="Times New Roman"/>
          <w:sz w:val="24"/>
          <w:szCs w:val="24"/>
        </w:rPr>
        <w:t xml:space="preserve">In </w:t>
      </w:r>
      <w:r w:rsidR="00C37970">
        <w:rPr>
          <w:rFonts w:ascii="Times New Roman" w:hAnsi="Times New Roman"/>
          <w:sz w:val="24"/>
          <w:szCs w:val="24"/>
        </w:rPr>
        <w:t>sum</w:t>
      </w:r>
      <w:r w:rsidRPr="00AB6AF1">
        <w:rPr>
          <w:rFonts w:ascii="Times New Roman" w:hAnsi="Times New Roman"/>
          <w:sz w:val="24"/>
          <w:szCs w:val="24"/>
        </w:rPr>
        <w:t>, clear and consistent positive effects of most YVP efforts remain elusive</w:t>
      </w:r>
      <w:r>
        <w:rPr>
          <w:rFonts w:ascii="Times New Roman" w:hAnsi="Times New Roman"/>
          <w:sz w:val="24"/>
          <w:szCs w:val="24"/>
        </w:rPr>
        <w:t xml:space="preserve">. </w:t>
      </w:r>
      <w:r w:rsidR="00B0666B">
        <w:rPr>
          <w:rFonts w:ascii="Times New Roman" w:hAnsi="Times New Roman"/>
          <w:sz w:val="24"/>
          <w:szCs w:val="24"/>
        </w:rPr>
        <w:t>M</w:t>
      </w:r>
      <w:r>
        <w:rPr>
          <w:rFonts w:ascii="Times New Roman" w:hAnsi="Times New Roman"/>
          <w:sz w:val="24"/>
          <w:szCs w:val="24"/>
        </w:rPr>
        <w:t xml:space="preserve">any communities </w:t>
      </w:r>
      <w:r w:rsidR="00B0666B">
        <w:rPr>
          <w:rFonts w:ascii="Times New Roman" w:hAnsi="Times New Roman"/>
          <w:sz w:val="24"/>
          <w:szCs w:val="24"/>
        </w:rPr>
        <w:t xml:space="preserve">and the USCDCP </w:t>
      </w:r>
      <w:r>
        <w:rPr>
          <w:rFonts w:ascii="Times New Roman" w:hAnsi="Times New Roman"/>
          <w:sz w:val="24"/>
          <w:szCs w:val="24"/>
        </w:rPr>
        <w:t xml:space="preserve">have </w:t>
      </w:r>
      <w:r w:rsidR="00B0666B">
        <w:rPr>
          <w:rFonts w:ascii="Times New Roman" w:hAnsi="Times New Roman"/>
          <w:sz w:val="24"/>
          <w:szCs w:val="24"/>
        </w:rPr>
        <w:t>responded by promo</w:t>
      </w:r>
      <w:r>
        <w:rPr>
          <w:rFonts w:ascii="Times New Roman" w:hAnsi="Times New Roman"/>
          <w:sz w:val="24"/>
          <w:szCs w:val="24"/>
        </w:rPr>
        <w:t>t</w:t>
      </w:r>
      <w:r w:rsidR="00B0666B">
        <w:rPr>
          <w:rFonts w:ascii="Times New Roman" w:hAnsi="Times New Roman"/>
          <w:sz w:val="24"/>
          <w:szCs w:val="24"/>
        </w:rPr>
        <w:t>ing local</w:t>
      </w:r>
      <w:r>
        <w:rPr>
          <w:rFonts w:ascii="Times New Roman" w:hAnsi="Times New Roman"/>
          <w:sz w:val="24"/>
          <w:szCs w:val="24"/>
        </w:rPr>
        <w:t xml:space="preserve"> </w:t>
      </w:r>
      <w:r w:rsidR="00B0666B">
        <w:rPr>
          <w:rFonts w:ascii="Times New Roman" w:hAnsi="Times New Roman"/>
          <w:sz w:val="24"/>
          <w:szCs w:val="24"/>
        </w:rPr>
        <w:t xml:space="preserve">YVP </w:t>
      </w:r>
      <w:r w:rsidRPr="00EF2C04">
        <w:rPr>
          <w:rFonts w:ascii="Times New Roman" w:hAnsi="Times New Roman"/>
          <w:sz w:val="24"/>
          <w:szCs w:val="24"/>
        </w:rPr>
        <w:t xml:space="preserve">coalitions with varying success depending on coalition structure and membership composition. </w:t>
      </w:r>
      <w:r w:rsidR="003F2BB0">
        <w:rPr>
          <w:rFonts w:ascii="Times New Roman" w:hAnsi="Times New Roman"/>
          <w:sz w:val="24"/>
          <w:szCs w:val="24"/>
        </w:rPr>
        <w:t>P</w:t>
      </w:r>
      <w:r w:rsidRPr="00EF2C04">
        <w:rPr>
          <w:rFonts w:ascii="Times New Roman" w:hAnsi="Times New Roman"/>
          <w:sz w:val="24"/>
          <w:szCs w:val="24"/>
        </w:rPr>
        <w:t xml:space="preserve">olitical advocacy </w:t>
      </w:r>
      <w:r w:rsidR="00C37970">
        <w:rPr>
          <w:rFonts w:ascii="Times New Roman" w:hAnsi="Times New Roman"/>
          <w:sz w:val="24"/>
          <w:szCs w:val="24"/>
        </w:rPr>
        <w:t>can</w:t>
      </w:r>
      <w:r w:rsidRPr="00EF2C04">
        <w:rPr>
          <w:rFonts w:ascii="Times New Roman" w:hAnsi="Times New Roman"/>
          <w:sz w:val="24"/>
          <w:szCs w:val="24"/>
        </w:rPr>
        <w:t xml:space="preserve"> be an effective </w:t>
      </w:r>
      <w:r w:rsidR="00C37970">
        <w:rPr>
          <w:rFonts w:ascii="Times New Roman" w:hAnsi="Times New Roman"/>
          <w:sz w:val="24"/>
          <w:szCs w:val="24"/>
        </w:rPr>
        <w:t>means of</w:t>
      </w:r>
      <w:r w:rsidRPr="00EF2C04">
        <w:rPr>
          <w:rFonts w:ascii="Times New Roman" w:hAnsi="Times New Roman"/>
          <w:sz w:val="24"/>
          <w:szCs w:val="24"/>
        </w:rPr>
        <w:t xml:space="preserve"> </w:t>
      </w:r>
      <w:r>
        <w:rPr>
          <w:rFonts w:ascii="Times New Roman" w:hAnsi="Times New Roman"/>
          <w:sz w:val="24"/>
          <w:szCs w:val="24"/>
        </w:rPr>
        <w:t>YVP</w:t>
      </w:r>
      <w:r w:rsidRPr="00EF2C04">
        <w:rPr>
          <w:rFonts w:ascii="Times New Roman" w:hAnsi="Times New Roman"/>
          <w:sz w:val="24"/>
          <w:szCs w:val="24"/>
        </w:rPr>
        <w:t xml:space="preserve"> for both organizations and coalitions. </w:t>
      </w:r>
      <w:r w:rsidR="00B0666B">
        <w:rPr>
          <w:rFonts w:ascii="Times New Roman" w:hAnsi="Times New Roman"/>
          <w:sz w:val="24"/>
          <w:szCs w:val="24"/>
        </w:rPr>
        <w:t>M</w:t>
      </w:r>
      <w:r w:rsidRPr="00AB6AF1">
        <w:rPr>
          <w:rFonts w:ascii="Times New Roman" w:hAnsi="Times New Roman"/>
          <w:sz w:val="24"/>
          <w:szCs w:val="24"/>
        </w:rPr>
        <w:t>ore research is needed</w:t>
      </w:r>
      <w:r w:rsidRPr="00EF2C04">
        <w:rPr>
          <w:rFonts w:ascii="Times New Roman" w:hAnsi="Times New Roman"/>
          <w:sz w:val="24"/>
          <w:szCs w:val="24"/>
        </w:rPr>
        <w:t xml:space="preserve"> to fully understand </w:t>
      </w:r>
      <w:r>
        <w:rPr>
          <w:rFonts w:ascii="Times New Roman" w:hAnsi="Times New Roman"/>
          <w:sz w:val="24"/>
          <w:szCs w:val="24"/>
        </w:rPr>
        <w:t xml:space="preserve">what types of organizations engage in YVP and fully participate in coalitions, </w:t>
      </w:r>
      <w:r w:rsidRPr="00EF2C04">
        <w:rPr>
          <w:rFonts w:ascii="Times New Roman" w:hAnsi="Times New Roman"/>
          <w:sz w:val="24"/>
          <w:szCs w:val="24"/>
        </w:rPr>
        <w:t xml:space="preserve">the </w:t>
      </w:r>
      <w:r>
        <w:rPr>
          <w:rFonts w:ascii="Times New Roman" w:hAnsi="Times New Roman"/>
          <w:sz w:val="24"/>
          <w:szCs w:val="24"/>
        </w:rPr>
        <w:t xml:space="preserve">full range of YVP strategies used and how those compare with values of individual and community strengths, prevention, empowerment, and community change, and whether type of organization is related to strategies adopted. </w:t>
      </w:r>
      <w:r w:rsidRPr="00ED5747">
        <w:rPr>
          <w:rFonts w:ascii="Times New Roman" w:hAnsi="Times New Roman"/>
          <w:sz w:val="24"/>
          <w:szCs w:val="24"/>
        </w:rPr>
        <w:t>Information</w:t>
      </w:r>
      <w:r>
        <w:rPr>
          <w:rFonts w:ascii="Times New Roman" w:hAnsi="Times New Roman"/>
          <w:sz w:val="24"/>
          <w:szCs w:val="24"/>
        </w:rPr>
        <w:t xml:space="preserve"> is also scarce on both the stability or evolution of YVP strategies and coalition participation over time and whether or how coalitions influence organizations’ strategy choices, with particular regard to </w:t>
      </w:r>
      <w:r w:rsidRPr="00EF2C04">
        <w:rPr>
          <w:rFonts w:ascii="Times New Roman" w:hAnsi="Times New Roman"/>
          <w:sz w:val="24"/>
          <w:szCs w:val="24"/>
        </w:rPr>
        <w:t>advocacy</w:t>
      </w:r>
      <w:r>
        <w:rPr>
          <w:rFonts w:ascii="Times New Roman" w:hAnsi="Times New Roman"/>
          <w:sz w:val="24"/>
          <w:szCs w:val="24"/>
        </w:rPr>
        <w:t xml:space="preserve"> and policy change</w:t>
      </w:r>
      <w:r w:rsidRPr="00EF2C04">
        <w:rPr>
          <w:rFonts w:ascii="Times New Roman" w:hAnsi="Times New Roman"/>
          <w:sz w:val="24"/>
          <w:szCs w:val="24"/>
        </w:rPr>
        <w:t>.</w:t>
      </w:r>
    </w:p>
    <w:p w14:paraId="71BC610E" w14:textId="77777777" w:rsidR="00521F9F" w:rsidRPr="00D46AE2" w:rsidRDefault="00521F9F" w:rsidP="00A55AAE">
      <w:pPr>
        <w:spacing w:after="0"/>
        <w:contextualSpacing/>
        <w:rPr>
          <w:rFonts w:ascii="Times New Roman" w:hAnsi="Times New Roman"/>
          <w:sz w:val="24"/>
          <w:szCs w:val="24"/>
          <w:u w:val="single"/>
        </w:rPr>
      </w:pPr>
      <w:r w:rsidRPr="00D46AE2">
        <w:rPr>
          <w:rFonts w:ascii="Times New Roman" w:hAnsi="Times New Roman"/>
          <w:sz w:val="24"/>
          <w:szCs w:val="24"/>
          <w:u w:val="single"/>
        </w:rPr>
        <w:t>Research Questions</w:t>
      </w:r>
    </w:p>
    <w:p w14:paraId="62E44F3E" w14:textId="07A6709E" w:rsidR="00521F9F" w:rsidRPr="007F7343" w:rsidRDefault="00521F9F" w:rsidP="0043408D">
      <w:pPr>
        <w:spacing w:after="0"/>
        <w:ind w:firstLine="720"/>
        <w:contextualSpacing/>
        <w:rPr>
          <w:rFonts w:ascii="Times New Roman" w:hAnsi="Times New Roman"/>
          <w:sz w:val="24"/>
          <w:szCs w:val="24"/>
        </w:rPr>
      </w:pPr>
      <w:r>
        <w:rPr>
          <w:rFonts w:ascii="Times New Roman" w:hAnsi="Times New Roman"/>
          <w:sz w:val="24"/>
          <w:szCs w:val="24"/>
        </w:rPr>
        <w:t>Th</w:t>
      </w:r>
      <w:r w:rsidR="003A46A0">
        <w:rPr>
          <w:rFonts w:ascii="Times New Roman" w:hAnsi="Times New Roman"/>
          <w:sz w:val="24"/>
          <w:szCs w:val="24"/>
        </w:rPr>
        <w:t>is</w:t>
      </w:r>
      <w:r>
        <w:rPr>
          <w:rFonts w:ascii="Times New Roman" w:hAnsi="Times New Roman"/>
          <w:sz w:val="24"/>
          <w:szCs w:val="24"/>
        </w:rPr>
        <w:t xml:space="preserve"> study addresses six questions in the context of the </w:t>
      </w:r>
      <w:r w:rsidR="003A46A0">
        <w:rPr>
          <w:rFonts w:ascii="Times New Roman" w:hAnsi="Times New Roman"/>
          <w:sz w:val="24"/>
          <w:szCs w:val="24"/>
        </w:rPr>
        <w:t>universe</w:t>
      </w:r>
      <w:r>
        <w:rPr>
          <w:rFonts w:ascii="Times New Roman" w:hAnsi="Times New Roman"/>
          <w:sz w:val="24"/>
          <w:szCs w:val="24"/>
        </w:rPr>
        <w:t xml:space="preserve"> of public and private, nonprofit </w:t>
      </w:r>
      <w:r w:rsidR="003A46A0">
        <w:rPr>
          <w:rFonts w:ascii="Times New Roman" w:hAnsi="Times New Roman"/>
          <w:sz w:val="24"/>
          <w:szCs w:val="24"/>
        </w:rPr>
        <w:t xml:space="preserve">YVP </w:t>
      </w:r>
      <w:r>
        <w:rPr>
          <w:rFonts w:ascii="Times New Roman" w:hAnsi="Times New Roman"/>
          <w:sz w:val="24"/>
          <w:szCs w:val="24"/>
        </w:rPr>
        <w:t>organizations</w:t>
      </w:r>
      <w:r w:rsidR="003A46A0">
        <w:rPr>
          <w:rFonts w:ascii="Times New Roman" w:hAnsi="Times New Roman"/>
          <w:sz w:val="24"/>
          <w:szCs w:val="24"/>
        </w:rPr>
        <w:t xml:space="preserve"> in one city</w:t>
      </w:r>
      <w:r>
        <w:rPr>
          <w:rFonts w:ascii="Times New Roman" w:hAnsi="Times New Roman"/>
          <w:sz w:val="24"/>
          <w:szCs w:val="24"/>
        </w:rPr>
        <w:t xml:space="preserve">, both participating and not participating in a local </w:t>
      </w:r>
      <w:r>
        <w:rPr>
          <w:rFonts w:ascii="Times New Roman" w:hAnsi="Times New Roman"/>
          <w:sz w:val="24"/>
        </w:rPr>
        <w:t>coalition</w:t>
      </w:r>
      <w:r>
        <w:rPr>
          <w:rFonts w:ascii="Times New Roman" w:hAnsi="Times New Roman"/>
          <w:sz w:val="24"/>
          <w:szCs w:val="24"/>
        </w:rPr>
        <w:t xml:space="preserve">: </w:t>
      </w:r>
      <w:r w:rsidRPr="00F111A0">
        <w:rPr>
          <w:rFonts w:ascii="Times New Roman" w:hAnsi="Times New Roman"/>
          <w:sz w:val="24"/>
          <w:szCs w:val="24"/>
        </w:rPr>
        <w:t xml:space="preserve">(1) What types of organizations are engaged in YVP and what types participated in the coalition?  (2) Descriptively, what </w:t>
      </w:r>
      <w:r w:rsidRPr="00F111A0">
        <w:rPr>
          <w:rFonts w:ascii="Times New Roman" w:hAnsi="Times New Roman"/>
          <w:sz w:val="24"/>
        </w:rPr>
        <w:t xml:space="preserve">intervention orientations in the SPEC framework are espoused and what </w:t>
      </w:r>
      <w:r w:rsidRPr="00F111A0">
        <w:rPr>
          <w:rFonts w:ascii="Times New Roman" w:hAnsi="Times New Roman"/>
          <w:sz w:val="24"/>
          <w:szCs w:val="24"/>
        </w:rPr>
        <w:t xml:space="preserve">kinds of YVP strategies are actually being used to what proportional extent? (3) </w:t>
      </w:r>
      <w:r w:rsidRPr="00F111A0">
        <w:rPr>
          <w:rFonts w:ascii="Times New Roman" w:hAnsi="Times New Roman"/>
          <w:sz w:val="24"/>
        </w:rPr>
        <w:t xml:space="preserve">How </w:t>
      </w:r>
      <w:r w:rsidRPr="00F111A0">
        <w:rPr>
          <w:rFonts w:ascii="Times New Roman" w:hAnsi="Times New Roman"/>
          <w:sz w:val="24"/>
        </w:rPr>
        <w:lastRenderedPageBreak/>
        <w:t>do different types of organizations compare in the approaches used? (4) How have those strategies changed over five years?  (5) What were the trends in coalition participation over time?  (6) Is there evidence over time of coalition influence on strategies adopted?</w:t>
      </w:r>
    </w:p>
    <w:p w14:paraId="6BC0F2C9" w14:textId="77777777" w:rsidR="00521F9F" w:rsidRPr="00EF2C04" w:rsidRDefault="00521F9F" w:rsidP="00860112">
      <w:pPr>
        <w:spacing w:after="0"/>
        <w:jc w:val="center"/>
        <w:rPr>
          <w:rFonts w:ascii="Times New Roman" w:hAnsi="Times New Roman"/>
          <w:b/>
          <w:sz w:val="24"/>
        </w:rPr>
      </w:pPr>
      <w:r>
        <w:rPr>
          <w:rFonts w:ascii="Times New Roman" w:hAnsi="Times New Roman"/>
          <w:b/>
          <w:sz w:val="24"/>
        </w:rPr>
        <w:t>METHODS</w:t>
      </w:r>
    </w:p>
    <w:p w14:paraId="642EED1F" w14:textId="77777777" w:rsidR="00521F9F" w:rsidRPr="00B21BEF" w:rsidRDefault="00521F9F" w:rsidP="00860112">
      <w:pPr>
        <w:spacing w:after="0"/>
        <w:rPr>
          <w:rFonts w:ascii="Times New Roman" w:hAnsi="Times New Roman"/>
          <w:sz w:val="24"/>
          <w:u w:val="single"/>
        </w:rPr>
      </w:pPr>
      <w:r w:rsidRPr="00B21BEF">
        <w:rPr>
          <w:rFonts w:ascii="Times New Roman" w:hAnsi="Times New Roman"/>
          <w:sz w:val="24"/>
          <w:u w:val="single"/>
        </w:rPr>
        <w:t xml:space="preserve">Setting and Sample </w:t>
      </w:r>
    </w:p>
    <w:p w14:paraId="2DF3C2A1" w14:textId="2D3BAF10" w:rsidR="00521F9F" w:rsidRPr="00B21BEF" w:rsidRDefault="00521F9F" w:rsidP="000A717C">
      <w:pPr>
        <w:spacing w:after="0"/>
        <w:ind w:firstLine="720"/>
        <w:rPr>
          <w:rFonts w:ascii="Times New Roman" w:hAnsi="Times New Roman"/>
          <w:sz w:val="24"/>
        </w:rPr>
      </w:pPr>
      <w:r w:rsidRPr="00B21BEF">
        <w:rPr>
          <w:rFonts w:ascii="Times New Roman" w:hAnsi="Times New Roman"/>
          <w:sz w:val="24"/>
        </w:rPr>
        <w:t xml:space="preserve">Our goal was to </w:t>
      </w:r>
      <w:r w:rsidR="001D30C5">
        <w:rPr>
          <w:rFonts w:ascii="Times New Roman" w:hAnsi="Times New Roman"/>
          <w:sz w:val="24"/>
        </w:rPr>
        <w:t>include</w:t>
      </w:r>
      <w:r w:rsidRPr="00B21BEF">
        <w:rPr>
          <w:rFonts w:ascii="Times New Roman" w:hAnsi="Times New Roman"/>
          <w:sz w:val="24"/>
        </w:rPr>
        <w:t xml:space="preserve"> </w:t>
      </w:r>
      <w:r w:rsidR="001D30C5">
        <w:rPr>
          <w:rFonts w:ascii="Times New Roman" w:hAnsi="Times New Roman"/>
          <w:sz w:val="24"/>
        </w:rPr>
        <w:t>the complete universe of</w:t>
      </w:r>
      <w:r w:rsidRPr="00B21BEF">
        <w:rPr>
          <w:rFonts w:ascii="Times New Roman" w:hAnsi="Times New Roman"/>
          <w:sz w:val="24"/>
        </w:rPr>
        <w:t xml:space="preserve"> public and private, nonprofit organizations addressing youth violence in </w:t>
      </w:r>
      <w:r w:rsidR="00D276A8">
        <w:rPr>
          <w:rFonts w:ascii="Times New Roman" w:hAnsi="Times New Roman"/>
          <w:sz w:val="24"/>
        </w:rPr>
        <w:t>one</w:t>
      </w:r>
      <w:r w:rsidRPr="00B21BEF">
        <w:rPr>
          <w:rFonts w:ascii="Times New Roman" w:hAnsi="Times New Roman"/>
          <w:sz w:val="24"/>
        </w:rPr>
        <w:t xml:space="preserve"> Southern U.S. metropolitan area, including organizations participating in a </w:t>
      </w:r>
      <w:r>
        <w:rPr>
          <w:rFonts w:ascii="Times New Roman" w:hAnsi="Times New Roman"/>
          <w:sz w:val="24"/>
        </w:rPr>
        <w:t>USCDCP-funded</w:t>
      </w:r>
      <w:r w:rsidR="0075743B">
        <w:rPr>
          <w:rFonts w:ascii="Times New Roman" w:hAnsi="Times New Roman"/>
          <w:sz w:val="24"/>
        </w:rPr>
        <w:t>,</w:t>
      </w:r>
      <w:r>
        <w:rPr>
          <w:rFonts w:ascii="Times New Roman" w:hAnsi="Times New Roman"/>
          <w:sz w:val="24"/>
        </w:rPr>
        <w:t xml:space="preserve"> </w:t>
      </w:r>
      <w:r w:rsidRPr="00B21BEF">
        <w:rPr>
          <w:rFonts w:ascii="Times New Roman" w:hAnsi="Times New Roman"/>
          <w:sz w:val="24"/>
        </w:rPr>
        <w:t>city-wide YVP coalition a</w:t>
      </w:r>
      <w:r w:rsidR="00431FA9">
        <w:rPr>
          <w:rFonts w:ascii="Times New Roman" w:hAnsi="Times New Roman"/>
          <w:sz w:val="24"/>
        </w:rPr>
        <w:t>nd</w:t>
      </w:r>
      <w:r w:rsidRPr="00B21BEF">
        <w:rPr>
          <w:rFonts w:ascii="Times New Roman" w:hAnsi="Times New Roman"/>
          <w:sz w:val="24"/>
        </w:rPr>
        <w:t xml:space="preserve"> nonparticipating organizations. To identify relevant organizations for this study, </w:t>
      </w:r>
      <w:r>
        <w:rPr>
          <w:rFonts w:ascii="Times New Roman" w:hAnsi="Times New Roman"/>
          <w:sz w:val="24"/>
        </w:rPr>
        <w:t xml:space="preserve">each year starting in 2006, </w:t>
      </w:r>
      <w:r w:rsidRPr="00B21BEF">
        <w:rPr>
          <w:rFonts w:ascii="Times New Roman" w:hAnsi="Times New Roman"/>
          <w:sz w:val="24"/>
        </w:rPr>
        <w:t xml:space="preserve">we consulted with a variety of key informants, including local researchers, coalition leaders, and other school and agency representatives to select a full range of organizations known to engage in </w:t>
      </w:r>
      <w:r w:rsidR="000A717C">
        <w:rPr>
          <w:rFonts w:ascii="Times New Roman" w:hAnsi="Times New Roman"/>
          <w:sz w:val="24"/>
        </w:rPr>
        <w:t>YVP</w:t>
      </w:r>
      <w:r w:rsidRPr="00B21BEF">
        <w:rPr>
          <w:rFonts w:ascii="Times New Roman" w:hAnsi="Times New Roman"/>
          <w:sz w:val="24"/>
        </w:rPr>
        <w:t>. Participating organizations included individual public middle and high schools, city government agencies, nonprofit youth membership organizations, religious congregations, private funding agencies, neighborhood associations, and a wide variety of human service and advocacy organizations serving children and youth.</w:t>
      </w:r>
      <w:r w:rsidR="000A717C">
        <w:rPr>
          <w:rFonts w:ascii="Times New Roman" w:hAnsi="Times New Roman"/>
          <w:sz w:val="24"/>
        </w:rPr>
        <w:t xml:space="preserve"> </w:t>
      </w:r>
      <w:r w:rsidRPr="00B21BEF">
        <w:rPr>
          <w:rFonts w:ascii="Times New Roman" w:hAnsi="Times New Roman"/>
          <w:sz w:val="24"/>
        </w:rPr>
        <w:t xml:space="preserve">Additionally, we collected sign-in sheets from organizational meetings at both the school and city-wide levels in order to ensure that we included all appropriate participants in the study. </w:t>
      </w:r>
      <w:r>
        <w:rPr>
          <w:rFonts w:ascii="Times New Roman" w:hAnsi="Times New Roman"/>
          <w:sz w:val="24"/>
        </w:rPr>
        <w:t>The result was an initial list of 115 potential organizations</w:t>
      </w:r>
      <w:r w:rsidR="000A717C">
        <w:rPr>
          <w:rFonts w:ascii="Times New Roman" w:hAnsi="Times New Roman"/>
          <w:sz w:val="24"/>
        </w:rPr>
        <w:t xml:space="preserve">. We then verified that each was still active and </w:t>
      </w:r>
      <w:r>
        <w:rPr>
          <w:rFonts w:ascii="Times New Roman" w:hAnsi="Times New Roman"/>
          <w:sz w:val="24"/>
        </w:rPr>
        <w:t>focus</w:t>
      </w:r>
      <w:r w:rsidR="00DE0B4E">
        <w:rPr>
          <w:rFonts w:ascii="Times New Roman" w:hAnsi="Times New Roman"/>
          <w:sz w:val="24"/>
        </w:rPr>
        <w:t>ed</w:t>
      </w:r>
      <w:r>
        <w:rPr>
          <w:rFonts w:ascii="Times New Roman" w:hAnsi="Times New Roman"/>
          <w:sz w:val="24"/>
        </w:rPr>
        <w:t xml:space="preserve"> substantially on YVP</w:t>
      </w:r>
      <w:r w:rsidR="00911EC0">
        <w:rPr>
          <w:rFonts w:ascii="Times New Roman" w:hAnsi="Times New Roman"/>
          <w:sz w:val="24"/>
        </w:rPr>
        <w:t xml:space="preserve">, </w:t>
      </w:r>
      <w:r w:rsidR="000A717C">
        <w:rPr>
          <w:rFonts w:ascii="Times New Roman" w:hAnsi="Times New Roman"/>
          <w:sz w:val="24"/>
        </w:rPr>
        <w:t xml:space="preserve">reducing </w:t>
      </w:r>
      <w:r w:rsidR="00911EC0">
        <w:rPr>
          <w:rFonts w:ascii="Times New Roman" w:hAnsi="Times New Roman"/>
          <w:sz w:val="24"/>
        </w:rPr>
        <w:t>the sampling frame to 109 in</w:t>
      </w:r>
      <w:r w:rsidR="00911EC0" w:rsidRPr="00911EC0">
        <w:rPr>
          <w:rFonts w:ascii="Times New Roman" w:hAnsi="Times New Roman"/>
          <w:sz w:val="24"/>
        </w:rPr>
        <w:t xml:space="preserve"> Y</w:t>
      </w:r>
      <w:r w:rsidR="00911EC0">
        <w:rPr>
          <w:rFonts w:ascii="Times New Roman" w:hAnsi="Times New Roman"/>
          <w:sz w:val="24"/>
        </w:rPr>
        <w:t xml:space="preserve">ear </w:t>
      </w:r>
      <w:r w:rsidR="00911EC0" w:rsidRPr="00911EC0">
        <w:rPr>
          <w:rFonts w:ascii="Times New Roman" w:hAnsi="Times New Roman"/>
          <w:sz w:val="24"/>
        </w:rPr>
        <w:t>1</w:t>
      </w:r>
      <w:r w:rsidR="002A7790">
        <w:rPr>
          <w:rFonts w:ascii="Times New Roman" w:hAnsi="Times New Roman"/>
          <w:sz w:val="24"/>
        </w:rPr>
        <w:t xml:space="preserve"> (2007)</w:t>
      </w:r>
      <w:r w:rsidR="00911EC0">
        <w:rPr>
          <w:rFonts w:ascii="Times New Roman" w:hAnsi="Times New Roman"/>
          <w:sz w:val="24"/>
        </w:rPr>
        <w:t>,</w:t>
      </w:r>
      <w:r w:rsidR="00911EC0" w:rsidRPr="00911EC0">
        <w:rPr>
          <w:rFonts w:ascii="Times New Roman" w:hAnsi="Times New Roman"/>
          <w:sz w:val="24"/>
        </w:rPr>
        <w:t xml:space="preserve"> </w:t>
      </w:r>
      <w:r w:rsidR="00911EC0">
        <w:rPr>
          <w:rFonts w:ascii="Times New Roman" w:hAnsi="Times New Roman"/>
          <w:sz w:val="24"/>
        </w:rPr>
        <w:t>107 in</w:t>
      </w:r>
      <w:r w:rsidR="00911EC0" w:rsidRPr="00911EC0">
        <w:rPr>
          <w:rFonts w:ascii="Times New Roman" w:hAnsi="Times New Roman"/>
          <w:sz w:val="24"/>
        </w:rPr>
        <w:t xml:space="preserve"> Y</w:t>
      </w:r>
      <w:r w:rsidR="00911EC0">
        <w:rPr>
          <w:rFonts w:ascii="Times New Roman" w:hAnsi="Times New Roman"/>
          <w:sz w:val="24"/>
        </w:rPr>
        <w:t>ear 2, 103 in</w:t>
      </w:r>
      <w:r w:rsidR="00911EC0" w:rsidRPr="00911EC0">
        <w:rPr>
          <w:rFonts w:ascii="Times New Roman" w:hAnsi="Times New Roman"/>
          <w:sz w:val="24"/>
        </w:rPr>
        <w:t xml:space="preserve"> Y</w:t>
      </w:r>
      <w:r w:rsidR="00911EC0">
        <w:rPr>
          <w:rFonts w:ascii="Times New Roman" w:hAnsi="Times New Roman"/>
          <w:sz w:val="24"/>
        </w:rPr>
        <w:t>ear3, and 99 in</w:t>
      </w:r>
      <w:r w:rsidR="00911EC0" w:rsidRPr="00911EC0">
        <w:rPr>
          <w:rFonts w:ascii="Times New Roman" w:hAnsi="Times New Roman"/>
          <w:sz w:val="24"/>
        </w:rPr>
        <w:t xml:space="preserve"> Y</w:t>
      </w:r>
      <w:r w:rsidR="00911EC0">
        <w:rPr>
          <w:rFonts w:ascii="Times New Roman" w:hAnsi="Times New Roman"/>
          <w:sz w:val="24"/>
        </w:rPr>
        <w:t xml:space="preserve">ears 4 and </w:t>
      </w:r>
      <w:r w:rsidR="00911EC0" w:rsidRPr="00911EC0">
        <w:rPr>
          <w:rFonts w:ascii="Times New Roman" w:hAnsi="Times New Roman"/>
          <w:sz w:val="24"/>
        </w:rPr>
        <w:t>5.</w:t>
      </w:r>
      <w:r w:rsidR="00911EC0">
        <w:rPr>
          <w:rFonts w:ascii="Times New Roman" w:hAnsi="Times New Roman"/>
          <w:sz w:val="24"/>
        </w:rPr>
        <w:t xml:space="preserve"> </w:t>
      </w:r>
      <w:r w:rsidRPr="00B21BEF">
        <w:rPr>
          <w:rFonts w:ascii="Times New Roman" w:hAnsi="Times New Roman"/>
          <w:sz w:val="24"/>
        </w:rPr>
        <w:t xml:space="preserve">We asked each organization to identify the leader or staff to interview with the most knowledge of organization’s work on YVP and its collaborations with other organizations. </w:t>
      </w:r>
      <w:r>
        <w:rPr>
          <w:rFonts w:ascii="Times New Roman" w:hAnsi="Times New Roman"/>
          <w:sz w:val="24"/>
        </w:rPr>
        <w:t>T</w:t>
      </w:r>
      <w:r w:rsidRPr="00B21BEF">
        <w:rPr>
          <w:rFonts w:ascii="Times New Roman" w:hAnsi="Times New Roman"/>
          <w:sz w:val="24"/>
        </w:rPr>
        <w:t xml:space="preserve">he response rate was </w:t>
      </w:r>
      <w:r w:rsidR="00A90857" w:rsidRPr="00DD61C2">
        <w:rPr>
          <w:rFonts w:ascii="Times New Roman" w:hAnsi="Times New Roman"/>
          <w:sz w:val="24"/>
        </w:rPr>
        <w:t>6</w:t>
      </w:r>
      <w:r w:rsidR="00A90857">
        <w:rPr>
          <w:rFonts w:ascii="Times New Roman" w:hAnsi="Times New Roman"/>
          <w:sz w:val="24"/>
        </w:rPr>
        <w:t>1</w:t>
      </w:r>
      <w:r>
        <w:rPr>
          <w:rFonts w:ascii="Times New Roman" w:hAnsi="Times New Roman"/>
          <w:sz w:val="24"/>
        </w:rPr>
        <w:t xml:space="preserve">% Year 1, </w:t>
      </w:r>
      <w:r w:rsidR="00A90857">
        <w:rPr>
          <w:rFonts w:ascii="Times New Roman" w:hAnsi="Times New Roman"/>
          <w:sz w:val="24"/>
        </w:rPr>
        <w:t>66</w:t>
      </w:r>
      <w:r>
        <w:rPr>
          <w:rFonts w:ascii="Times New Roman" w:hAnsi="Times New Roman"/>
          <w:sz w:val="24"/>
        </w:rPr>
        <w:t xml:space="preserve">% Year 2, </w:t>
      </w:r>
      <w:r w:rsidR="00A90857" w:rsidRPr="00DD61C2">
        <w:rPr>
          <w:rFonts w:ascii="Times New Roman" w:hAnsi="Times New Roman"/>
          <w:sz w:val="24"/>
        </w:rPr>
        <w:t>6</w:t>
      </w:r>
      <w:r w:rsidR="00A90857">
        <w:rPr>
          <w:rFonts w:ascii="Times New Roman" w:hAnsi="Times New Roman"/>
          <w:sz w:val="24"/>
        </w:rPr>
        <w:t>7</w:t>
      </w:r>
      <w:r>
        <w:rPr>
          <w:rFonts w:ascii="Times New Roman" w:hAnsi="Times New Roman"/>
          <w:sz w:val="24"/>
        </w:rPr>
        <w:t xml:space="preserve">% Year 3, </w:t>
      </w:r>
      <w:r w:rsidR="00A90857" w:rsidRPr="00DD61C2">
        <w:rPr>
          <w:rFonts w:ascii="Times New Roman" w:hAnsi="Times New Roman"/>
          <w:sz w:val="24"/>
        </w:rPr>
        <w:t>7</w:t>
      </w:r>
      <w:r w:rsidR="00A90857">
        <w:rPr>
          <w:rFonts w:ascii="Times New Roman" w:hAnsi="Times New Roman"/>
          <w:sz w:val="24"/>
        </w:rPr>
        <w:t>4</w:t>
      </w:r>
      <w:r>
        <w:rPr>
          <w:rFonts w:ascii="Times New Roman" w:hAnsi="Times New Roman"/>
          <w:sz w:val="24"/>
        </w:rPr>
        <w:t xml:space="preserve">% Year 4, </w:t>
      </w:r>
      <w:r w:rsidR="00A90857" w:rsidRPr="00DD61C2">
        <w:rPr>
          <w:rFonts w:ascii="Times New Roman" w:hAnsi="Times New Roman"/>
          <w:sz w:val="24"/>
        </w:rPr>
        <w:t>6</w:t>
      </w:r>
      <w:r w:rsidR="00A90857">
        <w:rPr>
          <w:rFonts w:ascii="Times New Roman" w:hAnsi="Times New Roman"/>
          <w:sz w:val="24"/>
        </w:rPr>
        <w:t>8</w:t>
      </w:r>
      <w:r>
        <w:rPr>
          <w:rFonts w:ascii="Times New Roman" w:hAnsi="Times New Roman"/>
          <w:sz w:val="24"/>
        </w:rPr>
        <w:t xml:space="preserve">% Year 5. </w:t>
      </w:r>
    </w:p>
    <w:p w14:paraId="7B7E75D3" w14:textId="77777777" w:rsidR="00521F9F" w:rsidRPr="00B21BEF" w:rsidRDefault="00521F9F" w:rsidP="00860112">
      <w:pPr>
        <w:spacing w:after="0"/>
        <w:rPr>
          <w:rFonts w:ascii="Times New Roman" w:hAnsi="Times New Roman"/>
          <w:sz w:val="24"/>
          <w:u w:val="single"/>
        </w:rPr>
      </w:pPr>
      <w:r w:rsidRPr="00B21BEF">
        <w:rPr>
          <w:rFonts w:ascii="Times New Roman" w:hAnsi="Times New Roman"/>
          <w:sz w:val="24"/>
          <w:u w:val="single"/>
        </w:rPr>
        <w:t>Procedures and Measures</w:t>
      </w:r>
    </w:p>
    <w:p w14:paraId="48FCBA70" w14:textId="0DF1BAF5" w:rsidR="00521F9F" w:rsidRPr="00B21BEF" w:rsidRDefault="00521F9F" w:rsidP="007D1D79">
      <w:pPr>
        <w:spacing w:after="0"/>
        <w:ind w:firstLine="720"/>
        <w:rPr>
          <w:rFonts w:ascii="Times New Roman" w:hAnsi="Times New Roman"/>
          <w:sz w:val="24"/>
        </w:rPr>
      </w:pPr>
      <w:r w:rsidRPr="00B21BEF">
        <w:rPr>
          <w:rFonts w:ascii="Times New Roman" w:hAnsi="Times New Roman"/>
          <w:sz w:val="24"/>
        </w:rPr>
        <w:lastRenderedPageBreak/>
        <w:t>In each year of data collection, research team members conducted a three-part survey with representatives from each of the participating organizations. Using a semi-structured format, the first part of the survey sought to extract a detailed, open-ended description of the YVP activities and resources of each organization. The central open-ended question</w:t>
      </w:r>
      <w:r>
        <w:rPr>
          <w:rFonts w:ascii="Times New Roman" w:hAnsi="Times New Roman"/>
          <w:sz w:val="24"/>
        </w:rPr>
        <w:t xml:space="preserve"> </w:t>
      </w:r>
      <w:r w:rsidRPr="00B21BEF">
        <w:rPr>
          <w:rFonts w:ascii="Times New Roman" w:hAnsi="Times New Roman"/>
          <w:sz w:val="24"/>
        </w:rPr>
        <w:t>that was content analyzed for the first, descriptive analysis categorizing approaches to YVP and the extent of their adoption was based primarily on th</w:t>
      </w:r>
      <w:r w:rsidR="00315C7B">
        <w:rPr>
          <w:rFonts w:ascii="Times New Roman" w:hAnsi="Times New Roman"/>
          <w:sz w:val="24"/>
        </w:rPr>
        <w:t>e</w:t>
      </w:r>
      <w:r w:rsidRPr="00B21BEF">
        <w:rPr>
          <w:rFonts w:ascii="Times New Roman" w:hAnsi="Times New Roman"/>
          <w:sz w:val="24"/>
        </w:rPr>
        <w:t xml:space="preserve"> question: “Can you tell me, in as much detail as possible, how your organization is working on </w:t>
      </w:r>
      <w:r w:rsidR="00524F23">
        <w:rPr>
          <w:rFonts w:ascii="Times New Roman" w:hAnsi="Times New Roman"/>
          <w:sz w:val="24"/>
        </w:rPr>
        <w:t>y</w:t>
      </w:r>
      <w:r w:rsidR="00524F23" w:rsidRPr="00B21BEF">
        <w:rPr>
          <w:rFonts w:ascii="Times New Roman" w:hAnsi="Times New Roman"/>
          <w:sz w:val="24"/>
        </w:rPr>
        <w:t xml:space="preserve">outh </w:t>
      </w:r>
      <w:r w:rsidR="00524F23">
        <w:rPr>
          <w:rFonts w:ascii="Times New Roman" w:hAnsi="Times New Roman"/>
          <w:sz w:val="24"/>
        </w:rPr>
        <w:t>v</w:t>
      </w:r>
      <w:r w:rsidR="00524F23" w:rsidRPr="00B21BEF">
        <w:rPr>
          <w:rFonts w:ascii="Times New Roman" w:hAnsi="Times New Roman"/>
          <w:sz w:val="24"/>
        </w:rPr>
        <w:t xml:space="preserve">iolence in the community </w:t>
      </w:r>
      <w:r w:rsidRPr="00B21BEF">
        <w:rPr>
          <w:rFonts w:ascii="Times New Roman" w:hAnsi="Times New Roman"/>
          <w:sz w:val="24"/>
        </w:rPr>
        <w:t xml:space="preserve">and what you are currently doing?” Respondents were shown a figure listing and describing different YVP approaches, including organizing community or coalition events, sponsoring programs and activities, counseling, education re gangs, drugs, alcohol, and violence, mentoring, organizing supervised youth activities, positive youth development resiliency skills training, and advocacy for public policy change. </w:t>
      </w:r>
      <w:r>
        <w:rPr>
          <w:rFonts w:ascii="Times New Roman" w:hAnsi="Times New Roman"/>
          <w:sz w:val="24"/>
        </w:rPr>
        <w:t>The open-ended responses were coded by researchers as falling into one or more types of</w:t>
      </w:r>
      <w:r w:rsidR="00315C7B">
        <w:rPr>
          <w:rFonts w:ascii="Times New Roman" w:hAnsi="Times New Roman"/>
          <w:sz w:val="24"/>
        </w:rPr>
        <w:t xml:space="preserve"> YVP</w:t>
      </w:r>
      <w:r>
        <w:rPr>
          <w:rFonts w:ascii="Times New Roman" w:hAnsi="Times New Roman"/>
          <w:sz w:val="24"/>
        </w:rPr>
        <w:t xml:space="preserve"> strategies (see Table 2).</w:t>
      </w:r>
      <w:r w:rsidR="00BB5DC6">
        <w:rPr>
          <w:rFonts w:ascii="Times New Roman" w:hAnsi="Times New Roman"/>
          <w:sz w:val="24"/>
        </w:rPr>
        <w:t xml:space="preserve">  </w:t>
      </w:r>
      <w:r>
        <w:rPr>
          <w:rFonts w:ascii="Times New Roman" w:hAnsi="Times New Roman"/>
          <w:sz w:val="24"/>
        </w:rPr>
        <w:t xml:space="preserve">Part Two of the survey </w:t>
      </w:r>
      <w:r w:rsidR="003A46A0">
        <w:rPr>
          <w:rFonts w:ascii="Times New Roman" w:hAnsi="Times New Roman"/>
          <w:sz w:val="24"/>
        </w:rPr>
        <w:t>(</w:t>
      </w:r>
      <w:r>
        <w:rPr>
          <w:rFonts w:ascii="Times New Roman" w:hAnsi="Times New Roman"/>
          <w:sz w:val="24"/>
        </w:rPr>
        <w:t>Years 1, 3, 5</w:t>
      </w:r>
      <w:r w:rsidR="003A46A0">
        <w:rPr>
          <w:rFonts w:ascii="Times New Roman" w:hAnsi="Times New Roman"/>
          <w:sz w:val="24"/>
        </w:rPr>
        <w:t xml:space="preserve"> only)</w:t>
      </w:r>
      <w:r>
        <w:rPr>
          <w:rFonts w:ascii="Times New Roman" w:hAnsi="Times New Roman"/>
          <w:sz w:val="24"/>
        </w:rPr>
        <w:t xml:space="preserve"> contained eight items measuring the four dimensions </w:t>
      </w:r>
      <w:r w:rsidR="00BB5DC6">
        <w:rPr>
          <w:rFonts w:ascii="Times New Roman" w:hAnsi="Times New Roman"/>
          <w:sz w:val="24"/>
        </w:rPr>
        <w:t xml:space="preserve">(Strengths, Primary prevention, Empowerment, Community conditions change) </w:t>
      </w:r>
      <w:r>
        <w:rPr>
          <w:rFonts w:ascii="Times New Roman" w:hAnsi="Times New Roman"/>
          <w:sz w:val="24"/>
        </w:rPr>
        <w:t xml:space="preserve">of the organizations’ practices of YVP. All responses were scored on a five-point scale. </w:t>
      </w:r>
      <w:r w:rsidR="00BB5DC6">
        <w:rPr>
          <w:rFonts w:ascii="Times New Roman" w:hAnsi="Times New Roman"/>
          <w:sz w:val="24"/>
        </w:rPr>
        <w:t xml:space="preserve"> </w:t>
      </w:r>
      <w:r w:rsidRPr="00B21BEF">
        <w:rPr>
          <w:rFonts w:ascii="Times New Roman" w:hAnsi="Times New Roman"/>
          <w:sz w:val="24"/>
        </w:rPr>
        <w:t xml:space="preserve">The last part of the survey contains the organizational network questions. Respondents were shown the </w:t>
      </w:r>
      <w:r>
        <w:rPr>
          <w:rFonts w:ascii="Times New Roman" w:hAnsi="Times New Roman"/>
          <w:sz w:val="24"/>
        </w:rPr>
        <w:t xml:space="preserve">complete </w:t>
      </w:r>
      <w:r w:rsidRPr="00B21BEF">
        <w:rPr>
          <w:rFonts w:ascii="Times New Roman" w:hAnsi="Times New Roman"/>
          <w:sz w:val="24"/>
        </w:rPr>
        <w:t xml:space="preserve">list of organizations </w:t>
      </w:r>
      <w:r w:rsidR="00C863AB">
        <w:rPr>
          <w:rFonts w:ascii="Times New Roman" w:hAnsi="Times New Roman"/>
          <w:sz w:val="24"/>
        </w:rPr>
        <w:t xml:space="preserve">throughout the city </w:t>
      </w:r>
      <w:r w:rsidRPr="00B21BEF">
        <w:rPr>
          <w:rFonts w:ascii="Times New Roman" w:hAnsi="Times New Roman"/>
          <w:sz w:val="24"/>
        </w:rPr>
        <w:t xml:space="preserve">that participate in YVP work, and asked a series of questions about their organization’s collaborative relationship with each one over the previous twelve months. </w:t>
      </w:r>
    </w:p>
    <w:p w14:paraId="04355648" w14:textId="2590344E" w:rsidR="00521F9F" w:rsidRPr="00FF216B" w:rsidRDefault="00521F9F" w:rsidP="00EF5DC7">
      <w:pPr>
        <w:spacing w:after="0"/>
        <w:ind w:firstLine="720"/>
        <w:rPr>
          <w:rFonts w:ascii="Times New Roman" w:hAnsi="Times New Roman"/>
          <w:bCs/>
          <w:sz w:val="24"/>
        </w:rPr>
      </w:pPr>
      <w:r w:rsidRPr="00B21BEF">
        <w:rPr>
          <w:rFonts w:ascii="Times New Roman" w:hAnsi="Times New Roman"/>
          <w:bCs/>
          <w:i/>
          <w:sz w:val="24"/>
        </w:rPr>
        <w:t>Coalition Participation.</w:t>
      </w:r>
      <w:r>
        <w:rPr>
          <w:rFonts w:ascii="Times New Roman" w:hAnsi="Times New Roman"/>
          <w:bCs/>
          <w:i/>
          <w:sz w:val="24"/>
        </w:rPr>
        <w:t xml:space="preserve"> </w:t>
      </w:r>
      <w:r w:rsidRPr="00B21BEF">
        <w:rPr>
          <w:rFonts w:ascii="Times New Roman" w:hAnsi="Times New Roman"/>
          <w:bCs/>
          <w:sz w:val="24"/>
        </w:rPr>
        <w:t>Organizational participation in the coalition w</w:t>
      </w:r>
      <w:r>
        <w:rPr>
          <w:rFonts w:ascii="Times New Roman" w:hAnsi="Times New Roman"/>
          <w:bCs/>
          <w:sz w:val="24"/>
        </w:rPr>
        <w:t>as</w:t>
      </w:r>
      <w:r w:rsidRPr="00B21BEF">
        <w:rPr>
          <w:rFonts w:ascii="Times New Roman" w:hAnsi="Times New Roman"/>
          <w:bCs/>
          <w:sz w:val="24"/>
        </w:rPr>
        <w:t xml:space="preserve"> coded based on attendance sheets at official NCCYS events, including monthly coalition meetings, executive</w:t>
      </w:r>
      <w:r w:rsidRPr="00FF216B">
        <w:rPr>
          <w:rFonts w:ascii="Times New Roman" w:hAnsi="Times New Roman"/>
          <w:bCs/>
          <w:sz w:val="24"/>
        </w:rPr>
        <w:t xml:space="preserve"> committee meetings, strategic planning meetings, and workgroup meetings. T</w:t>
      </w:r>
      <w:r w:rsidRPr="00FF216B">
        <w:rPr>
          <w:rFonts w:ascii="Times New Roman" w:hAnsi="Times New Roman"/>
          <w:sz w:val="24"/>
        </w:rPr>
        <w:t xml:space="preserve">hose organizations </w:t>
      </w:r>
      <w:r w:rsidRPr="00FF216B">
        <w:rPr>
          <w:rFonts w:ascii="Times New Roman" w:hAnsi="Times New Roman"/>
          <w:sz w:val="24"/>
        </w:rPr>
        <w:lastRenderedPageBreak/>
        <w:t xml:space="preserve">that had representatives attending </w:t>
      </w:r>
      <w:r w:rsidRPr="00D673E8">
        <w:rPr>
          <w:rFonts w:ascii="Times New Roman" w:hAnsi="Times New Roman"/>
          <w:sz w:val="24"/>
          <w:u w:val="single"/>
        </w:rPr>
        <w:t>at least two</w:t>
      </w:r>
      <w:r w:rsidRPr="00FF216B">
        <w:rPr>
          <w:rFonts w:ascii="Times New Roman" w:hAnsi="Times New Roman"/>
          <w:sz w:val="24"/>
        </w:rPr>
        <w:t xml:space="preserve"> coalition </w:t>
      </w:r>
      <w:r>
        <w:rPr>
          <w:rFonts w:ascii="Times New Roman" w:hAnsi="Times New Roman"/>
          <w:sz w:val="24"/>
        </w:rPr>
        <w:t xml:space="preserve">general or committee </w:t>
      </w:r>
      <w:r w:rsidRPr="00FF216B">
        <w:rPr>
          <w:rFonts w:ascii="Times New Roman" w:hAnsi="Times New Roman"/>
          <w:sz w:val="24"/>
        </w:rPr>
        <w:t>meeting</w:t>
      </w:r>
      <w:r>
        <w:rPr>
          <w:rFonts w:ascii="Times New Roman" w:hAnsi="Times New Roman"/>
          <w:sz w:val="24"/>
        </w:rPr>
        <w:t>s</w:t>
      </w:r>
      <w:r w:rsidRPr="00FF216B">
        <w:rPr>
          <w:rFonts w:ascii="Times New Roman" w:hAnsi="Times New Roman"/>
          <w:sz w:val="24"/>
        </w:rPr>
        <w:t xml:space="preserve"> </w:t>
      </w:r>
      <w:r>
        <w:rPr>
          <w:rFonts w:ascii="Times New Roman" w:hAnsi="Times New Roman"/>
          <w:sz w:val="24"/>
        </w:rPr>
        <w:t xml:space="preserve">in the past 12 months </w:t>
      </w:r>
      <w:r w:rsidRPr="00FF216B">
        <w:rPr>
          <w:rFonts w:ascii="Times New Roman" w:hAnsi="Times New Roman"/>
          <w:sz w:val="24"/>
        </w:rPr>
        <w:t>were considered coalition participants, or members</w:t>
      </w:r>
      <w:r>
        <w:rPr>
          <w:rFonts w:ascii="Times New Roman" w:hAnsi="Times New Roman"/>
          <w:sz w:val="24"/>
        </w:rPr>
        <w:t>, for that year of the study</w:t>
      </w:r>
      <w:r w:rsidRPr="00FF216B">
        <w:rPr>
          <w:rFonts w:ascii="Times New Roman" w:hAnsi="Times New Roman"/>
          <w:sz w:val="24"/>
        </w:rPr>
        <w:t xml:space="preserve">. </w:t>
      </w:r>
    </w:p>
    <w:p w14:paraId="0D3BAC93" w14:textId="77777777" w:rsidR="00521F9F" w:rsidRDefault="00521F9F" w:rsidP="00BC5907">
      <w:pPr>
        <w:spacing w:after="0"/>
        <w:jc w:val="center"/>
        <w:rPr>
          <w:rFonts w:ascii="Times New Roman" w:hAnsi="Times New Roman"/>
          <w:b/>
          <w:sz w:val="24"/>
        </w:rPr>
      </w:pPr>
      <w:r w:rsidRPr="00B91441">
        <w:rPr>
          <w:rFonts w:ascii="Times New Roman" w:hAnsi="Times New Roman"/>
          <w:b/>
          <w:sz w:val="24"/>
        </w:rPr>
        <w:t>RESULTS</w:t>
      </w:r>
    </w:p>
    <w:p w14:paraId="45584185" w14:textId="77777777" w:rsidR="00521F9F" w:rsidRPr="005947B1" w:rsidRDefault="00521F9F">
      <w:pPr>
        <w:spacing w:after="0"/>
        <w:rPr>
          <w:rFonts w:ascii="Times New Roman" w:hAnsi="Times New Roman" w:cs="Calibri"/>
          <w:sz w:val="24"/>
          <w:szCs w:val="24"/>
          <w:u w:val="single"/>
        </w:rPr>
      </w:pPr>
      <w:r w:rsidRPr="005947B1">
        <w:rPr>
          <w:rFonts w:ascii="Times New Roman" w:hAnsi="Times New Roman" w:cs="Calibri"/>
          <w:sz w:val="24"/>
          <w:szCs w:val="24"/>
          <w:u w:val="single"/>
        </w:rPr>
        <w:t>Types of YVP Organizations</w:t>
      </w:r>
    </w:p>
    <w:p w14:paraId="65D6550B" w14:textId="7076DF5A" w:rsidR="00521F9F" w:rsidRDefault="00521F9F">
      <w:pPr>
        <w:spacing w:after="0"/>
        <w:ind w:firstLine="720"/>
        <w:rPr>
          <w:rFonts w:ascii="Times New Roman" w:hAnsi="Times New Roman" w:cs="Calibri"/>
          <w:sz w:val="24"/>
        </w:rPr>
      </w:pPr>
      <w:r>
        <w:rPr>
          <w:rFonts w:ascii="Times New Roman" w:hAnsi="Times New Roman" w:cs="Calibri"/>
          <w:sz w:val="24"/>
          <w:szCs w:val="24"/>
        </w:rPr>
        <w:t xml:space="preserve">Once </w:t>
      </w:r>
      <w:r w:rsidR="00003279">
        <w:rPr>
          <w:rFonts w:ascii="Times New Roman" w:hAnsi="Times New Roman" w:cs="Calibri"/>
          <w:sz w:val="24"/>
          <w:szCs w:val="24"/>
        </w:rPr>
        <w:t>all</w:t>
      </w:r>
      <w:r>
        <w:rPr>
          <w:rFonts w:ascii="Times New Roman" w:hAnsi="Times New Roman" w:cs="Calibri"/>
          <w:sz w:val="24"/>
          <w:szCs w:val="24"/>
        </w:rPr>
        <w:t xml:space="preserve"> local public and </w:t>
      </w:r>
      <w:r w:rsidR="009A42BB">
        <w:rPr>
          <w:rFonts w:ascii="Times New Roman" w:hAnsi="Times New Roman" w:cs="Calibri"/>
          <w:sz w:val="24"/>
          <w:szCs w:val="24"/>
        </w:rPr>
        <w:t>non-profit</w:t>
      </w:r>
      <w:r>
        <w:rPr>
          <w:rFonts w:ascii="Times New Roman" w:hAnsi="Times New Roman" w:cs="Calibri"/>
          <w:sz w:val="24"/>
          <w:szCs w:val="24"/>
        </w:rPr>
        <w:t xml:space="preserve"> organizations engaged in YVP </w:t>
      </w:r>
      <w:r w:rsidR="00003279">
        <w:rPr>
          <w:rFonts w:ascii="Times New Roman" w:hAnsi="Times New Roman" w:cs="Calibri"/>
          <w:sz w:val="24"/>
          <w:szCs w:val="24"/>
        </w:rPr>
        <w:t>were identified</w:t>
      </w:r>
      <w:r>
        <w:rPr>
          <w:rFonts w:ascii="Times New Roman" w:hAnsi="Times New Roman" w:cs="Calibri"/>
          <w:sz w:val="24"/>
          <w:szCs w:val="24"/>
        </w:rPr>
        <w:t>, they</w:t>
      </w:r>
      <w:r w:rsidRPr="00FD0BEB">
        <w:rPr>
          <w:rFonts w:ascii="Times New Roman" w:hAnsi="Times New Roman" w:cs="Calibri"/>
          <w:sz w:val="24"/>
          <w:szCs w:val="24"/>
        </w:rPr>
        <w:t xml:space="preserve"> were grouped into organization</w:t>
      </w:r>
      <w:r w:rsidR="00BF7737">
        <w:rPr>
          <w:rFonts w:ascii="Times New Roman" w:hAnsi="Times New Roman" w:cs="Calibri"/>
          <w:sz w:val="24"/>
          <w:szCs w:val="24"/>
        </w:rPr>
        <w:t xml:space="preserve"> type</w:t>
      </w:r>
      <w:r w:rsidRPr="00FD0BEB">
        <w:rPr>
          <w:rFonts w:ascii="Times New Roman" w:hAnsi="Times New Roman" w:cs="Calibri"/>
          <w:sz w:val="24"/>
          <w:szCs w:val="24"/>
        </w:rPr>
        <w:t>s according to their main focus of activity (e.g. education, health</w:t>
      </w:r>
      <w:r>
        <w:rPr>
          <w:rFonts w:ascii="Times New Roman" w:hAnsi="Times New Roman" w:cs="Calibri"/>
          <w:sz w:val="24"/>
          <w:szCs w:val="24"/>
        </w:rPr>
        <w:t>, human services),</w:t>
      </w:r>
      <w:r w:rsidRPr="00FD0BEB">
        <w:rPr>
          <w:rFonts w:ascii="Times New Roman" w:hAnsi="Times New Roman" w:cs="Calibri"/>
          <w:sz w:val="24"/>
          <w:szCs w:val="24"/>
        </w:rPr>
        <w:t xml:space="preserve"> </w:t>
      </w:r>
      <w:r>
        <w:rPr>
          <w:rFonts w:ascii="Times New Roman" w:hAnsi="Times New Roman" w:cs="Calibri"/>
          <w:sz w:val="24"/>
          <w:szCs w:val="24"/>
        </w:rPr>
        <w:t>sector</w:t>
      </w:r>
      <w:r w:rsidRPr="00FD0BEB">
        <w:rPr>
          <w:rFonts w:ascii="Times New Roman" w:hAnsi="Times New Roman" w:cs="Calibri"/>
          <w:sz w:val="24"/>
          <w:szCs w:val="24"/>
        </w:rPr>
        <w:t xml:space="preserve"> (</w:t>
      </w:r>
      <w:r w:rsidR="00E05F4C">
        <w:rPr>
          <w:rFonts w:ascii="Times New Roman" w:hAnsi="Times New Roman" w:cs="Calibri"/>
          <w:sz w:val="24"/>
          <w:szCs w:val="24"/>
        </w:rPr>
        <w:t>municipal administration</w:t>
      </w:r>
      <w:r w:rsidRPr="00FD0BEB">
        <w:rPr>
          <w:rFonts w:ascii="Times New Roman" w:hAnsi="Times New Roman" w:cs="Calibri"/>
          <w:sz w:val="24"/>
          <w:szCs w:val="24"/>
        </w:rPr>
        <w:t>, community</w:t>
      </w:r>
      <w:r>
        <w:rPr>
          <w:rFonts w:ascii="Times New Roman" w:hAnsi="Times New Roman" w:cs="Calibri"/>
          <w:sz w:val="24"/>
          <w:szCs w:val="24"/>
        </w:rPr>
        <w:t>-based secular non-profits, religious), or primary target population</w:t>
      </w:r>
      <w:r w:rsidRPr="00FD0BEB">
        <w:rPr>
          <w:rFonts w:ascii="Times New Roman" w:hAnsi="Times New Roman" w:cs="Calibri"/>
          <w:sz w:val="24"/>
          <w:szCs w:val="24"/>
        </w:rPr>
        <w:t xml:space="preserve"> </w:t>
      </w:r>
      <w:r>
        <w:rPr>
          <w:rFonts w:ascii="Times New Roman" w:hAnsi="Times New Roman" w:cs="Calibri"/>
          <w:sz w:val="24"/>
          <w:szCs w:val="24"/>
        </w:rPr>
        <w:t>(</w:t>
      </w:r>
      <w:r w:rsidRPr="00FD0BEB">
        <w:rPr>
          <w:rFonts w:ascii="Times New Roman" w:hAnsi="Times New Roman" w:cs="Calibri"/>
          <w:sz w:val="24"/>
          <w:szCs w:val="24"/>
        </w:rPr>
        <w:t>immigrant</w:t>
      </w:r>
      <w:r>
        <w:rPr>
          <w:rFonts w:ascii="Times New Roman" w:hAnsi="Times New Roman" w:cs="Calibri"/>
          <w:sz w:val="24"/>
          <w:szCs w:val="24"/>
        </w:rPr>
        <w:t>s,</w:t>
      </w:r>
      <w:r w:rsidRPr="00FD0BEB">
        <w:rPr>
          <w:rFonts w:ascii="Times New Roman" w:hAnsi="Times New Roman" w:cs="Calibri"/>
          <w:sz w:val="24"/>
          <w:szCs w:val="24"/>
        </w:rPr>
        <w:t xml:space="preserve"> </w:t>
      </w:r>
      <w:r>
        <w:rPr>
          <w:rFonts w:ascii="Times New Roman" w:hAnsi="Times New Roman" w:cs="Calibri"/>
          <w:sz w:val="24"/>
          <w:szCs w:val="24"/>
        </w:rPr>
        <w:t>youth</w:t>
      </w:r>
      <w:r w:rsidRPr="00FD0BEB">
        <w:rPr>
          <w:rFonts w:ascii="Times New Roman" w:hAnsi="Times New Roman" w:cs="Calibri"/>
          <w:sz w:val="24"/>
          <w:szCs w:val="24"/>
        </w:rPr>
        <w:t>)</w:t>
      </w:r>
      <w:r>
        <w:rPr>
          <w:rFonts w:ascii="Times New Roman" w:hAnsi="Times New Roman" w:cs="Calibri"/>
          <w:sz w:val="24"/>
          <w:szCs w:val="24"/>
        </w:rPr>
        <w:t>.</w:t>
      </w:r>
      <w:r w:rsidRPr="00FD0BEB">
        <w:rPr>
          <w:rFonts w:ascii="Times New Roman" w:hAnsi="Times New Roman" w:cs="Calibri"/>
          <w:sz w:val="24"/>
          <w:szCs w:val="24"/>
        </w:rPr>
        <w:t xml:space="preserve"> </w:t>
      </w:r>
      <w:r w:rsidR="0093180E">
        <w:rPr>
          <w:rFonts w:ascii="Times New Roman" w:hAnsi="Times New Roman" w:cs="Calibri"/>
          <w:sz w:val="24"/>
          <w:szCs w:val="24"/>
        </w:rPr>
        <w:t>S</w:t>
      </w:r>
      <w:r w:rsidRPr="00602186">
        <w:rPr>
          <w:rFonts w:ascii="Times New Roman" w:hAnsi="Times New Roman" w:cs="Calibri"/>
          <w:sz w:val="24"/>
          <w:szCs w:val="24"/>
        </w:rPr>
        <w:t xml:space="preserve">ome organizations could be placed into </w:t>
      </w:r>
      <w:r w:rsidR="0093180E">
        <w:rPr>
          <w:rFonts w:ascii="Times New Roman" w:hAnsi="Times New Roman" w:cs="Calibri"/>
          <w:sz w:val="24"/>
          <w:szCs w:val="24"/>
        </w:rPr>
        <w:t>multiple</w:t>
      </w:r>
      <w:r w:rsidRPr="00602186">
        <w:rPr>
          <w:rFonts w:ascii="Times New Roman" w:hAnsi="Times New Roman" w:cs="Calibri"/>
          <w:sz w:val="24"/>
          <w:szCs w:val="24"/>
        </w:rPr>
        <w:t xml:space="preserve"> categor</w:t>
      </w:r>
      <w:r w:rsidR="0093180E">
        <w:rPr>
          <w:rFonts w:ascii="Times New Roman" w:hAnsi="Times New Roman" w:cs="Calibri"/>
          <w:sz w:val="24"/>
          <w:szCs w:val="24"/>
        </w:rPr>
        <w:t>ies</w:t>
      </w:r>
      <w:r w:rsidRPr="00602186">
        <w:rPr>
          <w:rFonts w:ascii="Times New Roman" w:hAnsi="Times New Roman" w:cs="Calibri"/>
          <w:sz w:val="24"/>
          <w:szCs w:val="24"/>
        </w:rPr>
        <w:t>, but were</w:t>
      </w:r>
      <w:r>
        <w:rPr>
          <w:rFonts w:ascii="Times New Roman" w:hAnsi="Times New Roman" w:cs="Calibri"/>
          <w:sz w:val="24"/>
          <w:szCs w:val="24"/>
        </w:rPr>
        <w:t xml:space="preserve"> placed in the type that</w:t>
      </w:r>
      <w:r w:rsidRPr="00FD0BEB">
        <w:rPr>
          <w:rFonts w:ascii="Times New Roman" w:hAnsi="Times New Roman" w:cs="Calibri"/>
          <w:sz w:val="24"/>
          <w:szCs w:val="24"/>
        </w:rPr>
        <w:t xml:space="preserve"> </w:t>
      </w:r>
      <w:r>
        <w:rPr>
          <w:rFonts w:ascii="Times New Roman" w:hAnsi="Times New Roman" w:cs="Calibri"/>
          <w:sz w:val="24"/>
          <w:szCs w:val="24"/>
        </w:rPr>
        <w:t>best reflected their primary mission and work.</w:t>
      </w:r>
      <w:r w:rsidRPr="00FD0BEB">
        <w:rPr>
          <w:rFonts w:ascii="Times New Roman" w:hAnsi="Times New Roman" w:cs="Calibri"/>
          <w:sz w:val="24"/>
          <w:szCs w:val="24"/>
        </w:rPr>
        <w:t xml:space="preserve"> </w:t>
      </w:r>
      <w:r w:rsidR="00003279">
        <w:rPr>
          <w:rFonts w:ascii="Times New Roman" w:hAnsi="Times New Roman" w:cs="Calibri"/>
          <w:sz w:val="24"/>
          <w:szCs w:val="24"/>
        </w:rPr>
        <w:t>E</w:t>
      </w:r>
      <w:r w:rsidRPr="00FD0BEB">
        <w:rPr>
          <w:rFonts w:ascii="Times New Roman" w:hAnsi="Times New Roman" w:cs="Calibri"/>
          <w:sz w:val="24"/>
          <w:szCs w:val="24"/>
        </w:rPr>
        <w:t>ight major categories were used for analysis</w:t>
      </w:r>
      <w:r w:rsidR="00003279">
        <w:rPr>
          <w:rFonts w:ascii="Times New Roman" w:hAnsi="Times New Roman" w:cs="Calibri"/>
          <w:sz w:val="24"/>
          <w:szCs w:val="24"/>
        </w:rPr>
        <w:t xml:space="preserve"> (T</w:t>
      </w:r>
      <w:r w:rsidR="00003279" w:rsidRPr="00FD0BEB">
        <w:rPr>
          <w:rFonts w:ascii="Times New Roman" w:hAnsi="Times New Roman" w:cs="Calibri"/>
          <w:sz w:val="24"/>
          <w:szCs w:val="24"/>
        </w:rPr>
        <w:t>able</w:t>
      </w:r>
      <w:r w:rsidR="00003279">
        <w:rPr>
          <w:rFonts w:ascii="Times New Roman" w:hAnsi="Times New Roman" w:cs="Calibri"/>
          <w:sz w:val="24"/>
          <w:szCs w:val="24"/>
        </w:rPr>
        <w:t xml:space="preserve"> 1)</w:t>
      </w:r>
      <w:r w:rsidRPr="00FD0BEB">
        <w:rPr>
          <w:rFonts w:ascii="Times New Roman" w:hAnsi="Times New Roman" w:cs="Calibri"/>
          <w:sz w:val="24"/>
          <w:szCs w:val="24"/>
        </w:rPr>
        <w:t xml:space="preserve">. Youth organizations represent </w:t>
      </w:r>
      <w:r w:rsidR="00591EB0" w:rsidRPr="00FD0BEB">
        <w:rPr>
          <w:rFonts w:ascii="Times New Roman" w:hAnsi="Times New Roman" w:cs="Calibri"/>
          <w:sz w:val="24"/>
          <w:szCs w:val="24"/>
        </w:rPr>
        <w:t>private</w:t>
      </w:r>
      <w:r w:rsidR="00591EB0">
        <w:rPr>
          <w:rFonts w:ascii="Times New Roman" w:hAnsi="Times New Roman" w:cs="Calibri"/>
          <w:sz w:val="24"/>
          <w:szCs w:val="24"/>
        </w:rPr>
        <w:t>-</w:t>
      </w:r>
      <w:r w:rsidRPr="00FD0BEB">
        <w:rPr>
          <w:rFonts w:ascii="Times New Roman" w:hAnsi="Times New Roman" w:cs="Calibri"/>
          <w:sz w:val="24"/>
          <w:szCs w:val="24"/>
        </w:rPr>
        <w:t xml:space="preserve">non-profit </w:t>
      </w:r>
      <w:r w:rsidR="00B54C28">
        <w:rPr>
          <w:rFonts w:ascii="Times New Roman" w:hAnsi="Times New Roman" w:cs="Calibri"/>
          <w:sz w:val="24"/>
          <w:szCs w:val="24"/>
        </w:rPr>
        <w:t xml:space="preserve">and public </w:t>
      </w:r>
      <w:r w:rsidRPr="00FD0BEB">
        <w:rPr>
          <w:rFonts w:ascii="Times New Roman" w:hAnsi="Times New Roman" w:cs="Calibri"/>
          <w:sz w:val="24"/>
          <w:szCs w:val="24"/>
        </w:rPr>
        <w:t>organizations focusing primar</w:t>
      </w:r>
      <w:r>
        <w:rPr>
          <w:rFonts w:ascii="Times New Roman" w:hAnsi="Times New Roman" w:cs="Calibri"/>
          <w:sz w:val="24"/>
          <w:szCs w:val="24"/>
        </w:rPr>
        <w:t>il</w:t>
      </w:r>
      <w:r w:rsidRPr="00FD0BEB">
        <w:rPr>
          <w:rFonts w:ascii="Times New Roman" w:hAnsi="Times New Roman" w:cs="Calibri"/>
          <w:sz w:val="24"/>
          <w:szCs w:val="24"/>
        </w:rPr>
        <w:t>y on positive youth development, some run by youth. These organization</w:t>
      </w:r>
      <w:r>
        <w:rPr>
          <w:rFonts w:ascii="Times New Roman" w:hAnsi="Times New Roman" w:cs="Calibri"/>
          <w:sz w:val="24"/>
          <w:szCs w:val="24"/>
        </w:rPr>
        <w:t>s</w:t>
      </w:r>
      <w:r w:rsidRPr="00FD0BEB">
        <w:rPr>
          <w:rFonts w:ascii="Times New Roman" w:hAnsi="Times New Roman" w:cs="Calibri"/>
          <w:sz w:val="24"/>
          <w:szCs w:val="24"/>
        </w:rPr>
        <w:t xml:space="preserve"> engage in a broad array of activities from mentoring and counseling to providing opportunities for out-of-school activities. Human service organizations include charity, family counseling, and other more professionalized youth service organizations such as court counselors and advocates. Community</w:t>
      </w:r>
      <w:r>
        <w:rPr>
          <w:rFonts w:ascii="Times New Roman" w:hAnsi="Times New Roman" w:cs="Calibri"/>
          <w:sz w:val="24"/>
          <w:szCs w:val="24"/>
        </w:rPr>
        <w:t>-</w:t>
      </w:r>
      <w:r w:rsidRPr="00FD0BEB">
        <w:rPr>
          <w:rFonts w:ascii="Times New Roman" w:hAnsi="Times New Roman" w:cs="Calibri"/>
          <w:sz w:val="24"/>
          <w:szCs w:val="24"/>
        </w:rPr>
        <w:t>based organizations are neighborhood associations</w:t>
      </w:r>
      <w:r>
        <w:rPr>
          <w:rFonts w:ascii="Times New Roman" w:hAnsi="Times New Roman" w:cs="Calibri"/>
          <w:sz w:val="24"/>
          <w:szCs w:val="24"/>
        </w:rPr>
        <w:t>, family resource centers,</w:t>
      </w:r>
      <w:r w:rsidRPr="00FD0BEB">
        <w:rPr>
          <w:rFonts w:ascii="Times New Roman" w:hAnsi="Times New Roman" w:cs="Calibri"/>
          <w:sz w:val="24"/>
          <w:szCs w:val="24"/>
        </w:rPr>
        <w:t xml:space="preserve"> </w:t>
      </w:r>
      <w:r>
        <w:rPr>
          <w:rFonts w:ascii="Times New Roman" w:hAnsi="Times New Roman" w:cs="Calibri"/>
          <w:sz w:val="24"/>
          <w:szCs w:val="24"/>
        </w:rPr>
        <w:t xml:space="preserve">or other service nonprofits embedded in residential catchment areas and </w:t>
      </w:r>
      <w:r w:rsidRPr="00FD0BEB">
        <w:rPr>
          <w:rFonts w:ascii="Times New Roman" w:hAnsi="Times New Roman" w:cs="Calibri"/>
          <w:sz w:val="24"/>
          <w:szCs w:val="24"/>
        </w:rPr>
        <w:t>run by local citizen groups</w:t>
      </w:r>
      <w:r>
        <w:rPr>
          <w:rFonts w:ascii="Times New Roman" w:hAnsi="Times New Roman" w:cs="Calibri"/>
          <w:sz w:val="24"/>
          <w:szCs w:val="24"/>
        </w:rPr>
        <w:t xml:space="preserve"> with few if any paid staff</w:t>
      </w:r>
      <w:r w:rsidRPr="00FD0BEB">
        <w:rPr>
          <w:rFonts w:ascii="Times New Roman" w:hAnsi="Times New Roman" w:cs="Calibri"/>
          <w:sz w:val="24"/>
          <w:szCs w:val="24"/>
        </w:rPr>
        <w:t xml:space="preserve">. Educational institutions include </w:t>
      </w:r>
      <w:r>
        <w:rPr>
          <w:rFonts w:ascii="Times New Roman" w:hAnsi="Times New Roman" w:cs="Calibri"/>
          <w:sz w:val="24"/>
          <w:szCs w:val="24"/>
        </w:rPr>
        <w:t>public</w:t>
      </w:r>
      <w:r w:rsidRPr="00FD0BEB">
        <w:rPr>
          <w:rFonts w:ascii="Times New Roman" w:hAnsi="Times New Roman" w:cs="Calibri"/>
          <w:sz w:val="24"/>
          <w:szCs w:val="24"/>
        </w:rPr>
        <w:t xml:space="preserve"> </w:t>
      </w:r>
      <w:r>
        <w:rPr>
          <w:rFonts w:ascii="Times New Roman" w:hAnsi="Times New Roman" w:cs="Calibri"/>
          <w:sz w:val="24"/>
          <w:szCs w:val="24"/>
        </w:rPr>
        <w:t>middle and high school</w:t>
      </w:r>
      <w:r w:rsidR="00CB049D">
        <w:rPr>
          <w:rFonts w:ascii="Times New Roman" w:hAnsi="Times New Roman" w:cs="Calibri"/>
          <w:sz w:val="24"/>
          <w:szCs w:val="24"/>
        </w:rPr>
        <w:t>s</w:t>
      </w:r>
      <w:r w:rsidRPr="00FD0BEB">
        <w:rPr>
          <w:rFonts w:ascii="Times New Roman" w:hAnsi="Times New Roman" w:cs="Calibri"/>
          <w:sz w:val="24"/>
          <w:szCs w:val="24"/>
        </w:rPr>
        <w:t xml:space="preserve"> and</w:t>
      </w:r>
      <w:r>
        <w:rPr>
          <w:rFonts w:ascii="Times New Roman" w:hAnsi="Times New Roman" w:cs="Calibri"/>
          <w:sz w:val="24"/>
          <w:szCs w:val="24"/>
        </w:rPr>
        <w:t xml:space="preserve"> a few</w:t>
      </w:r>
      <w:r w:rsidRPr="00FD0BEB">
        <w:rPr>
          <w:rFonts w:ascii="Times New Roman" w:hAnsi="Times New Roman" w:cs="Calibri"/>
          <w:sz w:val="24"/>
          <w:szCs w:val="24"/>
        </w:rPr>
        <w:t xml:space="preserve"> </w:t>
      </w:r>
      <w:r w:rsidRPr="00FD0BEB">
        <w:rPr>
          <w:rFonts w:ascii="Times New Roman" w:hAnsi="Times New Roman"/>
          <w:sz w:val="24"/>
          <w:szCs w:val="24"/>
        </w:rPr>
        <w:t xml:space="preserve">informal learning institutions such as </w:t>
      </w:r>
      <w:r w:rsidR="000F5844">
        <w:rPr>
          <w:rFonts w:ascii="Times New Roman" w:hAnsi="Times New Roman"/>
          <w:sz w:val="24"/>
          <w:szCs w:val="24"/>
        </w:rPr>
        <w:t xml:space="preserve">the public library and </w:t>
      </w:r>
      <w:r w:rsidRPr="00FD0BEB">
        <w:rPr>
          <w:rFonts w:ascii="Times New Roman" w:hAnsi="Times New Roman"/>
          <w:sz w:val="24"/>
          <w:szCs w:val="24"/>
        </w:rPr>
        <w:t>non-profits focused on skill</w:t>
      </w:r>
      <w:r>
        <w:rPr>
          <w:rFonts w:ascii="Times New Roman" w:hAnsi="Times New Roman"/>
          <w:sz w:val="24"/>
          <w:szCs w:val="24"/>
        </w:rPr>
        <w:t>-</w:t>
      </w:r>
      <w:r w:rsidRPr="00FD0BEB">
        <w:rPr>
          <w:rFonts w:ascii="Times New Roman" w:hAnsi="Times New Roman"/>
          <w:sz w:val="24"/>
          <w:szCs w:val="24"/>
        </w:rPr>
        <w:t xml:space="preserve">building. </w:t>
      </w:r>
      <w:r w:rsidR="000F5844">
        <w:rPr>
          <w:rFonts w:ascii="Times New Roman" w:hAnsi="Times New Roman"/>
          <w:sz w:val="24"/>
          <w:szCs w:val="24"/>
        </w:rPr>
        <w:t xml:space="preserve">The municipal administration category </w:t>
      </w:r>
      <w:r w:rsidRPr="00FD0BEB">
        <w:rPr>
          <w:rFonts w:ascii="Times New Roman" w:hAnsi="Times New Roman"/>
          <w:sz w:val="24"/>
          <w:szCs w:val="24"/>
        </w:rPr>
        <w:t xml:space="preserve">consist mainly of the city </w:t>
      </w:r>
      <w:r w:rsidR="000F5844">
        <w:rPr>
          <w:rFonts w:ascii="Times New Roman" w:hAnsi="Times New Roman"/>
          <w:sz w:val="24"/>
          <w:szCs w:val="24"/>
        </w:rPr>
        <w:t>agencies that do not provide a specific service but manage YVP resources or decisions.</w:t>
      </w:r>
      <w:r w:rsidRPr="00FD0BEB">
        <w:rPr>
          <w:rFonts w:ascii="Times New Roman" w:hAnsi="Times New Roman"/>
          <w:sz w:val="24"/>
          <w:szCs w:val="24"/>
        </w:rPr>
        <w:t xml:space="preserve"> Health organizations are </w:t>
      </w:r>
      <w:r>
        <w:rPr>
          <w:rFonts w:ascii="Times New Roman" w:hAnsi="Times New Roman"/>
          <w:sz w:val="24"/>
          <w:szCs w:val="24"/>
        </w:rPr>
        <w:t>all private</w:t>
      </w:r>
      <w:r w:rsidR="000F5844">
        <w:rPr>
          <w:rFonts w:ascii="Times New Roman" w:hAnsi="Times New Roman"/>
          <w:sz w:val="24"/>
          <w:szCs w:val="24"/>
        </w:rPr>
        <w:t xml:space="preserve"> or public</w:t>
      </w:r>
      <w:r>
        <w:rPr>
          <w:rFonts w:ascii="Times New Roman" w:hAnsi="Times New Roman"/>
          <w:sz w:val="24"/>
          <w:szCs w:val="24"/>
        </w:rPr>
        <w:t xml:space="preserve"> </w:t>
      </w:r>
      <w:r w:rsidRPr="00FD0BEB">
        <w:rPr>
          <w:rFonts w:ascii="Times New Roman" w:hAnsi="Times New Roman"/>
          <w:sz w:val="24"/>
          <w:szCs w:val="24"/>
        </w:rPr>
        <w:t xml:space="preserve">non-profits that focus on health and mental health services and prevention. Immigrant organizations </w:t>
      </w:r>
      <w:r>
        <w:rPr>
          <w:rFonts w:ascii="Times New Roman" w:hAnsi="Times New Roman"/>
          <w:sz w:val="24"/>
          <w:szCs w:val="24"/>
        </w:rPr>
        <w:t>are nonprofit agencies serving</w:t>
      </w:r>
      <w:r w:rsidRPr="00FD0BEB">
        <w:rPr>
          <w:rFonts w:ascii="Times New Roman" w:hAnsi="Times New Roman"/>
          <w:sz w:val="24"/>
          <w:szCs w:val="24"/>
        </w:rPr>
        <w:t xml:space="preserve"> </w:t>
      </w:r>
      <w:r w:rsidR="00CB049D">
        <w:rPr>
          <w:rFonts w:ascii="Times New Roman" w:hAnsi="Times New Roman"/>
          <w:sz w:val="24"/>
          <w:szCs w:val="24"/>
        </w:rPr>
        <w:t>local</w:t>
      </w:r>
      <w:r w:rsidRPr="00FD0BEB">
        <w:rPr>
          <w:rFonts w:ascii="Times New Roman" w:hAnsi="Times New Roman"/>
          <w:sz w:val="24"/>
          <w:szCs w:val="24"/>
        </w:rPr>
        <w:t xml:space="preserve"> immigrant communities </w:t>
      </w:r>
      <w:r>
        <w:rPr>
          <w:rFonts w:ascii="Times New Roman" w:hAnsi="Times New Roman"/>
          <w:sz w:val="24"/>
          <w:szCs w:val="24"/>
        </w:rPr>
        <w:t>with a variety of programs</w:t>
      </w:r>
      <w:r w:rsidRPr="00FD0BEB">
        <w:rPr>
          <w:rFonts w:ascii="Times New Roman" w:hAnsi="Times New Roman"/>
          <w:sz w:val="24"/>
          <w:szCs w:val="24"/>
        </w:rPr>
        <w:t>.</w:t>
      </w:r>
    </w:p>
    <w:p w14:paraId="6A897D02" w14:textId="77777777" w:rsidR="00521F9F" w:rsidRPr="00723336" w:rsidRDefault="00521F9F" w:rsidP="00C35FBF">
      <w:pPr>
        <w:spacing w:after="0"/>
        <w:jc w:val="center"/>
        <w:rPr>
          <w:rFonts w:ascii="Times New Roman" w:hAnsi="Times New Roman"/>
          <w:sz w:val="24"/>
        </w:rPr>
      </w:pPr>
      <w:r w:rsidRPr="00723336">
        <w:rPr>
          <w:rFonts w:ascii="Times New Roman" w:hAnsi="Times New Roman"/>
          <w:sz w:val="24"/>
        </w:rPr>
        <w:lastRenderedPageBreak/>
        <w:t>[INSERT TABLE 1 ABOUT HERE]</w:t>
      </w:r>
    </w:p>
    <w:p w14:paraId="766A2460" w14:textId="253288C7" w:rsidR="006E66FC" w:rsidRPr="00FD0BEB" w:rsidRDefault="009A42BB" w:rsidP="006E66FC">
      <w:pPr>
        <w:spacing w:after="0"/>
        <w:ind w:firstLine="720"/>
        <w:rPr>
          <w:rFonts w:ascii="Times New Roman" w:hAnsi="Times New Roman" w:cs="Calibri"/>
          <w:sz w:val="24"/>
          <w:szCs w:val="24"/>
        </w:rPr>
      </w:pPr>
      <w:r>
        <w:rPr>
          <w:rFonts w:ascii="Times New Roman" w:hAnsi="Times New Roman"/>
          <w:sz w:val="24"/>
          <w:szCs w:val="24"/>
        </w:rPr>
        <w:t>Coalition p</w:t>
      </w:r>
      <w:r w:rsidR="006E66FC" w:rsidRPr="00723336">
        <w:rPr>
          <w:rFonts w:ascii="Times New Roman" w:hAnsi="Times New Roman"/>
          <w:sz w:val="24"/>
          <w:szCs w:val="24"/>
        </w:rPr>
        <w:t xml:space="preserve">articipation was more likely for certain categories of organization. </w:t>
      </w:r>
      <w:r w:rsidR="00723336" w:rsidRPr="00723336">
        <w:rPr>
          <w:rFonts w:ascii="Times New Roman" w:hAnsi="Times New Roman"/>
          <w:sz w:val="24"/>
          <w:szCs w:val="24"/>
        </w:rPr>
        <w:t>H</w:t>
      </w:r>
      <w:r w:rsidR="006E66FC" w:rsidRPr="00723336">
        <w:rPr>
          <w:rFonts w:ascii="Times New Roman" w:hAnsi="Times New Roman"/>
          <w:sz w:val="24"/>
          <w:szCs w:val="24"/>
        </w:rPr>
        <w:t>uman service, youth, education and community-based</w:t>
      </w:r>
      <w:r w:rsidR="00723336" w:rsidRPr="00723336">
        <w:rPr>
          <w:rFonts w:ascii="Times New Roman" w:hAnsi="Times New Roman"/>
          <w:sz w:val="24"/>
          <w:szCs w:val="24"/>
        </w:rPr>
        <w:t xml:space="preserve"> organizations</w:t>
      </w:r>
      <w:r w:rsidR="006E66FC" w:rsidRPr="00723336">
        <w:rPr>
          <w:rFonts w:ascii="Times New Roman" w:hAnsi="Times New Roman"/>
          <w:sz w:val="24"/>
          <w:szCs w:val="24"/>
        </w:rPr>
        <w:t xml:space="preserve"> predominated the coalition</w:t>
      </w:r>
      <w:r w:rsidR="006E66FC" w:rsidRPr="00FD0BEB">
        <w:rPr>
          <w:rFonts w:ascii="Times New Roman" w:hAnsi="Times New Roman"/>
          <w:sz w:val="24"/>
          <w:szCs w:val="24"/>
        </w:rPr>
        <w:t>. The</w:t>
      </w:r>
      <w:r w:rsidR="006E66FC">
        <w:rPr>
          <w:rFonts w:ascii="Times New Roman" w:hAnsi="Times New Roman"/>
          <w:sz w:val="24"/>
          <w:szCs w:val="24"/>
        </w:rPr>
        <w:t xml:space="preserve"> composition suggests</w:t>
      </w:r>
      <w:r w:rsidR="006E66FC" w:rsidRPr="00FD0BEB">
        <w:rPr>
          <w:rFonts w:ascii="Times New Roman" w:hAnsi="Times New Roman"/>
          <w:sz w:val="24"/>
          <w:szCs w:val="24"/>
        </w:rPr>
        <w:t xml:space="preserve"> that the impetus for the coalition came from professionalized youth services and government agencies. Remarkable </w:t>
      </w:r>
      <w:r w:rsidR="006E66FC">
        <w:rPr>
          <w:rFonts w:ascii="Times New Roman" w:hAnsi="Times New Roman"/>
          <w:sz w:val="24"/>
          <w:szCs w:val="24"/>
        </w:rPr>
        <w:t xml:space="preserve">was </w:t>
      </w:r>
      <w:r w:rsidR="006E66FC" w:rsidRPr="00FD0BEB">
        <w:rPr>
          <w:rFonts w:ascii="Times New Roman" w:hAnsi="Times New Roman"/>
          <w:sz w:val="24"/>
          <w:szCs w:val="24"/>
        </w:rPr>
        <w:t xml:space="preserve">the absence of immigrant organizations and churches. The composition of the coalition reveals its inability, at least </w:t>
      </w:r>
      <w:r w:rsidR="006E66FC">
        <w:rPr>
          <w:rFonts w:ascii="Times New Roman" w:hAnsi="Times New Roman"/>
          <w:sz w:val="24"/>
          <w:szCs w:val="24"/>
        </w:rPr>
        <w:t>i</w:t>
      </w:r>
      <w:r w:rsidR="006E66FC" w:rsidRPr="00FD0BEB">
        <w:rPr>
          <w:rFonts w:ascii="Times New Roman" w:hAnsi="Times New Roman"/>
          <w:sz w:val="24"/>
          <w:szCs w:val="24"/>
        </w:rPr>
        <w:t>n its inception, to draw support from and include civil, grassroots and youth-driven organizations.</w:t>
      </w:r>
    </w:p>
    <w:p w14:paraId="4D4519C9" w14:textId="77777777" w:rsidR="00521F9F" w:rsidRPr="005947B1" w:rsidRDefault="00521F9F" w:rsidP="00860112">
      <w:pPr>
        <w:spacing w:after="0"/>
        <w:rPr>
          <w:rFonts w:ascii="Times New Roman" w:hAnsi="Times New Roman"/>
          <w:sz w:val="24"/>
          <w:u w:val="single"/>
        </w:rPr>
      </w:pPr>
      <w:r w:rsidRPr="005947B1">
        <w:rPr>
          <w:rFonts w:ascii="Times New Roman" w:hAnsi="Times New Roman"/>
          <w:sz w:val="24"/>
          <w:u w:val="single"/>
        </w:rPr>
        <w:t>YVP Approaches Adopted</w:t>
      </w:r>
    </w:p>
    <w:p w14:paraId="6EFB1C04" w14:textId="24C0E99C" w:rsidR="00521F9F" w:rsidRPr="00FD0BEB" w:rsidRDefault="00521F9F" w:rsidP="000C1D8A">
      <w:pPr>
        <w:spacing w:after="0"/>
        <w:ind w:firstLine="720"/>
        <w:rPr>
          <w:rFonts w:ascii="Times New Roman" w:hAnsi="Times New Roman"/>
          <w:sz w:val="24"/>
        </w:rPr>
      </w:pPr>
      <w:r w:rsidRPr="00FD0BEB">
        <w:rPr>
          <w:rFonts w:ascii="Times New Roman" w:hAnsi="Times New Roman"/>
          <w:sz w:val="24"/>
        </w:rPr>
        <w:t xml:space="preserve">As shown in Table 2, the vast majority of organizations in our sample were engaged </w:t>
      </w:r>
      <w:r>
        <w:rPr>
          <w:rFonts w:ascii="Times New Roman" w:hAnsi="Times New Roman"/>
          <w:sz w:val="24"/>
        </w:rPr>
        <w:t xml:space="preserve">over </w:t>
      </w:r>
      <w:r w:rsidRPr="00602186">
        <w:rPr>
          <w:rFonts w:ascii="Times New Roman" w:hAnsi="Times New Roman"/>
          <w:sz w:val="24"/>
        </w:rPr>
        <w:t>Years 1, 3, and 5 of the study in various individual and group youth behavior, knowledge and skills development-focused prevention/promotion interventions. These included positive youth development training of resiliency skills and pro</w:t>
      </w:r>
      <w:r>
        <w:rPr>
          <w:rFonts w:ascii="Times New Roman" w:hAnsi="Times New Roman"/>
          <w:sz w:val="24"/>
        </w:rPr>
        <w:t>-</w:t>
      </w:r>
      <w:r w:rsidRPr="00602186">
        <w:rPr>
          <w:rFonts w:ascii="Times New Roman" w:hAnsi="Times New Roman"/>
          <w:sz w:val="24"/>
        </w:rPr>
        <w:t>social behaviors, mentoring to provide positive role models, educating youth and/or their families about the dangers of gangs, drugs, alcohol and violence, and counseling at-risk youth or those affected by violence</w:t>
      </w:r>
      <w:r w:rsidR="00895FFE">
        <w:rPr>
          <w:rFonts w:ascii="Times New Roman" w:hAnsi="Times New Roman"/>
          <w:sz w:val="24"/>
        </w:rPr>
        <w:t>.</w:t>
      </w:r>
      <w:r w:rsidRPr="00602186">
        <w:rPr>
          <w:rFonts w:ascii="Times New Roman" w:hAnsi="Times New Roman"/>
          <w:sz w:val="24"/>
        </w:rPr>
        <w:t xml:space="preserve"> </w:t>
      </w:r>
      <w:r w:rsidR="00895FFE">
        <w:rPr>
          <w:rFonts w:ascii="Times New Roman" w:hAnsi="Times New Roman"/>
          <w:sz w:val="24"/>
        </w:rPr>
        <w:t xml:space="preserve">The number of organizations engaged in </w:t>
      </w:r>
      <w:r w:rsidRPr="00602186">
        <w:rPr>
          <w:rFonts w:ascii="Times New Roman" w:hAnsi="Times New Roman"/>
          <w:sz w:val="24"/>
        </w:rPr>
        <w:t xml:space="preserve">each of </w:t>
      </w:r>
      <w:r w:rsidR="00895FFE">
        <w:rPr>
          <w:rFonts w:ascii="Times New Roman" w:hAnsi="Times New Roman"/>
          <w:sz w:val="24"/>
        </w:rPr>
        <w:t xml:space="preserve">those approaches </w:t>
      </w:r>
      <w:r w:rsidRPr="00602186">
        <w:rPr>
          <w:rFonts w:ascii="Times New Roman" w:hAnsi="Times New Roman"/>
          <w:sz w:val="24"/>
        </w:rPr>
        <w:t xml:space="preserve">increased substantially </w:t>
      </w:r>
      <w:r w:rsidR="00507E41">
        <w:rPr>
          <w:rFonts w:ascii="Times New Roman" w:hAnsi="Times New Roman"/>
          <w:sz w:val="24"/>
        </w:rPr>
        <w:t>over the five y</w:t>
      </w:r>
      <w:r w:rsidRPr="00602186">
        <w:rPr>
          <w:rFonts w:ascii="Times New Roman" w:hAnsi="Times New Roman"/>
          <w:sz w:val="24"/>
        </w:rPr>
        <w:t>ear</w:t>
      </w:r>
      <w:r w:rsidR="00507E41">
        <w:rPr>
          <w:rFonts w:ascii="Times New Roman" w:hAnsi="Times New Roman"/>
          <w:sz w:val="24"/>
        </w:rPr>
        <w:t>s</w:t>
      </w:r>
      <w:r w:rsidRPr="00602186">
        <w:rPr>
          <w:rFonts w:ascii="Times New Roman" w:hAnsi="Times New Roman"/>
          <w:sz w:val="24"/>
        </w:rPr>
        <w:t>. A second major category of intervention-- providing positive, adult-supervised activities and environments for youth—also increased from under a third to two thirds of the organizations. A third type of intervention-- collaborative approaches or working, or cosponsoring, with other organizations on YVP programs and events (e.g., picnic, rally, summit conference, etc.) increased slightly from less than a third in Year 1 to</w:t>
      </w:r>
      <w:r w:rsidRPr="00FD0BEB">
        <w:rPr>
          <w:rFonts w:ascii="Times New Roman" w:hAnsi="Times New Roman"/>
          <w:sz w:val="24"/>
        </w:rPr>
        <w:t xml:space="preserve"> half</w:t>
      </w:r>
      <w:r>
        <w:rPr>
          <w:rFonts w:ascii="Times New Roman" w:hAnsi="Times New Roman"/>
          <w:sz w:val="24"/>
        </w:rPr>
        <w:t xml:space="preserve"> doing one or both of those</w:t>
      </w:r>
      <w:r w:rsidRPr="00FD0BEB">
        <w:rPr>
          <w:rFonts w:ascii="Times New Roman" w:hAnsi="Times New Roman"/>
          <w:sz w:val="24"/>
        </w:rPr>
        <w:t xml:space="preserve"> in Year 5, with the greatest increase (from 3% to 30%) in sponsoring programs.</w:t>
      </w:r>
    </w:p>
    <w:p w14:paraId="326ECA27" w14:textId="77777777" w:rsidR="00521F9F" w:rsidRPr="00FD0BEB" w:rsidRDefault="00521F9F" w:rsidP="00F15585">
      <w:pPr>
        <w:spacing w:after="0"/>
        <w:jc w:val="center"/>
        <w:rPr>
          <w:rFonts w:ascii="Times New Roman" w:hAnsi="Times New Roman"/>
          <w:strike/>
          <w:sz w:val="24"/>
          <w:u w:val="single"/>
        </w:rPr>
      </w:pPr>
      <w:r w:rsidRPr="00FD0BEB">
        <w:rPr>
          <w:rFonts w:ascii="Times New Roman" w:hAnsi="Times New Roman"/>
          <w:sz w:val="24"/>
        </w:rPr>
        <w:t>[INSERT TABLE 2 ABOUT HERE]</w:t>
      </w:r>
    </w:p>
    <w:p w14:paraId="5F4E0804" w14:textId="41138C10" w:rsidR="00521F9F" w:rsidRPr="00FD0BEB" w:rsidRDefault="00521F9F" w:rsidP="00F07098">
      <w:pPr>
        <w:spacing w:after="0"/>
        <w:ind w:firstLine="720"/>
        <w:rPr>
          <w:rFonts w:ascii="Times New Roman" w:hAnsi="Times New Roman"/>
          <w:sz w:val="24"/>
        </w:rPr>
      </w:pPr>
      <w:r w:rsidRPr="00FD0BEB">
        <w:rPr>
          <w:rFonts w:ascii="Times New Roman" w:hAnsi="Times New Roman"/>
          <w:sz w:val="24"/>
        </w:rPr>
        <w:lastRenderedPageBreak/>
        <w:t xml:space="preserve">In contrast, the final category of YVP intervention strategies – engaging in organizational </w:t>
      </w:r>
      <w:r w:rsidRPr="00E07CF2">
        <w:rPr>
          <w:rFonts w:ascii="Times New Roman" w:hAnsi="Times New Roman"/>
          <w:sz w:val="24"/>
        </w:rPr>
        <w:t>level advocacy</w:t>
      </w:r>
      <w:r w:rsidRPr="00FD0BEB">
        <w:rPr>
          <w:rFonts w:ascii="Times New Roman" w:hAnsi="Times New Roman"/>
          <w:sz w:val="24"/>
        </w:rPr>
        <w:t xml:space="preserve"> </w:t>
      </w:r>
      <w:r>
        <w:rPr>
          <w:rFonts w:ascii="Times New Roman" w:hAnsi="Times New Roman"/>
          <w:sz w:val="24"/>
        </w:rPr>
        <w:t xml:space="preserve">either to </w:t>
      </w:r>
      <w:r w:rsidRPr="00FD0BEB">
        <w:rPr>
          <w:rFonts w:ascii="Times New Roman" w:hAnsi="Times New Roman"/>
          <w:sz w:val="24"/>
        </w:rPr>
        <w:t>influence some youth violence-relevant government policy (e.g. advocating for a change in schools, policing, etc.)</w:t>
      </w:r>
      <w:r>
        <w:rPr>
          <w:rFonts w:ascii="Times New Roman" w:hAnsi="Times New Roman"/>
          <w:sz w:val="24"/>
        </w:rPr>
        <w:t xml:space="preserve"> or even to advocate on behalf of particular youths in school, justice or other systems</w:t>
      </w:r>
      <w:r w:rsidRPr="00FD0BEB">
        <w:rPr>
          <w:rFonts w:ascii="Times New Roman" w:hAnsi="Times New Roman"/>
          <w:sz w:val="24"/>
        </w:rPr>
        <w:t>—was not adopted by most organizations in our sample</w:t>
      </w:r>
      <w:r w:rsidR="006E66FC" w:rsidRPr="006E66FC">
        <w:rPr>
          <w:rFonts w:ascii="Times New Roman" w:hAnsi="Times New Roman"/>
          <w:sz w:val="24"/>
        </w:rPr>
        <w:t xml:space="preserve"> </w:t>
      </w:r>
      <w:r w:rsidR="006E66FC">
        <w:rPr>
          <w:rFonts w:ascii="Times New Roman" w:hAnsi="Times New Roman"/>
          <w:sz w:val="24"/>
        </w:rPr>
        <w:t>and remained very small  throughout the coalition work</w:t>
      </w:r>
      <w:r w:rsidRPr="00FD0BEB">
        <w:rPr>
          <w:rFonts w:ascii="Times New Roman" w:hAnsi="Times New Roman"/>
          <w:sz w:val="24"/>
        </w:rPr>
        <w:t>.</w:t>
      </w:r>
    </w:p>
    <w:p w14:paraId="4F967717" w14:textId="3B31ECA6" w:rsidR="00521F9F" w:rsidRPr="00FD0BEB" w:rsidRDefault="00521F9F">
      <w:pPr>
        <w:spacing w:after="0"/>
        <w:ind w:firstLine="720"/>
        <w:rPr>
          <w:rFonts w:ascii="Times New Roman" w:hAnsi="Times New Roman" w:cs="Calibri"/>
          <w:sz w:val="24"/>
        </w:rPr>
      </w:pPr>
      <w:r w:rsidRPr="005947B1">
        <w:rPr>
          <w:rFonts w:ascii="Times New Roman" w:hAnsi="Times New Roman" w:cs="Calibri"/>
          <w:i/>
          <w:sz w:val="24"/>
        </w:rPr>
        <w:t>Youth development</w:t>
      </w:r>
      <w:r w:rsidRPr="00FD0BEB">
        <w:rPr>
          <w:rFonts w:ascii="Times New Roman" w:hAnsi="Times New Roman" w:cs="Calibri"/>
          <w:sz w:val="24"/>
        </w:rPr>
        <w:t xml:space="preserve"> work was one of the most </w:t>
      </w:r>
      <w:r w:rsidR="00907899">
        <w:rPr>
          <w:rFonts w:ascii="Times New Roman" w:hAnsi="Times New Roman" w:cs="Calibri"/>
          <w:sz w:val="24"/>
        </w:rPr>
        <w:t>common</w:t>
      </w:r>
      <w:r w:rsidRPr="00FD0BEB">
        <w:rPr>
          <w:rFonts w:ascii="Times New Roman" w:hAnsi="Times New Roman" w:cs="Calibri"/>
          <w:sz w:val="24"/>
        </w:rPr>
        <w:t xml:space="preserve"> strategies by </w:t>
      </w:r>
      <w:r w:rsidR="00907899">
        <w:rPr>
          <w:rFonts w:ascii="Times New Roman" w:hAnsi="Times New Roman" w:cs="Calibri"/>
          <w:sz w:val="24"/>
        </w:rPr>
        <w:t>coalition</w:t>
      </w:r>
      <w:r w:rsidRPr="00FD0BEB">
        <w:rPr>
          <w:rFonts w:ascii="Times New Roman" w:hAnsi="Times New Roman" w:cs="Calibri"/>
          <w:sz w:val="24"/>
        </w:rPr>
        <w:t xml:space="preserve"> participants and non-participants. </w:t>
      </w:r>
      <w:r w:rsidR="00907899">
        <w:rPr>
          <w:rFonts w:ascii="Times New Roman" w:hAnsi="Times New Roman" w:cs="Calibri"/>
          <w:sz w:val="24"/>
        </w:rPr>
        <w:t>T</w:t>
      </w:r>
      <w:r w:rsidRPr="00FD0BEB">
        <w:rPr>
          <w:rFonts w:ascii="Times New Roman" w:hAnsi="Times New Roman" w:cs="Calibri"/>
          <w:sz w:val="24"/>
        </w:rPr>
        <w:t xml:space="preserve">he proportion of organizations adopting youth development strategies increased from under half to three-fourths from </w:t>
      </w:r>
      <w:r w:rsidR="00907899">
        <w:rPr>
          <w:rFonts w:ascii="Times New Roman" w:hAnsi="Times New Roman" w:cs="Calibri"/>
          <w:sz w:val="24"/>
        </w:rPr>
        <w:t>Y</w:t>
      </w:r>
      <w:r w:rsidRPr="00FD0BEB">
        <w:rPr>
          <w:rFonts w:ascii="Times New Roman" w:hAnsi="Times New Roman" w:cs="Calibri"/>
          <w:sz w:val="24"/>
        </w:rPr>
        <w:t xml:space="preserve">ear 1 to </w:t>
      </w:r>
      <w:r w:rsidR="00907899">
        <w:rPr>
          <w:rFonts w:ascii="Times New Roman" w:hAnsi="Times New Roman" w:cs="Calibri"/>
          <w:sz w:val="24"/>
        </w:rPr>
        <w:t>Y</w:t>
      </w:r>
      <w:r w:rsidRPr="00FD0BEB">
        <w:rPr>
          <w:rFonts w:ascii="Times New Roman" w:hAnsi="Times New Roman" w:cs="Calibri"/>
          <w:sz w:val="24"/>
        </w:rPr>
        <w:t xml:space="preserve">ear 5. There are diverse manifestations of this strategy. A middle school </w:t>
      </w:r>
      <w:r w:rsidR="00907899">
        <w:rPr>
          <w:rFonts w:ascii="Times New Roman" w:hAnsi="Times New Roman" w:cs="Calibri"/>
          <w:sz w:val="24"/>
        </w:rPr>
        <w:t>administrator</w:t>
      </w:r>
      <w:r>
        <w:rPr>
          <w:rFonts w:ascii="Times New Roman" w:hAnsi="Times New Roman" w:cs="Calibri"/>
          <w:sz w:val="24"/>
        </w:rPr>
        <w:t xml:space="preserve"> </w:t>
      </w:r>
      <w:r w:rsidRPr="00FD0BEB">
        <w:rPr>
          <w:rFonts w:ascii="Times New Roman" w:hAnsi="Times New Roman" w:cs="Calibri"/>
          <w:sz w:val="24"/>
        </w:rPr>
        <w:t>described it</w:t>
      </w:r>
      <w:r w:rsidR="00907899">
        <w:rPr>
          <w:rFonts w:ascii="Times New Roman" w:hAnsi="Times New Roman" w:cs="Calibri"/>
          <w:sz w:val="24"/>
        </w:rPr>
        <w:t xml:space="preserve"> as follows</w:t>
      </w:r>
      <w:r w:rsidRPr="00FD0BEB">
        <w:rPr>
          <w:rFonts w:ascii="Times New Roman" w:hAnsi="Times New Roman" w:cs="Calibri"/>
          <w:sz w:val="24"/>
        </w:rPr>
        <w:t>:</w:t>
      </w:r>
    </w:p>
    <w:p w14:paraId="5A638DF0" w14:textId="77777777" w:rsidR="00521F9F" w:rsidRPr="00FD0BEB" w:rsidRDefault="00521F9F">
      <w:pPr>
        <w:spacing w:after="0"/>
        <w:ind w:left="720"/>
        <w:rPr>
          <w:rFonts w:ascii="Times New Roman" w:hAnsi="Times New Roman" w:cs="Calibri"/>
          <w:sz w:val="24"/>
        </w:rPr>
      </w:pPr>
      <w:r w:rsidRPr="00FD0BEB">
        <w:rPr>
          <w:rFonts w:ascii="Times New Roman" w:hAnsi="Times New Roman" w:cs="Calibri"/>
          <w:sz w:val="24"/>
        </w:rPr>
        <w:t>“The first day we sat down with the grade levels and we individually talked to them about the expectations, asked them what they wanted to do in life, where they want to go. Talk about character education, and how what you do today can follow you the rest of your life, and now you may not think about it</w:t>
      </w:r>
      <w:r>
        <w:rPr>
          <w:rFonts w:ascii="Times New Roman" w:hAnsi="Times New Roman" w:cs="Calibri"/>
          <w:sz w:val="24"/>
        </w:rPr>
        <w:t>…B</w:t>
      </w:r>
      <w:r w:rsidRPr="00FD0BEB">
        <w:rPr>
          <w:rFonts w:ascii="Times New Roman" w:hAnsi="Times New Roman" w:cs="Calibri"/>
          <w:sz w:val="24"/>
        </w:rPr>
        <w:t>ut think about the university you might possibly want to attend, and if you don’t want to go to college, that job that you really want to get</w:t>
      </w:r>
      <w:r>
        <w:rPr>
          <w:rFonts w:ascii="Times New Roman" w:hAnsi="Times New Roman" w:cs="Calibri"/>
          <w:sz w:val="24"/>
        </w:rPr>
        <w:t>--</w:t>
      </w:r>
      <w:r w:rsidRPr="00FD0BEB">
        <w:rPr>
          <w:rFonts w:ascii="Times New Roman" w:hAnsi="Times New Roman" w:cs="Calibri"/>
          <w:sz w:val="24"/>
        </w:rPr>
        <w:t xml:space="preserve"> your character can cause you to not make it. So we talk about pride, respect, morals, this is their school, what do they want…”</w:t>
      </w:r>
    </w:p>
    <w:p w14:paraId="38490F33" w14:textId="77777777" w:rsidR="00521F9F" w:rsidRPr="00FD0BEB" w:rsidRDefault="00521F9F">
      <w:pPr>
        <w:spacing w:after="0"/>
        <w:rPr>
          <w:rFonts w:ascii="Times New Roman" w:hAnsi="Times New Roman" w:cs="Calibri"/>
          <w:sz w:val="24"/>
        </w:rPr>
      </w:pPr>
      <w:r w:rsidRPr="00FD0BEB">
        <w:rPr>
          <w:rFonts w:ascii="Times New Roman" w:hAnsi="Times New Roman" w:cs="Calibri"/>
          <w:sz w:val="24"/>
        </w:rPr>
        <w:t>A community based service organization had a more empowering approach:</w:t>
      </w:r>
    </w:p>
    <w:p w14:paraId="65D8D74A" w14:textId="444A5126" w:rsidR="00521F9F" w:rsidRPr="00FD0BEB" w:rsidRDefault="00521F9F">
      <w:pPr>
        <w:spacing w:after="0"/>
        <w:ind w:left="720"/>
        <w:rPr>
          <w:rFonts w:ascii="Times New Roman" w:hAnsi="Times New Roman" w:cs="Calibri"/>
          <w:sz w:val="24"/>
        </w:rPr>
      </w:pPr>
      <w:r w:rsidRPr="00FD0BEB">
        <w:rPr>
          <w:rFonts w:ascii="Times New Roman" w:hAnsi="Times New Roman" w:cs="Calibri"/>
          <w:sz w:val="24"/>
        </w:rPr>
        <w:t>“Our youth are getting more opportunities to do their own community organizing.  This summer, their whole camp experience, we just sent them on a whole-day camp</w:t>
      </w:r>
      <w:r w:rsidR="00DE2F64">
        <w:rPr>
          <w:rFonts w:ascii="Times New Roman" w:hAnsi="Times New Roman" w:cs="Calibri"/>
          <w:sz w:val="24"/>
        </w:rPr>
        <w:t>…</w:t>
      </w:r>
      <w:r w:rsidRPr="00FD0BEB">
        <w:rPr>
          <w:rFonts w:ascii="Times New Roman" w:hAnsi="Times New Roman" w:cs="Calibri"/>
          <w:sz w:val="24"/>
        </w:rPr>
        <w:t>about being a citizen in your own backyard, using the resources</w:t>
      </w:r>
      <w:r w:rsidR="00DE2F64">
        <w:rPr>
          <w:rFonts w:ascii="Times New Roman" w:hAnsi="Times New Roman" w:cs="Calibri"/>
          <w:sz w:val="24"/>
        </w:rPr>
        <w:t>…</w:t>
      </w:r>
      <w:r w:rsidRPr="00FD0BEB">
        <w:rPr>
          <w:rFonts w:ascii="Times New Roman" w:hAnsi="Times New Roman" w:cs="Calibri"/>
          <w:sz w:val="24"/>
        </w:rPr>
        <w:t>available to you, learning to use</w:t>
      </w:r>
      <w:r w:rsidR="00DE2F64">
        <w:rPr>
          <w:rFonts w:ascii="Times New Roman" w:hAnsi="Times New Roman" w:cs="Calibri"/>
          <w:sz w:val="24"/>
        </w:rPr>
        <w:t>…(the)</w:t>
      </w:r>
      <w:r w:rsidRPr="00FD0BEB">
        <w:rPr>
          <w:rFonts w:ascii="Times New Roman" w:hAnsi="Times New Roman" w:cs="Calibri"/>
          <w:sz w:val="24"/>
        </w:rPr>
        <w:t xml:space="preserve"> Bus System so that you can get to things that seem to be important to you and to get out of the neighborhood when you feel you need a break.”</w:t>
      </w:r>
    </w:p>
    <w:p w14:paraId="7AC683B9" w14:textId="7214766D" w:rsidR="00521F9F" w:rsidRPr="00FD0BEB" w:rsidRDefault="00521F9F">
      <w:pPr>
        <w:spacing w:after="0"/>
        <w:ind w:firstLine="720"/>
        <w:rPr>
          <w:rFonts w:ascii="Times New Roman" w:hAnsi="Times New Roman" w:cs="Calibri"/>
          <w:sz w:val="24"/>
        </w:rPr>
      </w:pPr>
      <w:r w:rsidRPr="005947B1">
        <w:rPr>
          <w:rFonts w:ascii="Times New Roman" w:hAnsi="Times New Roman" w:cs="Calibri"/>
          <w:i/>
          <w:sz w:val="24"/>
        </w:rPr>
        <w:lastRenderedPageBreak/>
        <w:t>Mentoring</w:t>
      </w:r>
      <w:r w:rsidRPr="00FD0BEB">
        <w:rPr>
          <w:rFonts w:ascii="Times New Roman" w:hAnsi="Times New Roman" w:cs="Calibri"/>
          <w:sz w:val="24"/>
        </w:rPr>
        <w:t xml:space="preserve"> was a strategy applied</w:t>
      </w:r>
      <w:r w:rsidR="00DB22A5" w:rsidRPr="00FD0BEB">
        <w:rPr>
          <w:rFonts w:ascii="Times New Roman" w:hAnsi="Times New Roman" w:cs="Calibri"/>
          <w:sz w:val="24"/>
        </w:rPr>
        <w:t xml:space="preserve"> in </w:t>
      </w:r>
      <w:r w:rsidR="00DB22A5">
        <w:rPr>
          <w:rFonts w:ascii="Times New Roman" w:hAnsi="Times New Roman" w:cs="Calibri"/>
          <w:sz w:val="24"/>
        </w:rPr>
        <w:t>Year 1</w:t>
      </w:r>
      <w:r w:rsidRPr="00FD0BEB">
        <w:rPr>
          <w:rFonts w:ascii="Times New Roman" w:hAnsi="Times New Roman" w:cs="Calibri"/>
          <w:sz w:val="24"/>
        </w:rPr>
        <w:t xml:space="preserve"> by </w:t>
      </w:r>
      <w:r>
        <w:rPr>
          <w:rFonts w:ascii="Times New Roman" w:hAnsi="Times New Roman" w:cs="Calibri"/>
          <w:sz w:val="24"/>
        </w:rPr>
        <w:t xml:space="preserve">no coalition members and </w:t>
      </w:r>
      <w:r w:rsidRPr="00FD0BEB">
        <w:rPr>
          <w:rFonts w:ascii="Times New Roman" w:hAnsi="Times New Roman" w:cs="Calibri"/>
          <w:sz w:val="24"/>
        </w:rPr>
        <w:t>few</w:t>
      </w:r>
      <w:r>
        <w:rPr>
          <w:rFonts w:ascii="Times New Roman" w:hAnsi="Times New Roman" w:cs="Calibri"/>
          <w:sz w:val="24"/>
        </w:rPr>
        <w:t xml:space="preserve"> oth</w:t>
      </w:r>
      <w:r w:rsidRPr="00FD0BEB">
        <w:rPr>
          <w:rFonts w:ascii="Times New Roman" w:hAnsi="Times New Roman" w:cs="Calibri"/>
          <w:sz w:val="24"/>
        </w:rPr>
        <w:t xml:space="preserve">er organizations. </w:t>
      </w:r>
      <w:r w:rsidR="00DB22A5">
        <w:rPr>
          <w:rFonts w:ascii="Times New Roman" w:hAnsi="Times New Roman" w:cs="Calibri"/>
          <w:sz w:val="24"/>
        </w:rPr>
        <w:t>I</w:t>
      </w:r>
      <w:r w:rsidRPr="00FD0BEB">
        <w:rPr>
          <w:rFonts w:ascii="Times New Roman" w:hAnsi="Times New Roman" w:cs="Calibri"/>
          <w:sz w:val="24"/>
        </w:rPr>
        <w:t xml:space="preserve">n later years, more organizations adopted this approach, often by delegating mentoring to specialized partner organizations. A </w:t>
      </w:r>
      <w:r>
        <w:rPr>
          <w:rFonts w:ascii="Times New Roman" w:hAnsi="Times New Roman" w:cs="Calibri"/>
          <w:sz w:val="24"/>
        </w:rPr>
        <w:t xml:space="preserve">youth </w:t>
      </w:r>
      <w:r w:rsidRPr="00FD0BEB">
        <w:rPr>
          <w:rFonts w:ascii="Times New Roman" w:hAnsi="Times New Roman" w:cs="Calibri"/>
          <w:sz w:val="24"/>
        </w:rPr>
        <w:t xml:space="preserve">mentoring organization representative </w:t>
      </w:r>
      <w:r w:rsidR="00D505F2">
        <w:rPr>
          <w:rFonts w:ascii="Times New Roman" w:hAnsi="Times New Roman" w:cs="Calibri"/>
          <w:sz w:val="24"/>
        </w:rPr>
        <w:t>described their approach</w:t>
      </w:r>
      <w:r w:rsidRPr="00FD0BEB">
        <w:rPr>
          <w:rFonts w:ascii="Times New Roman" w:hAnsi="Times New Roman" w:cs="Calibri"/>
          <w:sz w:val="24"/>
        </w:rPr>
        <w:t>:</w:t>
      </w:r>
    </w:p>
    <w:p w14:paraId="2CB85BE0" w14:textId="5D515D45" w:rsidR="00521F9F" w:rsidRPr="00FD0BEB" w:rsidRDefault="00521F9F" w:rsidP="00BF2A9C">
      <w:pPr>
        <w:spacing w:after="0"/>
        <w:ind w:left="720"/>
        <w:rPr>
          <w:rFonts w:ascii="Times New Roman" w:hAnsi="Times New Roman" w:cs="Calibri"/>
          <w:sz w:val="24"/>
        </w:rPr>
      </w:pPr>
      <w:r w:rsidRPr="00FD0BEB">
        <w:rPr>
          <w:rFonts w:ascii="Times New Roman" w:hAnsi="Times New Roman" w:cs="Calibri"/>
          <w:sz w:val="24"/>
        </w:rPr>
        <w:t>“Our main business is matching one on one with an adult, responsible volunteer who forms a relationship that allows them to move into teenage years and beyond with some more confidence and competence and caring…</w:t>
      </w:r>
      <w:r w:rsidRPr="00FD0BEB">
        <w:rPr>
          <w:rFonts w:ascii="Times New Roman" w:hAnsi="Times New Roman"/>
          <w:sz w:val="24"/>
        </w:rPr>
        <w:t>So in terms of decreasing violence, each of those elements of our volunteers’ activities obviously impacts the child’s ability to resist violence and stay away from criminal activity and to stay away from bullying and stay away from feeling isolated.  They have an adult they can depend on.”</w:t>
      </w:r>
    </w:p>
    <w:p w14:paraId="37A96A08" w14:textId="77777777" w:rsidR="00521F9F" w:rsidRPr="00FD0BEB" w:rsidRDefault="00521F9F" w:rsidP="00895E47">
      <w:pPr>
        <w:spacing w:after="0"/>
        <w:ind w:firstLine="720"/>
        <w:rPr>
          <w:rFonts w:ascii="Times New Roman" w:hAnsi="Times New Roman" w:cs="Calibri"/>
          <w:sz w:val="24"/>
        </w:rPr>
      </w:pPr>
      <w:r w:rsidRPr="005947B1">
        <w:rPr>
          <w:rFonts w:ascii="Times New Roman" w:hAnsi="Times New Roman" w:cs="Calibri"/>
          <w:i/>
          <w:sz w:val="24"/>
        </w:rPr>
        <w:t>Counseling</w:t>
      </w:r>
      <w:r w:rsidRPr="00FD0BEB">
        <w:rPr>
          <w:rFonts w:ascii="Times New Roman" w:hAnsi="Times New Roman" w:cs="Calibri"/>
          <w:sz w:val="24"/>
        </w:rPr>
        <w:t xml:space="preserve"> as a YVP strategy also increased over time. Like mentoring, many organizations reported that they used the services of other organizations, in this case for professional counseling. These partnerships around mentoring and counseling are typical examples of organizational collaboration for YVP, which will be explored more below.</w:t>
      </w:r>
    </w:p>
    <w:p w14:paraId="79557D95" w14:textId="77777777" w:rsidR="00521F9F" w:rsidRPr="00FD0BEB" w:rsidRDefault="00521F9F" w:rsidP="00895E47">
      <w:pPr>
        <w:spacing w:after="0"/>
        <w:ind w:firstLine="720"/>
        <w:rPr>
          <w:rFonts w:ascii="Times New Roman" w:hAnsi="Times New Roman" w:cs="Calibri"/>
          <w:sz w:val="24"/>
        </w:rPr>
      </w:pPr>
      <w:r w:rsidRPr="00FD0BEB">
        <w:rPr>
          <w:rFonts w:ascii="Times New Roman" w:hAnsi="Times New Roman" w:cs="Calibri"/>
          <w:sz w:val="24"/>
        </w:rPr>
        <w:t xml:space="preserve">Another YVP approach that increased in application was </w:t>
      </w:r>
      <w:r w:rsidRPr="005947B1">
        <w:rPr>
          <w:rFonts w:ascii="Times New Roman" w:hAnsi="Times New Roman" w:cs="Calibri"/>
          <w:i/>
          <w:sz w:val="24"/>
        </w:rPr>
        <w:t>education regarding the consequences of violence</w:t>
      </w:r>
      <w:r w:rsidRPr="00FD0BEB">
        <w:rPr>
          <w:rFonts w:ascii="Times New Roman" w:hAnsi="Times New Roman" w:cs="Calibri"/>
          <w:sz w:val="24"/>
        </w:rPr>
        <w:t>. The specific practices vary from bringing speakers to school classrooms to talk about bullying, to more immersive</w:t>
      </w:r>
      <w:r>
        <w:rPr>
          <w:rFonts w:ascii="Times New Roman" w:hAnsi="Times New Roman" w:cs="Calibri"/>
          <w:sz w:val="24"/>
        </w:rPr>
        <w:t>, “Scared Straight”-style</w:t>
      </w:r>
      <w:r w:rsidRPr="00FD0BEB">
        <w:rPr>
          <w:rFonts w:ascii="Times New Roman" w:hAnsi="Times New Roman" w:cs="Calibri"/>
          <w:sz w:val="24"/>
        </w:rPr>
        <w:t xml:space="preserve"> </w:t>
      </w:r>
      <w:r w:rsidRPr="009D4235">
        <w:rPr>
          <w:rFonts w:ascii="Times New Roman" w:hAnsi="Times New Roman"/>
          <w:sz w:val="24"/>
          <w:szCs w:val="24"/>
        </w:rPr>
        <w:t>juvenile awareness</w:t>
      </w:r>
      <w:r>
        <w:rPr>
          <w:rFonts w:ascii="Times New Roman" w:hAnsi="Times New Roman"/>
          <w:sz w:val="24"/>
          <w:szCs w:val="24"/>
        </w:rPr>
        <w:t xml:space="preserve"> </w:t>
      </w:r>
      <w:r w:rsidRPr="00FD0BEB">
        <w:rPr>
          <w:rFonts w:ascii="Times New Roman" w:hAnsi="Times New Roman" w:cs="Calibri"/>
          <w:sz w:val="24"/>
        </w:rPr>
        <w:t>programs like this one:</w:t>
      </w:r>
    </w:p>
    <w:p w14:paraId="5FBFC4AC" w14:textId="793FCEF9" w:rsidR="00521F9F" w:rsidRPr="00FD0BEB" w:rsidRDefault="00521F9F" w:rsidP="0042095C">
      <w:pPr>
        <w:spacing w:after="0"/>
        <w:ind w:left="720"/>
        <w:rPr>
          <w:rFonts w:ascii="Times New Roman" w:hAnsi="Times New Roman" w:cs="Calibri"/>
          <w:sz w:val="24"/>
        </w:rPr>
      </w:pPr>
      <w:r w:rsidRPr="00FD0BEB">
        <w:rPr>
          <w:rFonts w:ascii="Times New Roman" w:hAnsi="Times New Roman"/>
          <w:sz w:val="24"/>
        </w:rPr>
        <w:t xml:space="preserve">“We take the girls to the women’s prison, we take the boys to </w:t>
      </w:r>
      <w:r w:rsidR="00A445AA">
        <w:rPr>
          <w:rFonts w:ascii="Times New Roman" w:hAnsi="Times New Roman"/>
          <w:sz w:val="24"/>
        </w:rPr>
        <w:t>(the</w:t>
      </w:r>
      <w:r w:rsidRPr="00903BF3">
        <w:rPr>
          <w:rFonts w:ascii="Times New Roman" w:hAnsi="Times New Roman"/>
          <w:sz w:val="24"/>
        </w:rPr>
        <w:t xml:space="preserve"> </w:t>
      </w:r>
      <w:r w:rsidR="00A445AA">
        <w:rPr>
          <w:rFonts w:ascii="Times New Roman" w:hAnsi="Times New Roman"/>
          <w:sz w:val="24"/>
        </w:rPr>
        <w:t>s</w:t>
      </w:r>
      <w:r w:rsidRPr="00903BF3">
        <w:rPr>
          <w:rFonts w:ascii="Times New Roman" w:hAnsi="Times New Roman"/>
          <w:sz w:val="24"/>
        </w:rPr>
        <w:t xml:space="preserve">tate </w:t>
      </w:r>
      <w:r w:rsidR="00A445AA">
        <w:rPr>
          <w:rFonts w:ascii="Times New Roman" w:hAnsi="Times New Roman"/>
          <w:sz w:val="24"/>
        </w:rPr>
        <w:t>p</w:t>
      </w:r>
      <w:r w:rsidRPr="00903BF3">
        <w:rPr>
          <w:rFonts w:ascii="Times New Roman" w:hAnsi="Times New Roman"/>
          <w:sz w:val="24"/>
        </w:rPr>
        <w:t>rison)</w:t>
      </w:r>
      <w:r w:rsidRPr="00FD0BEB">
        <w:rPr>
          <w:rFonts w:ascii="Times New Roman" w:hAnsi="Times New Roman"/>
          <w:sz w:val="24"/>
        </w:rPr>
        <w:t xml:space="preserve"> and first we show a documentary, for the girls, of the women’s prison, and the one for the boys’ prison, both of them presented by NBC Court TV…Common sense will tell you that once these individuals see and hear what prison life is all about, then only a fool would continue down that road.”</w:t>
      </w:r>
    </w:p>
    <w:p w14:paraId="5AE8EAF3" w14:textId="2E7477CD" w:rsidR="00521F9F" w:rsidRPr="00FD0BEB" w:rsidRDefault="00521F9F" w:rsidP="00895E47">
      <w:pPr>
        <w:spacing w:after="0"/>
        <w:ind w:firstLine="720"/>
        <w:rPr>
          <w:rFonts w:ascii="Times New Roman" w:hAnsi="Times New Roman" w:cs="Calibri"/>
          <w:sz w:val="24"/>
        </w:rPr>
      </w:pPr>
      <w:r w:rsidRPr="00FD0BEB">
        <w:rPr>
          <w:rFonts w:ascii="Times New Roman" w:hAnsi="Times New Roman" w:cs="Calibri"/>
          <w:sz w:val="24"/>
        </w:rPr>
        <w:lastRenderedPageBreak/>
        <w:t xml:space="preserve">The strategy of providing </w:t>
      </w:r>
      <w:r w:rsidRPr="005947B1">
        <w:rPr>
          <w:rFonts w:ascii="Times New Roman" w:hAnsi="Times New Roman" w:cs="Calibri"/>
          <w:i/>
          <w:sz w:val="24"/>
        </w:rPr>
        <w:t>positive activities for youth</w:t>
      </w:r>
      <w:r w:rsidRPr="00FD0BEB">
        <w:rPr>
          <w:rFonts w:ascii="Times New Roman" w:hAnsi="Times New Roman" w:cs="Calibri"/>
          <w:sz w:val="24"/>
        </w:rPr>
        <w:t xml:space="preserve"> has two distinctive approaches. Some of our participants were providing a safer, more respectful and esteem-building environment for ordinary youth activities through supervision, while others created alternatives for how youth spend their time. Here are two examples from a school and</w:t>
      </w:r>
      <w:r w:rsidR="00A445AA">
        <w:rPr>
          <w:rFonts w:ascii="Times New Roman" w:hAnsi="Times New Roman" w:cs="Calibri"/>
          <w:sz w:val="24"/>
        </w:rPr>
        <w:t xml:space="preserve"> </w:t>
      </w:r>
      <w:r w:rsidRPr="00FD0BEB">
        <w:rPr>
          <w:rFonts w:ascii="Times New Roman" w:hAnsi="Times New Roman" w:cs="Calibri"/>
          <w:sz w:val="24"/>
        </w:rPr>
        <w:t xml:space="preserve">nonprofit </w:t>
      </w:r>
      <w:r>
        <w:rPr>
          <w:rFonts w:ascii="Times New Roman" w:hAnsi="Times New Roman" w:cs="Calibri"/>
          <w:sz w:val="24"/>
        </w:rPr>
        <w:t>youth organization</w:t>
      </w:r>
      <w:r w:rsidRPr="00FD0BEB">
        <w:rPr>
          <w:rFonts w:ascii="Times New Roman" w:hAnsi="Times New Roman" w:cs="Calibri"/>
          <w:sz w:val="24"/>
        </w:rPr>
        <w:t>:</w:t>
      </w:r>
    </w:p>
    <w:p w14:paraId="348A5EC5" w14:textId="11B48ED6" w:rsidR="00521F9F" w:rsidRPr="00FD0BEB" w:rsidRDefault="00521F9F">
      <w:pPr>
        <w:spacing w:after="0"/>
        <w:ind w:left="720"/>
        <w:rPr>
          <w:rFonts w:ascii="Times New Roman" w:hAnsi="Times New Roman"/>
          <w:sz w:val="24"/>
        </w:rPr>
      </w:pPr>
      <w:r w:rsidRPr="00FD0BEB">
        <w:rPr>
          <w:rFonts w:ascii="Times New Roman" w:hAnsi="Times New Roman"/>
          <w:sz w:val="24"/>
        </w:rPr>
        <w:t>“Our teachers when the classes change, they walk their children to the next class if they’re leaving the immediate area...We have worked at improving the climate by the way the adults talk to adults or the way adults talk to students here…And what is has done is opens them up to someone saying a kind word to them.”</w:t>
      </w:r>
    </w:p>
    <w:p w14:paraId="3B627406" w14:textId="0DEAB5ED" w:rsidR="00521F9F" w:rsidRPr="00FD0BEB" w:rsidRDefault="00521F9F">
      <w:pPr>
        <w:spacing w:after="0"/>
        <w:ind w:left="720"/>
        <w:rPr>
          <w:rFonts w:ascii="Times New Roman" w:hAnsi="Times New Roman"/>
          <w:sz w:val="24"/>
        </w:rPr>
      </w:pPr>
      <w:r w:rsidRPr="00FD0BEB">
        <w:rPr>
          <w:rFonts w:ascii="Times New Roman" w:hAnsi="Times New Roman"/>
          <w:sz w:val="24"/>
        </w:rPr>
        <w:t>“We do the video production program. We</w:t>
      </w:r>
      <w:r>
        <w:rPr>
          <w:rFonts w:ascii="Times New Roman" w:hAnsi="Times New Roman"/>
          <w:sz w:val="24"/>
        </w:rPr>
        <w:t>…</w:t>
      </w:r>
      <w:r w:rsidRPr="00FD0BEB">
        <w:rPr>
          <w:rFonts w:ascii="Times New Roman" w:hAnsi="Times New Roman"/>
          <w:sz w:val="24"/>
        </w:rPr>
        <w:t>do arts. We have a new…jewelry apprenticeship program</w:t>
      </w:r>
      <w:r>
        <w:rPr>
          <w:rFonts w:ascii="Times New Roman" w:hAnsi="Times New Roman"/>
          <w:sz w:val="24"/>
        </w:rPr>
        <w:t>..</w:t>
      </w:r>
      <w:r w:rsidRPr="00FD0BEB">
        <w:rPr>
          <w:rFonts w:ascii="Times New Roman" w:hAnsi="Times New Roman"/>
          <w:sz w:val="24"/>
        </w:rPr>
        <w:t>.I want to run it on a co-op where the kids can make money off of it and learn how to manage money.“</w:t>
      </w:r>
    </w:p>
    <w:p w14:paraId="4B09D675" w14:textId="1B5D6487" w:rsidR="00521F9F" w:rsidRDefault="00521F9F">
      <w:pPr>
        <w:spacing w:after="0"/>
        <w:ind w:firstLine="720"/>
        <w:rPr>
          <w:rFonts w:ascii="Times New Roman" w:hAnsi="Times New Roman" w:cs="Calibri"/>
          <w:sz w:val="24"/>
        </w:rPr>
      </w:pPr>
      <w:r w:rsidRPr="005947B1">
        <w:rPr>
          <w:rFonts w:ascii="Times New Roman" w:hAnsi="Times New Roman" w:cs="Calibri"/>
          <w:i/>
          <w:sz w:val="24"/>
        </w:rPr>
        <w:t>Sponsorship of YVP programs</w:t>
      </w:r>
      <w:r w:rsidRPr="00FD0BEB">
        <w:rPr>
          <w:rFonts w:ascii="Times New Roman" w:hAnsi="Times New Roman" w:cs="Calibri"/>
          <w:sz w:val="24"/>
        </w:rPr>
        <w:t xml:space="preserve"> became much more prevalent after </w:t>
      </w:r>
      <w:r>
        <w:rPr>
          <w:rFonts w:ascii="Times New Roman" w:hAnsi="Times New Roman" w:cs="Calibri"/>
          <w:sz w:val="24"/>
        </w:rPr>
        <w:t>Y</w:t>
      </w:r>
      <w:r w:rsidRPr="00FD0BEB">
        <w:rPr>
          <w:rFonts w:ascii="Times New Roman" w:hAnsi="Times New Roman" w:cs="Calibri"/>
          <w:sz w:val="24"/>
        </w:rPr>
        <w:t>ear 1. This change is mainly due to the changing concept of sponsoring for participants. From a narrow meaning of “funding programs” and “administering public grant funds</w:t>
      </w:r>
      <w:r w:rsidR="00A445AA">
        <w:rPr>
          <w:rFonts w:ascii="Times New Roman" w:hAnsi="Times New Roman" w:cs="Calibri"/>
          <w:sz w:val="24"/>
        </w:rPr>
        <w:t>,</w:t>
      </w:r>
      <w:r w:rsidRPr="00FD0BEB">
        <w:rPr>
          <w:rFonts w:ascii="Times New Roman" w:hAnsi="Times New Roman" w:cs="Calibri"/>
          <w:sz w:val="24"/>
        </w:rPr>
        <w:t xml:space="preserve">” the understanding of sponsorship changed to a broader support for programs–organizational, logistic, promotional. </w:t>
      </w:r>
    </w:p>
    <w:p w14:paraId="53751CE5" w14:textId="77777777" w:rsidR="00521F9F" w:rsidRPr="00FD0BEB" w:rsidRDefault="00521F9F">
      <w:pPr>
        <w:spacing w:after="0"/>
        <w:ind w:firstLine="720"/>
        <w:rPr>
          <w:rFonts w:ascii="Times New Roman" w:hAnsi="Times New Roman" w:cs="Calibri"/>
          <w:sz w:val="24"/>
        </w:rPr>
      </w:pPr>
      <w:r>
        <w:rPr>
          <w:rFonts w:ascii="Times New Roman" w:hAnsi="Times New Roman" w:cs="Calibri"/>
          <w:i/>
          <w:sz w:val="24"/>
        </w:rPr>
        <w:t xml:space="preserve">Organizing </w:t>
      </w:r>
      <w:r w:rsidRPr="005947B1">
        <w:rPr>
          <w:rFonts w:ascii="Times New Roman" w:hAnsi="Times New Roman" w:cs="Calibri"/>
          <w:i/>
          <w:sz w:val="24"/>
        </w:rPr>
        <w:t>YVP events</w:t>
      </w:r>
      <w:r w:rsidRPr="00FD0BEB">
        <w:rPr>
          <w:rFonts w:ascii="Times New Roman" w:hAnsi="Times New Roman" w:cs="Calibri"/>
          <w:sz w:val="24"/>
        </w:rPr>
        <w:t xml:space="preserve"> was also a strategy that involved active partnerships. These events ranged from </w:t>
      </w:r>
      <w:r>
        <w:rPr>
          <w:rFonts w:ascii="Times New Roman" w:hAnsi="Times New Roman" w:cs="Calibri"/>
          <w:sz w:val="24"/>
        </w:rPr>
        <w:t>political</w:t>
      </w:r>
      <w:r w:rsidRPr="00FD0BEB">
        <w:rPr>
          <w:rFonts w:ascii="Times New Roman" w:hAnsi="Times New Roman" w:cs="Calibri"/>
          <w:sz w:val="24"/>
        </w:rPr>
        <w:t xml:space="preserve"> advocacy to</w:t>
      </w:r>
      <w:r>
        <w:rPr>
          <w:rFonts w:ascii="Times New Roman" w:hAnsi="Times New Roman" w:cs="Calibri"/>
          <w:sz w:val="24"/>
        </w:rPr>
        <w:t xml:space="preserve"> more typical</w:t>
      </w:r>
      <w:r w:rsidRPr="00FD0BEB">
        <w:rPr>
          <w:rFonts w:ascii="Times New Roman" w:hAnsi="Times New Roman" w:cs="Calibri"/>
          <w:sz w:val="24"/>
        </w:rPr>
        <w:t xml:space="preserve"> community</w:t>
      </w:r>
      <w:r>
        <w:rPr>
          <w:rFonts w:ascii="Times New Roman" w:hAnsi="Times New Roman" w:cs="Calibri"/>
          <w:sz w:val="24"/>
        </w:rPr>
        <w:t>-</w:t>
      </w:r>
      <w:r w:rsidRPr="00FD0BEB">
        <w:rPr>
          <w:rFonts w:ascii="Times New Roman" w:hAnsi="Times New Roman" w:cs="Calibri"/>
          <w:sz w:val="24"/>
        </w:rPr>
        <w:t>building</w:t>
      </w:r>
      <w:r>
        <w:rPr>
          <w:rFonts w:ascii="Times New Roman" w:hAnsi="Times New Roman" w:cs="Calibri"/>
          <w:sz w:val="24"/>
        </w:rPr>
        <w:t xml:space="preserve"> events. Informants from a large human service nonprofit, a small youth organization, and a church, respectively, said</w:t>
      </w:r>
      <w:r w:rsidRPr="00FD0BEB">
        <w:rPr>
          <w:rFonts w:ascii="Times New Roman" w:hAnsi="Times New Roman" w:cs="Calibri"/>
          <w:sz w:val="24"/>
        </w:rPr>
        <w:t>:</w:t>
      </w:r>
    </w:p>
    <w:p w14:paraId="4EE26797" w14:textId="77777777" w:rsidR="00521F9F" w:rsidRPr="00FD0BEB" w:rsidRDefault="00521F9F" w:rsidP="008E3C65">
      <w:pPr>
        <w:spacing w:after="0"/>
        <w:ind w:left="720"/>
        <w:rPr>
          <w:rFonts w:ascii="Times New Roman" w:hAnsi="Times New Roman" w:cs="Calibri"/>
          <w:sz w:val="24"/>
        </w:rPr>
      </w:pPr>
      <w:r w:rsidRPr="00FD0BEB">
        <w:rPr>
          <w:rFonts w:ascii="Times New Roman" w:hAnsi="Times New Roman" w:cs="Calibri"/>
          <w:sz w:val="24"/>
        </w:rPr>
        <w:t>“During the Mayor’s Campaign, we held a quality of life debate here, and all the candidates came.”</w:t>
      </w:r>
    </w:p>
    <w:p w14:paraId="5EACE2FF" w14:textId="4A27668A" w:rsidR="00521F9F" w:rsidRPr="00FD0BEB" w:rsidRDefault="00521F9F" w:rsidP="008E3C65">
      <w:pPr>
        <w:spacing w:after="0"/>
        <w:ind w:left="720"/>
        <w:rPr>
          <w:rFonts w:ascii="Times New Roman" w:hAnsi="Times New Roman" w:cs="Calibri"/>
          <w:sz w:val="24"/>
        </w:rPr>
      </w:pPr>
      <w:r w:rsidRPr="00FD0BEB">
        <w:rPr>
          <w:rFonts w:ascii="Times New Roman" w:hAnsi="Times New Roman" w:cs="Calibri"/>
          <w:sz w:val="24"/>
        </w:rPr>
        <w:lastRenderedPageBreak/>
        <w:t>“Things like public conversations with law makers and decision makers and legislators.  We do events with law enforcement where they do…public outreach</w:t>
      </w:r>
      <w:r w:rsidR="00A445AA">
        <w:rPr>
          <w:rFonts w:ascii="Times New Roman" w:hAnsi="Times New Roman" w:cs="Calibri"/>
          <w:sz w:val="24"/>
        </w:rPr>
        <w:t>.</w:t>
      </w:r>
      <w:r w:rsidRPr="00FD0BEB">
        <w:rPr>
          <w:rFonts w:ascii="Times New Roman" w:hAnsi="Times New Roman" w:cs="Calibri"/>
          <w:sz w:val="24"/>
        </w:rPr>
        <w:t>”</w:t>
      </w:r>
    </w:p>
    <w:p w14:paraId="298D33FE" w14:textId="67951754" w:rsidR="00521F9F" w:rsidRPr="00FD0BEB" w:rsidRDefault="00521F9F" w:rsidP="008E3C65">
      <w:pPr>
        <w:spacing w:after="0"/>
        <w:ind w:left="720"/>
        <w:rPr>
          <w:rFonts w:ascii="Times New Roman" w:hAnsi="Times New Roman" w:cs="Calibri"/>
          <w:sz w:val="24"/>
        </w:rPr>
      </w:pPr>
      <w:r w:rsidRPr="00FD0BEB">
        <w:rPr>
          <w:rFonts w:ascii="Times New Roman" w:hAnsi="Times New Roman" w:cs="Calibri"/>
          <w:sz w:val="24"/>
        </w:rPr>
        <w:t>“We have a Friends and Family Day. It takes place here each year during the summer.  It’s a weekend where we have games, activities, food on the grounds, and when this handout said youth prevention, that is strictly geared toward the family on that day.”</w:t>
      </w:r>
    </w:p>
    <w:p w14:paraId="29106B92" w14:textId="4A504208" w:rsidR="00521F9F" w:rsidRPr="00FD0BEB" w:rsidRDefault="00617B0B" w:rsidP="00617B0B">
      <w:pPr>
        <w:spacing w:after="0"/>
        <w:ind w:firstLine="720"/>
        <w:rPr>
          <w:rFonts w:ascii="Times New Roman" w:hAnsi="Times New Roman" w:cs="Calibri"/>
          <w:sz w:val="24"/>
        </w:rPr>
      </w:pPr>
      <w:r w:rsidRPr="005947B1">
        <w:rPr>
          <w:rFonts w:ascii="Times New Roman" w:hAnsi="Times New Roman" w:cs="Calibri"/>
          <w:i/>
          <w:sz w:val="24"/>
        </w:rPr>
        <w:t xml:space="preserve">Advocacy </w:t>
      </w:r>
      <w:r>
        <w:rPr>
          <w:rFonts w:ascii="Times New Roman" w:hAnsi="Times New Roman" w:cs="Calibri"/>
          <w:sz w:val="24"/>
        </w:rPr>
        <w:t xml:space="preserve">for </w:t>
      </w:r>
      <w:r w:rsidRPr="006D2801">
        <w:rPr>
          <w:rFonts w:ascii="Times New Roman" w:hAnsi="Times New Roman" w:cs="Calibri"/>
          <w:sz w:val="24"/>
        </w:rPr>
        <w:t>policy change</w:t>
      </w:r>
      <w:r>
        <w:rPr>
          <w:rFonts w:ascii="Times New Roman" w:hAnsi="Times New Roman" w:cs="Calibri"/>
          <w:sz w:val="24"/>
        </w:rPr>
        <w:t xml:space="preserve"> was by far less common than other strategies. We have a hypothesis that the number of advocacy practicing organization might be underestimated, because in year 3 we included an additional follow-up question that would have brought the total from five to twelve; however, for consistency of measurement, we did not include that data here.</w:t>
      </w:r>
      <w:r w:rsidRPr="00FD0BEB">
        <w:rPr>
          <w:rFonts w:ascii="Times New Roman" w:hAnsi="Times New Roman" w:cs="Calibri"/>
          <w:sz w:val="24"/>
        </w:rPr>
        <w:t xml:space="preserve">. </w:t>
      </w:r>
      <w:r>
        <w:rPr>
          <w:rFonts w:ascii="Times New Roman" w:hAnsi="Times New Roman" w:cs="Calibri"/>
          <w:sz w:val="24"/>
        </w:rPr>
        <w:t xml:space="preserve"> Another observation is that some organizations (not included in the count) reported advocacy on behalf of individual students instead of policy change.</w:t>
      </w:r>
      <w:r w:rsidR="00907899">
        <w:rPr>
          <w:rFonts w:ascii="Times New Roman" w:hAnsi="Times New Roman" w:cs="Calibri"/>
          <w:sz w:val="24"/>
        </w:rPr>
        <w:t xml:space="preserve"> </w:t>
      </w:r>
      <w:r w:rsidRPr="00FD0BEB">
        <w:rPr>
          <w:rFonts w:ascii="Times New Roman" w:hAnsi="Times New Roman" w:cs="Calibri"/>
          <w:sz w:val="24"/>
        </w:rPr>
        <w:t>Co</w:t>
      </w:r>
      <w:r>
        <w:rPr>
          <w:rFonts w:ascii="Times New Roman" w:hAnsi="Times New Roman" w:cs="Calibri"/>
          <w:sz w:val="24"/>
        </w:rPr>
        <w:t>ntrast the following example of political advocacy with one of individual advocacy after that</w:t>
      </w:r>
      <w:r w:rsidRPr="00FD0BEB">
        <w:rPr>
          <w:rFonts w:ascii="Times New Roman" w:hAnsi="Times New Roman" w:cs="Calibri"/>
          <w:sz w:val="24"/>
        </w:rPr>
        <w:t>:</w:t>
      </w:r>
    </w:p>
    <w:p w14:paraId="75FB80C6" w14:textId="7696E195" w:rsidR="00521F9F" w:rsidRDefault="00521F9F">
      <w:pPr>
        <w:spacing w:after="0"/>
        <w:ind w:left="720"/>
        <w:rPr>
          <w:rFonts w:ascii="Times New Roman" w:hAnsi="Times New Roman" w:cs="Calibri"/>
          <w:sz w:val="24"/>
        </w:rPr>
      </w:pPr>
      <w:r w:rsidRPr="00FD0BEB">
        <w:rPr>
          <w:rFonts w:ascii="Times New Roman" w:hAnsi="Times New Roman" w:cs="Calibri"/>
          <w:sz w:val="24"/>
        </w:rPr>
        <w:t xml:space="preserve">“We are actually meeting with </w:t>
      </w:r>
      <w:r w:rsidR="00130B30">
        <w:rPr>
          <w:rFonts w:ascii="Times New Roman" w:hAnsi="Times New Roman" w:cs="Calibri"/>
          <w:sz w:val="24"/>
        </w:rPr>
        <w:t>s</w:t>
      </w:r>
      <w:r w:rsidRPr="00FD0BEB">
        <w:rPr>
          <w:rFonts w:ascii="Times New Roman" w:hAnsi="Times New Roman" w:cs="Calibri"/>
          <w:sz w:val="24"/>
        </w:rPr>
        <w:t xml:space="preserve">tate </w:t>
      </w:r>
      <w:r w:rsidR="00130B30">
        <w:rPr>
          <w:rFonts w:ascii="Times New Roman" w:hAnsi="Times New Roman" w:cs="Calibri"/>
          <w:sz w:val="24"/>
        </w:rPr>
        <w:t>l</w:t>
      </w:r>
      <w:r w:rsidRPr="00FD0BEB">
        <w:rPr>
          <w:rFonts w:ascii="Times New Roman" w:hAnsi="Times New Roman" w:cs="Calibri"/>
          <w:sz w:val="24"/>
        </w:rPr>
        <w:t xml:space="preserve">egislators next week to discuss our position with </w:t>
      </w:r>
      <w:r w:rsidR="00AD4FA0">
        <w:rPr>
          <w:rFonts w:ascii="Times New Roman" w:hAnsi="Times New Roman" w:cs="Calibri"/>
          <w:sz w:val="24"/>
        </w:rPr>
        <w:t>(</w:t>
      </w:r>
      <w:r w:rsidR="00130B30">
        <w:rPr>
          <w:rFonts w:ascii="Times New Roman" w:hAnsi="Times New Roman" w:cs="Calibri"/>
          <w:sz w:val="24"/>
        </w:rPr>
        <w:t>p</w:t>
      </w:r>
      <w:r w:rsidRPr="00FD0BEB">
        <w:rPr>
          <w:rFonts w:ascii="Times New Roman" w:hAnsi="Times New Roman" w:cs="Calibri"/>
          <w:sz w:val="24"/>
        </w:rPr>
        <w:t>re-</w:t>
      </w:r>
      <w:r w:rsidR="00AD4FA0">
        <w:rPr>
          <w:rFonts w:ascii="Times New Roman" w:hAnsi="Times New Roman" w:cs="Calibri"/>
          <w:sz w:val="24"/>
        </w:rPr>
        <w:t>kindergarten)</w:t>
      </w:r>
      <w:r w:rsidRPr="00FD0BEB">
        <w:rPr>
          <w:rFonts w:ascii="Times New Roman" w:hAnsi="Times New Roman" w:cs="Calibri"/>
          <w:sz w:val="24"/>
        </w:rPr>
        <w:t xml:space="preserve"> and urging them to help support </w:t>
      </w:r>
      <w:r w:rsidR="00AD4FA0">
        <w:rPr>
          <w:rFonts w:ascii="Times New Roman" w:hAnsi="Times New Roman" w:cs="Calibri"/>
          <w:sz w:val="24"/>
        </w:rPr>
        <w:t>‘p</w:t>
      </w:r>
      <w:r w:rsidRPr="00FD0BEB">
        <w:rPr>
          <w:rFonts w:ascii="Times New Roman" w:hAnsi="Times New Roman" w:cs="Calibri"/>
          <w:sz w:val="24"/>
        </w:rPr>
        <w:t>re-</w:t>
      </w:r>
      <w:r w:rsidR="00AD4FA0">
        <w:rPr>
          <w:rFonts w:ascii="Times New Roman" w:hAnsi="Times New Roman" w:cs="Calibri"/>
          <w:sz w:val="24"/>
        </w:rPr>
        <w:t>k’</w:t>
      </w:r>
      <w:r w:rsidRPr="00FD0BEB">
        <w:rPr>
          <w:rFonts w:ascii="Times New Roman" w:hAnsi="Times New Roman" w:cs="Calibri"/>
          <w:sz w:val="24"/>
        </w:rPr>
        <w:t xml:space="preserve"> in the Governor’s </w:t>
      </w:r>
      <w:r w:rsidR="00AD4FA0">
        <w:rPr>
          <w:rFonts w:ascii="Times New Roman" w:hAnsi="Times New Roman" w:cs="Calibri"/>
          <w:sz w:val="24"/>
        </w:rPr>
        <w:t>b</w:t>
      </w:r>
      <w:r w:rsidRPr="00FD0BEB">
        <w:rPr>
          <w:rFonts w:ascii="Times New Roman" w:hAnsi="Times New Roman" w:cs="Calibri"/>
          <w:sz w:val="24"/>
        </w:rPr>
        <w:t xml:space="preserve">udget. We have a government relations volunteer committee that has helped us craft a public policy position statement that our board has adopted, not only on </w:t>
      </w:r>
      <w:r w:rsidR="00AD4FA0">
        <w:rPr>
          <w:rFonts w:ascii="Times New Roman" w:hAnsi="Times New Roman" w:cs="Calibri"/>
          <w:sz w:val="24"/>
        </w:rPr>
        <w:t>‘p</w:t>
      </w:r>
      <w:r w:rsidRPr="00FD0BEB">
        <w:rPr>
          <w:rFonts w:ascii="Times New Roman" w:hAnsi="Times New Roman" w:cs="Calibri"/>
          <w:sz w:val="24"/>
        </w:rPr>
        <w:t>re-</w:t>
      </w:r>
      <w:r w:rsidR="00AD4FA0">
        <w:rPr>
          <w:rFonts w:ascii="Times New Roman" w:hAnsi="Times New Roman" w:cs="Calibri"/>
          <w:sz w:val="24"/>
        </w:rPr>
        <w:t>k’</w:t>
      </w:r>
      <w:r w:rsidRPr="00FD0BEB">
        <w:rPr>
          <w:rFonts w:ascii="Times New Roman" w:hAnsi="Times New Roman" w:cs="Calibri"/>
          <w:sz w:val="24"/>
        </w:rPr>
        <w:t xml:space="preserve"> but on three or four other issues that are important for us.”</w:t>
      </w:r>
    </w:p>
    <w:p w14:paraId="4C8829BC" w14:textId="76C50CDC" w:rsidR="00521F9F" w:rsidRDefault="00521F9F">
      <w:pPr>
        <w:spacing w:after="0"/>
        <w:ind w:left="720"/>
        <w:rPr>
          <w:rFonts w:ascii="Times New Roman" w:hAnsi="Times New Roman" w:cs="Calibri"/>
          <w:sz w:val="24"/>
        </w:rPr>
      </w:pPr>
      <w:r w:rsidRPr="00FD0BEB">
        <w:rPr>
          <w:rFonts w:ascii="Times New Roman" w:hAnsi="Times New Roman"/>
          <w:sz w:val="24"/>
        </w:rPr>
        <w:t>“Once a child is ready for step down,</w:t>
      </w:r>
      <w:r>
        <w:rPr>
          <w:rFonts w:ascii="Times New Roman" w:hAnsi="Times New Roman"/>
          <w:sz w:val="24"/>
        </w:rPr>
        <w:t>…</w:t>
      </w:r>
      <w:r w:rsidRPr="00FD0BEB">
        <w:rPr>
          <w:rFonts w:ascii="Times New Roman" w:hAnsi="Times New Roman"/>
          <w:sz w:val="24"/>
        </w:rPr>
        <w:t>we are active in our advocacy work for the child.  There were things like sending children to a site, a group home…So we send these kids in shackles and handcuffs and orange jump suits, and we objected to this. We said, you know, you don’t have to treat them like that.</w:t>
      </w:r>
      <w:r w:rsidR="00AD4FA0">
        <w:rPr>
          <w:rFonts w:ascii="Times New Roman" w:hAnsi="Times New Roman"/>
          <w:sz w:val="24"/>
        </w:rPr>
        <w:t>”</w:t>
      </w:r>
    </w:p>
    <w:p w14:paraId="1EB5EA3D" w14:textId="054ABA7E" w:rsidR="00521F9F" w:rsidRPr="00F57302" w:rsidRDefault="00521F9F">
      <w:pPr>
        <w:spacing w:after="0"/>
        <w:rPr>
          <w:rFonts w:ascii="Times New Roman" w:hAnsi="Times New Roman"/>
          <w:sz w:val="24"/>
          <w:szCs w:val="24"/>
          <w:u w:val="single"/>
        </w:rPr>
      </w:pPr>
      <w:r>
        <w:rPr>
          <w:rFonts w:ascii="Times New Roman" w:hAnsi="Times New Roman"/>
          <w:sz w:val="24"/>
          <w:szCs w:val="24"/>
          <w:u w:val="single"/>
        </w:rPr>
        <w:t xml:space="preserve">Change in </w:t>
      </w:r>
      <w:r w:rsidR="00B87039">
        <w:rPr>
          <w:rFonts w:ascii="Times New Roman" w:hAnsi="Times New Roman"/>
          <w:sz w:val="24"/>
          <w:szCs w:val="24"/>
          <w:u w:val="single"/>
        </w:rPr>
        <w:t xml:space="preserve">YVP </w:t>
      </w:r>
      <w:r w:rsidRPr="00F57302">
        <w:rPr>
          <w:rFonts w:ascii="Times New Roman" w:hAnsi="Times New Roman"/>
          <w:sz w:val="24"/>
          <w:szCs w:val="24"/>
          <w:u w:val="single"/>
        </w:rPr>
        <w:t xml:space="preserve">Strategies </w:t>
      </w:r>
      <w:r>
        <w:rPr>
          <w:rFonts w:ascii="Times New Roman" w:hAnsi="Times New Roman"/>
          <w:sz w:val="24"/>
          <w:szCs w:val="24"/>
          <w:u w:val="single"/>
        </w:rPr>
        <w:t xml:space="preserve">over Time </w:t>
      </w:r>
      <w:r w:rsidRPr="00F57302">
        <w:rPr>
          <w:rFonts w:ascii="Times New Roman" w:hAnsi="Times New Roman"/>
          <w:sz w:val="24"/>
          <w:szCs w:val="24"/>
          <w:u w:val="single"/>
        </w:rPr>
        <w:t>and Types of Organization</w:t>
      </w:r>
      <w:r w:rsidRPr="00E3114D">
        <w:rPr>
          <w:rFonts w:ascii="Times New Roman" w:hAnsi="Times New Roman"/>
          <w:sz w:val="24"/>
          <w:szCs w:val="24"/>
          <w:u w:val="single"/>
        </w:rPr>
        <w:t>s</w:t>
      </w:r>
      <w:r>
        <w:rPr>
          <w:rFonts w:ascii="Times New Roman" w:hAnsi="Times New Roman"/>
          <w:sz w:val="24"/>
          <w:szCs w:val="24"/>
          <w:u w:val="single"/>
        </w:rPr>
        <w:t xml:space="preserve"> Using Them</w:t>
      </w:r>
    </w:p>
    <w:p w14:paraId="34130BAB" w14:textId="6691CE3D" w:rsidR="00521F9F" w:rsidRDefault="00521F9F">
      <w:pPr>
        <w:spacing w:after="0"/>
        <w:ind w:firstLine="720"/>
        <w:rPr>
          <w:rFonts w:ascii="Times New Roman" w:hAnsi="Times New Roman"/>
          <w:sz w:val="24"/>
          <w:szCs w:val="24"/>
        </w:rPr>
      </w:pPr>
      <w:r w:rsidRPr="005947B1">
        <w:rPr>
          <w:rFonts w:ascii="Times New Roman" w:hAnsi="Times New Roman"/>
          <w:i/>
          <w:sz w:val="24"/>
          <w:szCs w:val="24"/>
        </w:rPr>
        <w:lastRenderedPageBreak/>
        <w:t>Youth development work.</w:t>
      </w:r>
      <w:r w:rsidRPr="00FD0BEB">
        <w:rPr>
          <w:rFonts w:ascii="Times New Roman" w:hAnsi="Times New Roman"/>
          <w:sz w:val="24"/>
          <w:szCs w:val="24"/>
        </w:rPr>
        <w:t xml:space="preserve"> In </w:t>
      </w:r>
      <w:r>
        <w:rPr>
          <w:rFonts w:ascii="Times New Roman" w:hAnsi="Times New Roman"/>
          <w:sz w:val="24"/>
          <w:szCs w:val="24"/>
        </w:rPr>
        <w:t>Y</w:t>
      </w:r>
      <w:r w:rsidRPr="00FD0BEB">
        <w:rPr>
          <w:rFonts w:ascii="Times New Roman" w:hAnsi="Times New Roman"/>
          <w:sz w:val="24"/>
          <w:szCs w:val="24"/>
        </w:rPr>
        <w:t xml:space="preserve">ear 1, human service and youth-focused organizations were the two types most prominently engaged with youth development work. Schools, community-based and immigrant organizations </w:t>
      </w:r>
      <w:r>
        <w:rPr>
          <w:rFonts w:ascii="Times New Roman" w:hAnsi="Times New Roman"/>
          <w:sz w:val="24"/>
          <w:szCs w:val="24"/>
        </w:rPr>
        <w:t xml:space="preserve">also identified </w:t>
      </w:r>
      <w:r w:rsidRPr="00FD0BEB">
        <w:rPr>
          <w:rFonts w:ascii="Times New Roman" w:hAnsi="Times New Roman"/>
          <w:sz w:val="24"/>
          <w:szCs w:val="24"/>
        </w:rPr>
        <w:t xml:space="preserve">youth development </w:t>
      </w:r>
      <w:r>
        <w:rPr>
          <w:rFonts w:ascii="Times New Roman" w:hAnsi="Times New Roman"/>
          <w:sz w:val="24"/>
          <w:szCs w:val="24"/>
        </w:rPr>
        <w:t>as a focus of their work</w:t>
      </w:r>
      <w:r w:rsidRPr="00FD0BEB">
        <w:rPr>
          <w:rFonts w:ascii="Times New Roman" w:hAnsi="Times New Roman"/>
          <w:sz w:val="24"/>
          <w:szCs w:val="24"/>
        </w:rPr>
        <w:t xml:space="preserve">. In </w:t>
      </w:r>
      <w:r>
        <w:rPr>
          <w:rFonts w:ascii="Times New Roman" w:hAnsi="Times New Roman"/>
          <w:sz w:val="24"/>
          <w:szCs w:val="24"/>
        </w:rPr>
        <w:t>Y</w:t>
      </w:r>
      <w:r w:rsidRPr="00FD0BEB">
        <w:rPr>
          <w:rFonts w:ascii="Times New Roman" w:hAnsi="Times New Roman"/>
          <w:sz w:val="24"/>
          <w:szCs w:val="24"/>
        </w:rPr>
        <w:t>ear 3</w:t>
      </w:r>
      <w:r>
        <w:rPr>
          <w:rFonts w:ascii="Times New Roman" w:hAnsi="Times New Roman"/>
          <w:sz w:val="24"/>
          <w:szCs w:val="24"/>
        </w:rPr>
        <w:t>,</w:t>
      </w:r>
      <w:r w:rsidRPr="00FD0BEB">
        <w:rPr>
          <w:rFonts w:ascii="Times New Roman" w:hAnsi="Times New Roman"/>
          <w:sz w:val="24"/>
          <w:szCs w:val="24"/>
        </w:rPr>
        <w:t xml:space="preserve"> human service and youth-focused organizations were joined by churches and education organizations</w:t>
      </w:r>
      <w:r>
        <w:rPr>
          <w:rFonts w:ascii="Times New Roman" w:hAnsi="Times New Roman"/>
          <w:sz w:val="24"/>
          <w:szCs w:val="24"/>
        </w:rPr>
        <w:t xml:space="preserve"> in doing youth development interventions</w:t>
      </w:r>
      <w:r w:rsidRPr="00FD0BEB">
        <w:rPr>
          <w:rFonts w:ascii="Times New Roman" w:hAnsi="Times New Roman"/>
          <w:sz w:val="24"/>
          <w:szCs w:val="24"/>
        </w:rPr>
        <w:t xml:space="preserve">, while in </w:t>
      </w:r>
      <w:r>
        <w:rPr>
          <w:rFonts w:ascii="Times New Roman" w:hAnsi="Times New Roman"/>
          <w:sz w:val="24"/>
          <w:szCs w:val="24"/>
        </w:rPr>
        <w:t>Y</w:t>
      </w:r>
      <w:r w:rsidRPr="00FD0BEB">
        <w:rPr>
          <w:rFonts w:ascii="Times New Roman" w:hAnsi="Times New Roman"/>
          <w:sz w:val="24"/>
          <w:szCs w:val="24"/>
        </w:rPr>
        <w:t xml:space="preserve">ear 5 the leading organizations were human service, youth-focused, education, community-based, and health organizations. We can see that the work of the first two </w:t>
      </w:r>
      <w:r>
        <w:rPr>
          <w:rFonts w:ascii="Times New Roman" w:hAnsi="Times New Roman"/>
          <w:sz w:val="24"/>
          <w:szCs w:val="24"/>
        </w:rPr>
        <w:t xml:space="preserve">kinds of </w:t>
      </w:r>
      <w:r w:rsidRPr="00FD0BEB">
        <w:rPr>
          <w:rFonts w:ascii="Times New Roman" w:hAnsi="Times New Roman"/>
          <w:sz w:val="24"/>
          <w:szCs w:val="24"/>
        </w:rPr>
        <w:t xml:space="preserve">organizations, whose prominence is not surprising, was augmented </w:t>
      </w:r>
      <w:r>
        <w:rPr>
          <w:rFonts w:ascii="Times New Roman" w:hAnsi="Times New Roman"/>
          <w:sz w:val="24"/>
          <w:szCs w:val="24"/>
        </w:rPr>
        <w:t>over</w:t>
      </w:r>
      <w:r w:rsidRPr="00FD0BEB">
        <w:rPr>
          <w:rFonts w:ascii="Times New Roman" w:hAnsi="Times New Roman"/>
          <w:sz w:val="24"/>
          <w:szCs w:val="24"/>
        </w:rPr>
        <w:t xml:space="preserve"> time by an expanding group of organizations, </w:t>
      </w:r>
      <w:r>
        <w:rPr>
          <w:rFonts w:ascii="Times New Roman" w:hAnsi="Times New Roman"/>
          <w:sz w:val="24"/>
          <w:szCs w:val="24"/>
        </w:rPr>
        <w:t>particularly</w:t>
      </w:r>
      <w:r w:rsidRPr="00FD0BEB">
        <w:rPr>
          <w:rFonts w:ascii="Times New Roman" w:hAnsi="Times New Roman"/>
          <w:sz w:val="24"/>
          <w:szCs w:val="24"/>
        </w:rPr>
        <w:t xml:space="preserve"> schools.</w:t>
      </w:r>
    </w:p>
    <w:p w14:paraId="59B368D9" w14:textId="02A1E576" w:rsidR="00521F9F" w:rsidRDefault="00521F9F">
      <w:pPr>
        <w:spacing w:after="0"/>
        <w:ind w:firstLine="720"/>
        <w:rPr>
          <w:rFonts w:ascii="Times New Roman" w:hAnsi="Times New Roman"/>
          <w:sz w:val="24"/>
          <w:szCs w:val="24"/>
        </w:rPr>
      </w:pPr>
      <w:r w:rsidRPr="005947B1">
        <w:rPr>
          <w:rFonts w:ascii="Times New Roman" w:hAnsi="Times New Roman"/>
          <w:i/>
          <w:sz w:val="24"/>
          <w:szCs w:val="24"/>
        </w:rPr>
        <w:t>Mentoring</w:t>
      </w:r>
      <w:r w:rsidRPr="00FD0BEB">
        <w:rPr>
          <w:rFonts w:ascii="Times New Roman" w:hAnsi="Times New Roman"/>
          <w:sz w:val="24"/>
          <w:szCs w:val="24"/>
        </w:rPr>
        <w:t xml:space="preserve">. Mentoring was not a common strategy in </w:t>
      </w:r>
      <w:r>
        <w:rPr>
          <w:rFonts w:ascii="Times New Roman" w:hAnsi="Times New Roman"/>
          <w:sz w:val="24"/>
          <w:szCs w:val="24"/>
        </w:rPr>
        <w:t>Y</w:t>
      </w:r>
      <w:r w:rsidRPr="00FD0BEB">
        <w:rPr>
          <w:rFonts w:ascii="Times New Roman" w:hAnsi="Times New Roman"/>
          <w:sz w:val="24"/>
          <w:szCs w:val="24"/>
        </w:rPr>
        <w:t>ear 1 (</w:t>
      </w:r>
      <w:r>
        <w:rPr>
          <w:rFonts w:ascii="Times New Roman" w:hAnsi="Times New Roman"/>
          <w:sz w:val="24"/>
          <w:szCs w:val="24"/>
        </w:rPr>
        <w:t>as</w:t>
      </w:r>
      <w:r w:rsidRPr="00FD0BEB">
        <w:rPr>
          <w:rFonts w:ascii="Times New Roman" w:hAnsi="Times New Roman"/>
          <w:sz w:val="24"/>
          <w:szCs w:val="24"/>
        </w:rPr>
        <w:t xml:space="preserve"> seen in Table 2) and no organization type stood out as a provider. However, </w:t>
      </w:r>
      <w:r>
        <w:rPr>
          <w:rFonts w:ascii="Times New Roman" w:hAnsi="Times New Roman"/>
          <w:sz w:val="24"/>
          <w:szCs w:val="24"/>
        </w:rPr>
        <w:t>by</w:t>
      </w:r>
      <w:r w:rsidRPr="00FD0BEB">
        <w:rPr>
          <w:rFonts w:ascii="Times New Roman" w:hAnsi="Times New Roman"/>
          <w:sz w:val="24"/>
          <w:szCs w:val="24"/>
        </w:rPr>
        <w:t xml:space="preserve"> </w:t>
      </w:r>
      <w:r>
        <w:rPr>
          <w:rFonts w:ascii="Times New Roman" w:hAnsi="Times New Roman"/>
          <w:sz w:val="24"/>
          <w:szCs w:val="24"/>
        </w:rPr>
        <w:t>Y</w:t>
      </w:r>
      <w:r w:rsidRPr="00FD0BEB">
        <w:rPr>
          <w:rFonts w:ascii="Times New Roman" w:hAnsi="Times New Roman"/>
          <w:sz w:val="24"/>
          <w:szCs w:val="24"/>
        </w:rPr>
        <w:t xml:space="preserve">ear 3, </w:t>
      </w:r>
      <w:r>
        <w:rPr>
          <w:rFonts w:ascii="Times New Roman" w:hAnsi="Times New Roman"/>
          <w:sz w:val="24"/>
          <w:szCs w:val="24"/>
        </w:rPr>
        <w:t xml:space="preserve">the number of organizations engaged in formal or informal mentoring had increased sharply with </w:t>
      </w:r>
      <w:r w:rsidRPr="00FD0BEB">
        <w:rPr>
          <w:rFonts w:ascii="Times New Roman" w:hAnsi="Times New Roman"/>
          <w:sz w:val="24"/>
          <w:szCs w:val="24"/>
        </w:rPr>
        <w:t xml:space="preserve">youth-focused and education organizations frequent providers, and community-based and human service organizations a secondary prominent group. In </w:t>
      </w:r>
      <w:r>
        <w:rPr>
          <w:rFonts w:ascii="Times New Roman" w:hAnsi="Times New Roman"/>
          <w:sz w:val="24"/>
          <w:szCs w:val="24"/>
        </w:rPr>
        <w:t>Y</w:t>
      </w:r>
      <w:r w:rsidRPr="00FD0BEB">
        <w:rPr>
          <w:rFonts w:ascii="Times New Roman" w:hAnsi="Times New Roman"/>
          <w:sz w:val="24"/>
          <w:szCs w:val="24"/>
        </w:rPr>
        <w:t xml:space="preserve">ear 5, </w:t>
      </w:r>
      <w:r>
        <w:rPr>
          <w:rFonts w:ascii="Times New Roman" w:hAnsi="Times New Roman"/>
          <w:sz w:val="24"/>
          <w:szCs w:val="24"/>
        </w:rPr>
        <w:t xml:space="preserve">the proportion of organizations involved in </w:t>
      </w:r>
      <w:r w:rsidRPr="00FD0BEB">
        <w:rPr>
          <w:rFonts w:ascii="Times New Roman" w:hAnsi="Times New Roman"/>
          <w:sz w:val="24"/>
          <w:szCs w:val="24"/>
        </w:rPr>
        <w:t xml:space="preserve">mentoring </w:t>
      </w:r>
      <w:r>
        <w:rPr>
          <w:rFonts w:ascii="Times New Roman" w:hAnsi="Times New Roman"/>
          <w:sz w:val="24"/>
          <w:szCs w:val="24"/>
        </w:rPr>
        <w:t>continued to expand slightly</w:t>
      </w:r>
      <w:r w:rsidRPr="00FD0BEB">
        <w:rPr>
          <w:rFonts w:ascii="Times New Roman" w:hAnsi="Times New Roman"/>
          <w:sz w:val="24"/>
          <w:szCs w:val="24"/>
        </w:rPr>
        <w:t xml:space="preserve">, </w:t>
      </w:r>
      <w:r>
        <w:rPr>
          <w:rFonts w:ascii="Times New Roman" w:hAnsi="Times New Roman"/>
          <w:sz w:val="24"/>
          <w:szCs w:val="24"/>
        </w:rPr>
        <w:t>including</w:t>
      </w:r>
      <w:r w:rsidRPr="00FD0BEB">
        <w:rPr>
          <w:rFonts w:ascii="Times New Roman" w:hAnsi="Times New Roman"/>
          <w:sz w:val="24"/>
          <w:szCs w:val="24"/>
        </w:rPr>
        <w:t xml:space="preserve"> the majority of community-based, human-service, youth-focused, church and school organizations. </w:t>
      </w:r>
    </w:p>
    <w:p w14:paraId="52CA42D8" w14:textId="77777777" w:rsidR="00521F9F" w:rsidRDefault="00521F9F">
      <w:pPr>
        <w:spacing w:after="0"/>
        <w:ind w:firstLine="720"/>
        <w:rPr>
          <w:rFonts w:ascii="Times New Roman" w:hAnsi="Times New Roman"/>
          <w:sz w:val="24"/>
          <w:szCs w:val="24"/>
        </w:rPr>
      </w:pPr>
      <w:r w:rsidRPr="00CE4615">
        <w:rPr>
          <w:rFonts w:ascii="Times New Roman" w:hAnsi="Times New Roman"/>
          <w:i/>
          <w:sz w:val="24"/>
          <w:szCs w:val="24"/>
        </w:rPr>
        <w:t>Education regarding violence</w:t>
      </w:r>
      <w:r w:rsidRPr="00FD0BEB">
        <w:rPr>
          <w:rFonts w:ascii="Times New Roman" w:hAnsi="Times New Roman"/>
          <w:sz w:val="24"/>
          <w:szCs w:val="24"/>
        </w:rPr>
        <w:t xml:space="preserve">. This was a common strategy of YVP from </w:t>
      </w:r>
      <w:r>
        <w:rPr>
          <w:rFonts w:ascii="Times New Roman" w:hAnsi="Times New Roman"/>
          <w:sz w:val="24"/>
          <w:szCs w:val="24"/>
        </w:rPr>
        <w:t>Y</w:t>
      </w:r>
      <w:r w:rsidRPr="00FD0BEB">
        <w:rPr>
          <w:rFonts w:ascii="Times New Roman" w:hAnsi="Times New Roman"/>
          <w:sz w:val="24"/>
          <w:szCs w:val="24"/>
        </w:rPr>
        <w:t xml:space="preserve">ear 1. The most frequent providers were by far schools, then immigrant, health, community-based, and youth-focused organizations. In </w:t>
      </w:r>
      <w:r>
        <w:rPr>
          <w:rFonts w:ascii="Times New Roman" w:hAnsi="Times New Roman"/>
          <w:sz w:val="24"/>
          <w:szCs w:val="24"/>
        </w:rPr>
        <w:t>Y</w:t>
      </w:r>
      <w:r w:rsidRPr="00FD0BEB">
        <w:rPr>
          <w:rFonts w:ascii="Times New Roman" w:hAnsi="Times New Roman"/>
          <w:sz w:val="24"/>
          <w:szCs w:val="24"/>
        </w:rPr>
        <w:t xml:space="preserve">ear 3, human-service organizations joined the list of frequent providers, while </w:t>
      </w:r>
      <w:r>
        <w:rPr>
          <w:rFonts w:ascii="Times New Roman" w:hAnsi="Times New Roman"/>
          <w:sz w:val="24"/>
          <w:szCs w:val="24"/>
        </w:rPr>
        <w:t xml:space="preserve">most </w:t>
      </w:r>
      <w:r w:rsidRPr="00FD0BEB">
        <w:rPr>
          <w:rFonts w:ascii="Times New Roman" w:hAnsi="Times New Roman"/>
          <w:sz w:val="24"/>
          <w:szCs w:val="24"/>
        </w:rPr>
        <w:t xml:space="preserve">immigrant organizations no longer </w:t>
      </w:r>
      <w:r>
        <w:rPr>
          <w:rFonts w:ascii="Times New Roman" w:hAnsi="Times New Roman"/>
          <w:sz w:val="24"/>
          <w:szCs w:val="24"/>
        </w:rPr>
        <w:t>used the strategy</w:t>
      </w:r>
      <w:r w:rsidRPr="00FD0BEB">
        <w:rPr>
          <w:rFonts w:ascii="Times New Roman" w:hAnsi="Times New Roman"/>
          <w:sz w:val="24"/>
          <w:szCs w:val="24"/>
        </w:rPr>
        <w:t xml:space="preserve">. The same </w:t>
      </w:r>
      <w:r>
        <w:rPr>
          <w:rFonts w:ascii="Times New Roman" w:hAnsi="Times New Roman"/>
          <w:sz w:val="24"/>
          <w:szCs w:val="24"/>
        </w:rPr>
        <w:t>kinds of organizations were</w:t>
      </w:r>
      <w:r w:rsidRPr="00FD0BEB">
        <w:rPr>
          <w:rFonts w:ascii="Times New Roman" w:hAnsi="Times New Roman"/>
          <w:sz w:val="24"/>
          <w:szCs w:val="24"/>
        </w:rPr>
        <w:t xml:space="preserve"> observed in </w:t>
      </w:r>
      <w:r>
        <w:rPr>
          <w:rFonts w:ascii="Times New Roman" w:hAnsi="Times New Roman"/>
          <w:sz w:val="24"/>
          <w:szCs w:val="24"/>
        </w:rPr>
        <w:t>Y</w:t>
      </w:r>
      <w:r w:rsidRPr="00FD0BEB">
        <w:rPr>
          <w:rFonts w:ascii="Times New Roman" w:hAnsi="Times New Roman"/>
          <w:sz w:val="24"/>
          <w:szCs w:val="24"/>
        </w:rPr>
        <w:t xml:space="preserve">ear 5, with </w:t>
      </w:r>
      <w:r>
        <w:rPr>
          <w:rFonts w:ascii="Times New Roman" w:hAnsi="Times New Roman"/>
          <w:sz w:val="24"/>
          <w:szCs w:val="24"/>
        </w:rPr>
        <w:t xml:space="preserve">an </w:t>
      </w:r>
      <w:r w:rsidRPr="00FD0BEB">
        <w:rPr>
          <w:rFonts w:ascii="Times New Roman" w:hAnsi="Times New Roman"/>
          <w:sz w:val="24"/>
          <w:szCs w:val="24"/>
        </w:rPr>
        <w:t xml:space="preserve">even higher proportion of organizations engaging in education </w:t>
      </w:r>
      <w:r>
        <w:rPr>
          <w:rFonts w:ascii="Times New Roman" w:hAnsi="Times New Roman"/>
          <w:sz w:val="24"/>
          <w:szCs w:val="24"/>
        </w:rPr>
        <w:t xml:space="preserve">about youth violence </w:t>
      </w:r>
      <w:r w:rsidRPr="00FD0BEB">
        <w:rPr>
          <w:rFonts w:ascii="Times New Roman" w:hAnsi="Times New Roman"/>
          <w:sz w:val="24"/>
          <w:szCs w:val="24"/>
        </w:rPr>
        <w:t>in every group</w:t>
      </w:r>
      <w:r>
        <w:rPr>
          <w:rFonts w:ascii="Times New Roman" w:hAnsi="Times New Roman"/>
          <w:sz w:val="24"/>
          <w:szCs w:val="24"/>
        </w:rPr>
        <w:t xml:space="preserve"> </w:t>
      </w:r>
      <w:r w:rsidRPr="005947B1">
        <w:rPr>
          <w:rFonts w:ascii="Times New Roman" w:hAnsi="Times New Roman"/>
          <w:i/>
          <w:sz w:val="24"/>
          <w:szCs w:val="24"/>
        </w:rPr>
        <w:t>except</w:t>
      </w:r>
      <w:r>
        <w:rPr>
          <w:rFonts w:ascii="Times New Roman" w:hAnsi="Times New Roman"/>
          <w:sz w:val="24"/>
          <w:szCs w:val="24"/>
        </w:rPr>
        <w:t xml:space="preserve"> immigrant organizations (see Discussion)</w:t>
      </w:r>
      <w:r w:rsidRPr="00FD0BEB">
        <w:rPr>
          <w:rFonts w:ascii="Times New Roman" w:hAnsi="Times New Roman"/>
          <w:sz w:val="24"/>
          <w:szCs w:val="24"/>
        </w:rPr>
        <w:t>, and with government agencies joining the effort.</w:t>
      </w:r>
    </w:p>
    <w:p w14:paraId="34733588" w14:textId="77777777" w:rsidR="00521F9F" w:rsidRDefault="00521F9F">
      <w:pPr>
        <w:spacing w:after="0"/>
        <w:ind w:firstLine="720"/>
        <w:rPr>
          <w:rFonts w:ascii="Times New Roman" w:hAnsi="Times New Roman"/>
          <w:sz w:val="24"/>
          <w:szCs w:val="24"/>
        </w:rPr>
      </w:pPr>
      <w:r w:rsidRPr="00BB5334">
        <w:rPr>
          <w:rFonts w:ascii="Times New Roman" w:hAnsi="Times New Roman"/>
          <w:i/>
          <w:sz w:val="24"/>
          <w:szCs w:val="24"/>
        </w:rPr>
        <w:lastRenderedPageBreak/>
        <w:t>Counseling.</w:t>
      </w:r>
      <w:r w:rsidRPr="00FD0BEB">
        <w:rPr>
          <w:rFonts w:ascii="Times New Roman" w:hAnsi="Times New Roman"/>
          <w:sz w:val="24"/>
          <w:szCs w:val="24"/>
        </w:rPr>
        <w:t xml:space="preserve"> Very similarly to mentoring, counseling was uncommon in </w:t>
      </w:r>
      <w:r>
        <w:rPr>
          <w:rFonts w:ascii="Times New Roman" w:hAnsi="Times New Roman"/>
          <w:sz w:val="24"/>
          <w:szCs w:val="24"/>
        </w:rPr>
        <w:t>Y</w:t>
      </w:r>
      <w:r w:rsidRPr="00FD0BEB">
        <w:rPr>
          <w:rFonts w:ascii="Times New Roman" w:hAnsi="Times New Roman"/>
          <w:sz w:val="24"/>
          <w:szCs w:val="24"/>
        </w:rPr>
        <w:t xml:space="preserve">ear 1 but expanded dramatically by </w:t>
      </w:r>
      <w:r>
        <w:rPr>
          <w:rFonts w:ascii="Times New Roman" w:hAnsi="Times New Roman"/>
          <w:sz w:val="24"/>
          <w:szCs w:val="24"/>
        </w:rPr>
        <w:t>Y</w:t>
      </w:r>
      <w:r w:rsidRPr="00FD0BEB">
        <w:rPr>
          <w:rFonts w:ascii="Times New Roman" w:hAnsi="Times New Roman"/>
          <w:sz w:val="24"/>
          <w:szCs w:val="24"/>
        </w:rPr>
        <w:t>ear 3. Community-based, human-service, youth-focused</w:t>
      </w:r>
      <w:r>
        <w:rPr>
          <w:rFonts w:ascii="Times New Roman" w:hAnsi="Times New Roman"/>
          <w:sz w:val="24"/>
          <w:szCs w:val="24"/>
        </w:rPr>
        <w:t xml:space="preserve">, educational and </w:t>
      </w:r>
      <w:r w:rsidRPr="00FD0BEB">
        <w:rPr>
          <w:rFonts w:ascii="Times New Roman" w:hAnsi="Times New Roman"/>
          <w:sz w:val="24"/>
          <w:szCs w:val="24"/>
        </w:rPr>
        <w:t>health</w:t>
      </w:r>
      <w:r>
        <w:rPr>
          <w:rFonts w:ascii="Times New Roman" w:hAnsi="Times New Roman"/>
          <w:sz w:val="24"/>
          <w:szCs w:val="24"/>
        </w:rPr>
        <w:t>/mental health</w:t>
      </w:r>
      <w:r w:rsidRPr="00FD0BEB">
        <w:rPr>
          <w:rFonts w:ascii="Times New Roman" w:hAnsi="Times New Roman"/>
          <w:sz w:val="24"/>
          <w:szCs w:val="24"/>
        </w:rPr>
        <w:t xml:space="preserve"> </w:t>
      </w:r>
      <w:r>
        <w:rPr>
          <w:rFonts w:ascii="Times New Roman" w:hAnsi="Times New Roman"/>
          <w:sz w:val="24"/>
          <w:szCs w:val="24"/>
        </w:rPr>
        <w:t>institutions</w:t>
      </w:r>
      <w:r w:rsidRPr="00FD0BEB">
        <w:rPr>
          <w:rFonts w:ascii="Times New Roman" w:hAnsi="Times New Roman"/>
          <w:sz w:val="24"/>
          <w:szCs w:val="24"/>
        </w:rPr>
        <w:t xml:space="preserve"> were </w:t>
      </w:r>
      <w:r>
        <w:rPr>
          <w:rFonts w:ascii="Times New Roman" w:hAnsi="Times New Roman"/>
          <w:sz w:val="24"/>
          <w:szCs w:val="24"/>
        </w:rPr>
        <w:t>all</w:t>
      </w:r>
      <w:r w:rsidRPr="00FD0BEB">
        <w:rPr>
          <w:rFonts w:ascii="Times New Roman" w:hAnsi="Times New Roman"/>
          <w:sz w:val="24"/>
          <w:szCs w:val="24"/>
        </w:rPr>
        <w:t xml:space="preserve"> leading providers of counseling in </w:t>
      </w:r>
      <w:r>
        <w:rPr>
          <w:rFonts w:ascii="Times New Roman" w:hAnsi="Times New Roman"/>
          <w:sz w:val="24"/>
          <w:szCs w:val="24"/>
        </w:rPr>
        <w:t>Y</w:t>
      </w:r>
      <w:r w:rsidRPr="00FD0BEB">
        <w:rPr>
          <w:rFonts w:ascii="Times New Roman" w:hAnsi="Times New Roman"/>
          <w:sz w:val="24"/>
          <w:szCs w:val="24"/>
        </w:rPr>
        <w:t xml:space="preserve">ear 3. In </w:t>
      </w:r>
      <w:r>
        <w:rPr>
          <w:rFonts w:ascii="Times New Roman" w:hAnsi="Times New Roman"/>
          <w:sz w:val="24"/>
          <w:szCs w:val="24"/>
        </w:rPr>
        <w:t>Y</w:t>
      </w:r>
      <w:r w:rsidRPr="00FD0BEB">
        <w:rPr>
          <w:rFonts w:ascii="Times New Roman" w:hAnsi="Times New Roman"/>
          <w:sz w:val="24"/>
          <w:szCs w:val="24"/>
        </w:rPr>
        <w:t xml:space="preserve">ear 5, </w:t>
      </w:r>
      <w:r>
        <w:rPr>
          <w:rFonts w:ascii="Times New Roman" w:hAnsi="Times New Roman"/>
          <w:sz w:val="24"/>
          <w:szCs w:val="24"/>
        </w:rPr>
        <w:t xml:space="preserve">those same </w:t>
      </w:r>
      <w:r w:rsidRPr="00FD0BEB">
        <w:rPr>
          <w:rFonts w:ascii="Times New Roman" w:hAnsi="Times New Roman"/>
          <w:sz w:val="24"/>
          <w:szCs w:val="24"/>
        </w:rPr>
        <w:t xml:space="preserve">types were </w:t>
      </w:r>
      <w:r>
        <w:rPr>
          <w:rFonts w:ascii="Times New Roman" w:hAnsi="Times New Roman"/>
          <w:sz w:val="24"/>
          <w:szCs w:val="24"/>
        </w:rPr>
        <w:t xml:space="preserve">still likely to </w:t>
      </w:r>
      <w:r w:rsidRPr="00FD0BEB">
        <w:rPr>
          <w:rFonts w:ascii="Times New Roman" w:hAnsi="Times New Roman"/>
          <w:sz w:val="24"/>
          <w:szCs w:val="24"/>
        </w:rPr>
        <w:t>us</w:t>
      </w:r>
      <w:r>
        <w:rPr>
          <w:rFonts w:ascii="Times New Roman" w:hAnsi="Times New Roman"/>
          <w:sz w:val="24"/>
          <w:szCs w:val="24"/>
        </w:rPr>
        <w:t>e</w:t>
      </w:r>
      <w:r w:rsidRPr="00FD0BEB">
        <w:rPr>
          <w:rFonts w:ascii="Times New Roman" w:hAnsi="Times New Roman"/>
          <w:sz w:val="24"/>
          <w:szCs w:val="24"/>
        </w:rPr>
        <w:t xml:space="preserve"> counseling as a strategy.</w:t>
      </w:r>
    </w:p>
    <w:p w14:paraId="42D96CCF" w14:textId="17EC978B" w:rsidR="00521F9F" w:rsidRDefault="00521F9F">
      <w:pPr>
        <w:spacing w:after="0"/>
        <w:ind w:firstLine="720"/>
        <w:rPr>
          <w:rFonts w:ascii="Times New Roman" w:hAnsi="Times New Roman"/>
          <w:sz w:val="24"/>
          <w:szCs w:val="24"/>
        </w:rPr>
      </w:pPr>
      <w:r w:rsidRPr="00CE4615">
        <w:rPr>
          <w:rFonts w:ascii="Times New Roman" w:hAnsi="Times New Roman"/>
          <w:i/>
          <w:sz w:val="24"/>
          <w:szCs w:val="24"/>
        </w:rPr>
        <w:t>Youth activities</w:t>
      </w:r>
      <w:r w:rsidRPr="00FD0BEB">
        <w:rPr>
          <w:rFonts w:ascii="Times New Roman" w:hAnsi="Times New Roman"/>
          <w:sz w:val="24"/>
          <w:szCs w:val="24"/>
        </w:rPr>
        <w:t xml:space="preserve">. As expected, the main providers of youth activities were youth-focused organizations, schools, and human-service organizations in the first year. In </w:t>
      </w:r>
      <w:r>
        <w:rPr>
          <w:rFonts w:ascii="Times New Roman" w:hAnsi="Times New Roman"/>
          <w:sz w:val="24"/>
          <w:szCs w:val="24"/>
        </w:rPr>
        <w:t>Y</w:t>
      </w:r>
      <w:r w:rsidRPr="00FD0BEB">
        <w:rPr>
          <w:rFonts w:ascii="Times New Roman" w:hAnsi="Times New Roman"/>
          <w:sz w:val="24"/>
          <w:szCs w:val="24"/>
        </w:rPr>
        <w:t xml:space="preserve">ear 3, the number of organizations almost doubled, and community-based organizations became frequent providers as well. In </w:t>
      </w:r>
      <w:r>
        <w:rPr>
          <w:rFonts w:ascii="Times New Roman" w:hAnsi="Times New Roman"/>
          <w:sz w:val="24"/>
          <w:szCs w:val="24"/>
        </w:rPr>
        <w:t>Y</w:t>
      </w:r>
      <w:r w:rsidRPr="00FD0BEB">
        <w:rPr>
          <w:rFonts w:ascii="Times New Roman" w:hAnsi="Times New Roman"/>
          <w:sz w:val="24"/>
          <w:szCs w:val="24"/>
        </w:rPr>
        <w:t>ear 5, the core of providers was expanded with churches.</w:t>
      </w:r>
    </w:p>
    <w:p w14:paraId="2A302934" w14:textId="6A7E6166" w:rsidR="00521F9F" w:rsidRDefault="00521F9F">
      <w:pPr>
        <w:spacing w:after="0"/>
        <w:ind w:firstLine="720"/>
        <w:rPr>
          <w:rFonts w:ascii="Times New Roman" w:hAnsi="Times New Roman"/>
          <w:sz w:val="24"/>
          <w:szCs w:val="24"/>
        </w:rPr>
      </w:pPr>
      <w:r w:rsidRPr="00CE4615">
        <w:rPr>
          <w:rFonts w:ascii="Times New Roman" w:hAnsi="Times New Roman"/>
          <w:i/>
          <w:sz w:val="24"/>
          <w:szCs w:val="24"/>
        </w:rPr>
        <w:t>Sponsoring programs</w:t>
      </w:r>
      <w:r w:rsidRPr="00FD0BEB">
        <w:rPr>
          <w:rFonts w:ascii="Times New Roman" w:hAnsi="Times New Roman"/>
          <w:sz w:val="24"/>
          <w:szCs w:val="24"/>
        </w:rPr>
        <w:t xml:space="preserve">. This strategy </w:t>
      </w:r>
      <w:r>
        <w:rPr>
          <w:rFonts w:ascii="Times New Roman" w:hAnsi="Times New Roman"/>
          <w:sz w:val="24"/>
          <w:szCs w:val="24"/>
        </w:rPr>
        <w:t>was used by fewer organizations</w:t>
      </w:r>
      <w:r w:rsidRPr="00FD0BEB">
        <w:rPr>
          <w:rFonts w:ascii="Times New Roman" w:hAnsi="Times New Roman"/>
          <w:sz w:val="24"/>
          <w:szCs w:val="24"/>
        </w:rPr>
        <w:t xml:space="preserve"> throughout the five years of the study</w:t>
      </w:r>
      <w:r>
        <w:rPr>
          <w:rFonts w:ascii="Times New Roman" w:hAnsi="Times New Roman"/>
          <w:sz w:val="24"/>
          <w:szCs w:val="24"/>
        </w:rPr>
        <w:t>, but did increase over time</w:t>
      </w:r>
      <w:r w:rsidRPr="00FD0BEB">
        <w:rPr>
          <w:rFonts w:ascii="Times New Roman" w:hAnsi="Times New Roman"/>
          <w:sz w:val="24"/>
          <w:szCs w:val="24"/>
        </w:rPr>
        <w:t xml:space="preserve">. In </w:t>
      </w:r>
      <w:r>
        <w:rPr>
          <w:rFonts w:ascii="Times New Roman" w:hAnsi="Times New Roman"/>
          <w:sz w:val="24"/>
          <w:szCs w:val="24"/>
        </w:rPr>
        <w:t>Y</w:t>
      </w:r>
      <w:r w:rsidRPr="00FD0BEB">
        <w:rPr>
          <w:rFonts w:ascii="Times New Roman" w:hAnsi="Times New Roman"/>
          <w:sz w:val="24"/>
          <w:szCs w:val="24"/>
        </w:rPr>
        <w:t xml:space="preserve">ear 5, some youth-focused and community-based organizations </w:t>
      </w:r>
      <w:r w:rsidR="00542B5C">
        <w:rPr>
          <w:rFonts w:ascii="Times New Roman" w:hAnsi="Times New Roman"/>
          <w:sz w:val="24"/>
          <w:szCs w:val="24"/>
        </w:rPr>
        <w:t xml:space="preserve">and municipal agencies </w:t>
      </w:r>
      <w:r w:rsidRPr="00FD0BEB">
        <w:rPr>
          <w:rFonts w:ascii="Times New Roman" w:hAnsi="Times New Roman"/>
          <w:sz w:val="24"/>
          <w:szCs w:val="24"/>
        </w:rPr>
        <w:t>reported this kind of engagement as well.</w:t>
      </w:r>
    </w:p>
    <w:p w14:paraId="14A967DD" w14:textId="0D6B75DA" w:rsidR="00521F9F" w:rsidRDefault="00521F9F">
      <w:pPr>
        <w:spacing w:after="0"/>
        <w:ind w:firstLine="720"/>
        <w:rPr>
          <w:rFonts w:ascii="Times New Roman" w:hAnsi="Times New Roman"/>
          <w:sz w:val="24"/>
          <w:szCs w:val="24"/>
        </w:rPr>
      </w:pPr>
      <w:r w:rsidRPr="00CE4615">
        <w:rPr>
          <w:rFonts w:ascii="Times New Roman" w:hAnsi="Times New Roman"/>
          <w:i/>
          <w:sz w:val="24"/>
          <w:szCs w:val="24"/>
        </w:rPr>
        <w:t>Organizing events</w:t>
      </w:r>
      <w:r w:rsidRPr="00FD0BEB">
        <w:rPr>
          <w:rFonts w:ascii="Times New Roman" w:hAnsi="Times New Roman"/>
          <w:sz w:val="24"/>
          <w:szCs w:val="24"/>
        </w:rPr>
        <w:t xml:space="preserve">. In </w:t>
      </w:r>
      <w:r>
        <w:rPr>
          <w:rFonts w:ascii="Times New Roman" w:hAnsi="Times New Roman"/>
          <w:sz w:val="24"/>
          <w:szCs w:val="24"/>
        </w:rPr>
        <w:t>Y</w:t>
      </w:r>
      <w:r w:rsidRPr="00FD0BEB">
        <w:rPr>
          <w:rFonts w:ascii="Times New Roman" w:hAnsi="Times New Roman"/>
          <w:sz w:val="24"/>
          <w:szCs w:val="24"/>
        </w:rPr>
        <w:t xml:space="preserve">ear 1, community-based and human-service organizations were the most frequent </w:t>
      </w:r>
      <w:r>
        <w:rPr>
          <w:rFonts w:ascii="Times New Roman" w:hAnsi="Times New Roman"/>
          <w:sz w:val="24"/>
          <w:szCs w:val="24"/>
        </w:rPr>
        <w:t xml:space="preserve">YVP </w:t>
      </w:r>
      <w:r w:rsidRPr="00FD0BEB">
        <w:rPr>
          <w:rFonts w:ascii="Times New Roman" w:hAnsi="Times New Roman"/>
          <w:sz w:val="24"/>
          <w:szCs w:val="24"/>
        </w:rPr>
        <w:t xml:space="preserve">event organizers, although neither group had more than half of its members </w:t>
      </w:r>
      <w:r>
        <w:rPr>
          <w:rFonts w:ascii="Times New Roman" w:hAnsi="Times New Roman"/>
          <w:sz w:val="24"/>
          <w:szCs w:val="24"/>
        </w:rPr>
        <w:t>using this strategy</w:t>
      </w:r>
      <w:r w:rsidRPr="00FD0BEB">
        <w:rPr>
          <w:rFonts w:ascii="Times New Roman" w:hAnsi="Times New Roman"/>
          <w:sz w:val="24"/>
          <w:szCs w:val="24"/>
        </w:rPr>
        <w:t xml:space="preserve">. In </w:t>
      </w:r>
      <w:r>
        <w:rPr>
          <w:rFonts w:ascii="Times New Roman" w:hAnsi="Times New Roman"/>
          <w:sz w:val="24"/>
          <w:szCs w:val="24"/>
        </w:rPr>
        <w:t>Y</w:t>
      </w:r>
      <w:r w:rsidRPr="00FD0BEB">
        <w:rPr>
          <w:rFonts w:ascii="Times New Roman" w:hAnsi="Times New Roman"/>
          <w:sz w:val="24"/>
          <w:szCs w:val="24"/>
        </w:rPr>
        <w:t xml:space="preserve">ear 3, churches, education and community-based organizations </w:t>
      </w:r>
      <w:r>
        <w:rPr>
          <w:rFonts w:ascii="Times New Roman" w:hAnsi="Times New Roman"/>
          <w:sz w:val="24"/>
          <w:szCs w:val="24"/>
        </w:rPr>
        <w:t>were</w:t>
      </w:r>
      <w:r w:rsidRPr="00FD0BEB">
        <w:rPr>
          <w:rFonts w:ascii="Times New Roman" w:hAnsi="Times New Roman"/>
          <w:sz w:val="24"/>
          <w:szCs w:val="24"/>
        </w:rPr>
        <w:t xml:space="preserve"> the most frequent, followed by youth-focused and human-service organizations. In </w:t>
      </w:r>
      <w:r>
        <w:rPr>
          <w:rFonts w:ascii="Times New Roman" w:hAnsi="Times New Roman"/>
          <w:sz w:val="24"/>
          <w:szCs w:val="24"/>
        </w:rPr>
        <w:t>Y</w:t>
      </w:r>
      <w:r w:rsidRPr="00FD0BEB">
        <w:rPr>
          <w:rFonts w:ascii="Times New Roman" w:hAnsi="Times New Roman"/>
          <w:sz w:val="24"/>
          <w:szCs w:val="24"/>
        </w:rPr>
        <w:t>ear 5, the list shr</w:t>
      </w:r>
      <w:r>
        <w:rPr>
          <w:rFonts w:ascii="Times New Roman" w:hAnsi="Times New Roman"/>
          <w:sz w:val="24"/>
          <w:szCs w:val="24"/>
        </w:rPr>
        <w:t>a</w:t>
      </w:r>
      <w:r w:rsidRPr="00FD0BEB">
        <w:rPr>
          <w:rFonts w:ascii="Times New Roman" w:hAnsi="Times New Roman"/>
          <w:sz w:val="24"/>
          <w:szCs w:val="24"/>
        </w:rPr>
        <w:t xml:space="preserve">nk to mainly the community-based, human-service, and </w:t>
      </w:r>
      <w:r w:rsidR="00542B5C">
        <w:rPr>
          <w:rFonts w:ascii="Times New Roman" w:hAnsi="Times New Roman"/>
          <w:sz w:val="24"/>
          <w:szCs w:val="24"/>
        </w:rPr>
        <w:t xml:space="preserve">municipal </w:t>
      </w:r>
      <w:r w:rsidRPr="00FD0BEB">
        <w:rPr>
          <w:rFonts w:ascii="Times New Roman" w:hAnsi="Times New Roman"/>
          <w:sz w:val="24"/>
          <w:szCs w:val="24"/>
        </w:rPr>
        <w:t>organizations.</w:t>
      </w:r>
    </w:p>
    <w:p w14:paraId="42025710" w14:textId="16B5F866" w:rsidR="00521F9F" w:rsidRDefault="00521F9F">
      <w:pPr>
        <w:spacing w:after="0"/>
        <w:ind w:firstLine="720"/>
        <w:rPr>
          <w:rFonts w:ascii="Times New Roman" w:hAnsi="Times New Roman"/>
          <w:sz w:val="24"/>
          <w:szCs w:val="24"/>
        </w:rPr>
      </w:pPr>
      <w:r w:rsidRPr="00CE4615">
        <w:rPr>
          <w:rFonts w:ascii="Times New Roman" w:hAnsi="Times New Roman"/>
          <w:i/>
          <w:sz w:val="24"/>
          <w:szCs w:val="24"/>
        </w:rPr>
        <w:t>Advocacy</w:t>
      </w:r>
      <w:r w:rsidRPr="00FD0BEB">
        <w:rPr>
          <w:rFonts w:ascii="Times New Roman" w:hAnsi="Times New Roman"/>
          <w:sz w:val="24"/>
          <w:szCs w:val="24"/>
        </w:rPr>
        <w:t xml:space="preserve">. This was not a common strategy </w:t>
      </w:r>
      <w:r w:rsidR="0058294A">
        <w:rPr>
          <w:rFonts w:ascii="Times New Roman" w:hAnsi="Times New Roman"/>
          <w:sz w:val="24"/>
          <w:szCs w:val="24"/>
        </w:rPr>
        <w:t>throughout the study, and the small numbers do not allow for distinctions or tracking of trends. Across the five years, youth organizations were most active in advocacy, followed by human service and health organizations</w:t>
      </w:r>
      <w:r w:rsidRPr="00FD0BEB">
        <w:rPr>
          <w:rFonts w:ascii="Times New Roman" w:hAnsi="Times New Roman"/>
          <w:sz w:val="24"/>
          <w:szCs w:val="24"/>
        </w:rPr>
        <w:t xml:space="preserve">. </w:t>
      </w:r>
    </w:p>
    <w:p w14:paraId="6ED2C91E" w14:textId="77777777" w:rsidR="00521F9F" w:rsidRPr="005947B1" w:rsidRDefault="00521F9F" w:rsidP="00930A2F">
      <w:pPr>
        <w:spacing w:after="0"/>
        <w:rPr>
          <w:rFonts w:ascii="Times New Roman" w:hAnsi="Times New Roman"/>
          <w:sz w:val="24"/>
          <w:szCs w:val="24"/>
          <w:u w:val="single"/>
        </w:rPr>
      </w:pPr>
      <w:r>
        <w:rPr>
          <w:rFonts w:ascii="Times New Roman" w:hAnsi="Times New Roman"/>
          <w:sz w:val="24"/>
          <w:szCs w:val="24"/>
          <w:u w:val="single"/>
        </w:rPr>
        <w:t xml:space="preserve">Espoused </w:t>
      </w:r>
      <w:r w:rsidRPr="005947B1">
        <w:rPr>
          <w:rFonts w:ascii="Times New Roman" w:hAnsi="Times New Roman"/>
          <w:sz w:val="24"/>
          <w:szCs w:val="24"/>
          <w:u w:val="single"/>
        </w:rPr>
        <w:t>I</w:t>
      </w:r>
      <w:r w:rsidRPr="005947B1">
        <w:rPr>
          <w:rFonts w:ascii="Times New Roman" w:hAnsi="Times New Roman"/>
          <w:sz w:val="24"/>
          <w:u w:val="single"/>
        </w:rPr>
        <w:t xml:space="preserve">ntervention Orientations: </w:t>
      </w:r>
      <w:r w:rsidRPr="00065043">
        <w:rPr>
          <w:rFonts w:ascii="Times New Roman" w:hAnsi="Times New Roman"/>
          <w:sz w:val="24"/>
          <w:szCs w:val="24"/>
          <w:u w:val="single"/>
        </w:rPr>
        <w:t>SPECs</w:t>
      </w:r>
      <w:r w:rsidRPr="0058294A" w:rsidDel="00CD26FC">
        <w:rPr>
          <w:rFonts w:ascii="Times New Roman" w:hAnsi="Times New Roman"/>
          <w:sz w:val="24"/>
          <w:u w:val="single"/>
        </w:rPr>
        <w:t xml:space="preserve"> </w:t>
      </w:r>
    </w:p>
    <w:p w14:paraId="277A689B" w14:textId="1FD26959" w:rsidR="00521F9F" w:rsidRPr="00FD0BEB" w:rsidRDefault="00521F9F" w:rsidP="002F63BD">
      <w:pPr>
        <w:spacing w:after="0"/>
        <w:rPr>
          <w:rFonts w:ascii="Times New Roman" w:hAnsi="Times New Roman"/>
          <w:sz w:val="24"/>
          <w:szCs w:val="24"/>
        </w:rPr>
      </w:pPr>
      <w:r w:rsidRPr="00FD0BEB">
        <w:rPr>
          <w:rFonts w:ascii="Times New Roman" w:hAnsi="Times New Roman"/>
          <w:sz w:val="24"/>
          <w:szCs w:val="24"/>
        </w:rPr>
        <w:tab/>
      </w:r>
      <w:r>
        <w:rPr>
          <w:rFonts w:ascii="Times New Roman" w:hAnsi="Times New Roman"/>
          <w:sz w:val="24"/>
          <w:szCs w:val="24"/>
        </w:rPr>
        <w:t xml:space="preserve">The bottom of </w:t>
      </w:r>
      <w:r w:rsidRPr="00FD0BEB">
        <w:rPr>
          <w:rFonts w:ascii="Times New Roman" w:hAnsi="Times New Roman"/>
          <w:sz w:val="24"/>
          <w:szCs w:val="24"/>
        </w:rPr>
        <w:t xml:space="preserve">Table 2 presents </w:t>
      </w:r>
      <w:r>
        <w:rPr>
          <w:rFonts w:ascii="Times New Roman" w:hAnsi="Times New Roman"/>
          <w:sz w:val="24"/>
          <w:szCs w:val="24"/>
        </w:rPr>
        <w:t>intervention</w:t>
      </w:r>
      <w:r w:rsidRPr="00FD0BEB">
        <w:rPr>
          <w:rFonts w:ascii="Times New Roman" w:hAnsi="Times New Roman"/>
          <w:sz w:val="24"/>
          <w:szCs w:val="24"/>
        </w:rPr>
        <w:t xml:space="preserve"> orientation</w:t>
      </w:r>
      <w:r>
        <w:rPr>
          <w:rFonts w:ascii="Times New Roman" w:hAnsi="Times New Roman"/>
          <w:sz w:val="24"/>
          <w:szCs w:val="24"/>
        </w:rPr>
        <w:t xml:space="preserve"> mean</w:t>
      </w:r>
      <w:r w:rsidRPr="00FD0BEB">
        <w:rPr>
          <w:rFonts w:ascii="Times New Roman" w:hAnsi="Times New Roman"/>
          <w:sz w:val="24"/>
          <w:szCs w:val="24"/>
        </w:rPr>
        <w:t xml:space="preserve">s </w:t>
      </w:r>
      <w:r>
        <w:rPr>
          <w:rFonts w:ascii="Times New Roman" w:hAnsi="Times New Roman"/>
          <w:sz w:val="24"/>
          <w:szCs w:val="24"/>
        </w:rPr>
        <w:t>o</w:t>
      </w:r>
      <w:r w:rsidRPr="00FD0BEB">
        <w:rPr>
          <w:rFonts w:ascii="Times New Roman" w:hAnsi="Times New Roman"/>
          <w:sz w:val="24"/>
          <w:szCs w:val="24"/>
        </w:rPr>
        <w:t xml:space="preserve">n the </w:t>
      </w:r>
      <w:r w:rsidRPr="00A7662E">
        <w:rPr>
          <w:rFonts w:ascii="Times New Roman" w:hAnsi="Times New Roman"/>
          <w:i/>
          <w:sz w:val="24"/>
        </w:rPr>
        <w:t>Strengths, Prevention, Empowerment, Community Conditions</w:t>
      </w:r>
      <w:r w:rsidR="0058294A">
        <w:rPr>
          <w:rFonts w:ascii="Times New Roman" w:hAnsi="Times New Roman"/>
          <w:i/>
          <w:sz w:val="24"/>
        </w:rPr>
        <w:t xml:space="preserve"> Change</w:t>
      </w:r>
      <w:r w:rsidRPr="00A7662E">
        <w:rPr>
          <w:rFonts w:ascii="Times New Roman" w:hAnsi="Times New Roman"/>
          <w:i/>
          <w:sz w:val="24"/>
        </w:rPr>
        <w:t xml:space="preserve"> </w:t>
      </w:r>
      <w:r w:rsidRPr="00065043">
        <w:rPr>
          <w:rFonts w:ascii="Times New Roman" w:hAnsi="Times New Roman"/>
          <w:sz w:val="24"/>
        </w:rPr>
        <w:t>(</w:t>
      </w:r>
      <w:r w:rsidRPr="00FD0BEB">
        <w:rPr>
          <w:rFonts w:ascii="Times New Roman" w:hAnsi="Times New Roman"/>
          <w:sz w:val="24"/>
          <w:szCs w:val="24"/>
        </w:rPr>
        <w:t>SPECs</w:t>
      </w:r>
      <w:r>
        <w:rPr>
          <w:rFonts w:ascii="Times New Roman" w:hAnsi="Times New Roman"/>
          <w:sz w:val="24"/>
          <w:szCs w:val="24"/>
        </w:rPr>
        <w:t>)</w:t>
      </w:r>
      <w:r w:rsidRPr="00FD0BEB">
        <w:rPr>
          <w:rFonts w:ascii="Times New Roman" w:hAnsi="Times New Roman"/>
          <w:sz w:val="24"/>
          <w:szCs w:val="24"/>
        </w:rPr>
        <w:t xml:space="preserve"> </w:t>
      </w:r>
      <w:r>
        <w:rPr>
          <w:rFonts w:ascii="Times New Roman" w:hAnsi="Times New Roman"/>
          <w:sz w:val="24"/>
          <w:szCs w:val="24"/>
        </w:rPr>
        <w:t>scales in Years 1, 3, and 5</w:t>
      </w:r>
      <w:r w:rsidRPr="00FD0BEB">
        <w:rPr>
          <w:rFonts w:ascii="Times New Roman" w:hAnsi="Times New Roman"/>
          <w:sz w:val="24"/>
          <w:szCs w:val="24"/>
        </w:rPr>
        <w:t xml:space="preserve"> for participants in the coalition, non-participants, and the total sample. Repeated measures </w:t>
      </w:r>
      <w:r w:rsidRPr="00FD0BEB">
        <w:rPr>
          <w:rFonts w:ascii="Times New Roman" w:hAnsi="Times New Roman"/>
          <w:sz w:val="24"/>
          <w:szCs w:val="24"/>
        </w:rPr>
        <w:lastRenderedPageBreak/>
        <w:t>ANOVA tests were conducted for each orientation only for the total sample, because the groups of participants and non-participants chang</w:t>
      </w:r>
      <w:r>
        <w:rPr>
          <w:rFonts w:ascii="Times New Roman" w:hAnsi="Times New Roman"/>
          <w:sz w:val="24"/>
          <w:szCs w:val="24"/>
        </w:rPr>
        <w:t>ed</w:t>
      </w:r>
      <w:r w:rsidRPr="00FD0BEB">
        <w:rPr>
          <w:rFonts w:ascii="Times New Roman" w:hAnsi="Times New Roman"/>
          <w:sz w:val="24"/>
          <w:szCs w:val="24"/>
        </w:rPr>
        <w:t xml:space="preserve"> </w:t>
      </w:r>
      <w:r>
        <w:rPr>
          <w:rFonts w:ascii="Times New Roman" w:hAnsi="Times New Roman"/>
          <w:sz w:val="24"/>
          <w:szCs w:val="24"/>
        </w:rPr>
        <w:t>over</w:t>
      </w:r>
      <w:r w:rsidRPr="00FD0BEB">
        <w:rPr>
          <w:rFonts w:ascii="Times New Roman" w:hAnsi="Times New Roman"/>
          <w:sz w:val="24"/>
          <w:szCs w:val="24"/>
        </w:rPr>
        <w:t xml:space="preserve"> time. T-tests were conducted for each year for each orientation between participant and non-participant groups. </w:t>
      </w:r>
      <w:r>
        <w:rPr>
          <w:rFonts w:ascii="Times New Roman" w:hAnsi="Times New Roman"/>
          <w:sz w:val="24"/>
          <w:szCs w:val="24"/>
        </w:rPr>
        <w:t>The overall level of SPECs orientations espoused by coalition participants and nonparticipants was not as high as expected. On the 1-5 scale, they ranged from a low of 2.69 (participants’ prevention orientation at Year 5) to a high of 3.59 (nonparticipants’ prevention and empowerment orientations at Year 5). We did not find the expected sharp skew in favor of SPEC principles from the beginning, which would have limited any possible increase in them over time. Despite that, t</w:t>
      </w:r>
      <w:r w:rsidRPr="00FD0BEB">
        <w:rPr>
          <w:rFonts w:ascii="Times New Roman" w:hAnsi="Times New Roman"/>
          <w:sz w:val="24"/>
          <w:szCs w:val="24"/>
        </w:rPr>
        <w:t xml:space="preserve">here </w:t>
      </w:r>
      <w:r>
        <w:rPr>
          <w:rFonts w:ascii="Times New Roman" w:hAnsi="Times New Roman"/>
          <w:sz w:val="24"/>
          <w:szCs w:val="24"/>
        </w:rPr>
        <w:t>were few</w:t>
      </w:r>
      <w:r w:rsidRPr="00FD0BEB">
        <w:rPr>
          <w:rFonts w:ascii="Times New Roman" w:hAnsi="Times New Roman"/>
          <w:sz w:val="24"/>
          <w:szCs w:val="24"/>
        </w:rPr>
        <w:t xml:space="preserve"> statistically </w:t>
      </w:r>
      <w:r>
        <w:rPr>
          <w:rFonts w:ascii="Times New Roman" w:hAnsi="Times New Roman"/>
          <w:sz w:val="24"/>
          <w:szCs w:val="24"/>
        </w:rPr>
        <w:t>significant</w:t>
      </w:r>
      <w:r w:rsidRPr="00FD0BEB">
        <w:rPr>
          <w:rFonts w:ascii="Times New Roman" w:hAnsi="Times New Roman"/>
          <w:sz w:val="24"/>
          <w:szCs w:val="24"/>
        </w:rPr>
        <w:t xml:space="preserve"> change</w:t>
      </w:r>
      <w:r>
        <w:rPr>
          <w:rFonts w:ascii="Times New Roman" w:hAnsi="Times New Roman"/>
          <w:sz w:val="24"/>
          <w:szCs w:val="24"/>
        </w:rPr>
        <w:t>s</w:t>
      </w:r>
      <w:r w:rsidRPr="00FD0BEB">
        <w:rPr>
          <w:rFonts w:ascii="Times New Roman" w:hAnsi="Times New Roman"/>
          <w:sz w:val="24"/>
          <w:szCs w:val="24"/>
        </w:rPr>
        <w:t xml:space="preserve"> </w:t>
      </w:r>
      <w:r>
        <w:rPr>
          <w:rFonts w:ascii="Times New Roman" w:hAnsi="Times New Roman"/>
          <w:sz w:val="24"/>
          <w:szCs w:val="24"/>
        </w:rPr>
        <w:t xml:space="preserve">or differences </w:t>
      </w:r>
      <w:r w:rsidRPr="00FD0BEB">
        <w:rPr>
          <w:rFonts w:ascii="Times New Roman" w:hAnsi="Times New Roman"/>
          <w:sz w:val="24"/>
          <w:szCs w:val="24"/>
        </w:rPr>
        <w:t>in SPECs orientation</w:t>
      </w:r>
      <w:r>
        <w:rPr>
          <w:rFonts w:ascii="Times New Roman" w:hAnsi="Times New Roman"/>
          <w:sz w:val="24"/>
          <w:szCs w:val="24"/>
        </w:rPr>
        <w:t>s</w:t>
      </w:r>
      <w:r w:rsidRPr="00FD0BEB">
        <w:rPr>
          <w:rFonts w:ascii="Times New Roman" w:hAnsi="Times New Roman"/>
          <w:sz w:val="24"/>
          <w:szCs w:val="24"/>
        </w:rPr>
        <w:t xml:space="preserve">. </w:t>
      </w:r>
      <w:r>
        <w:rPr>
          <w:rFonts w:ascii="Times New Roman" w:hAnsi="Times New Roman"/>
          <w:sz w:val="24"/>
          <w:szCs w:val="24"/>
        </w:rPr>
        <w:t>It was</w:t>
      </w:r>
      <w:r w:rsidRPr="00FD0BEB">
        <w:rPr>
          <w:rFonts w:ascii="Times New Roman" w:hAnsi="Times New Roman"/>
          <w:sz w:val="24"/>
          <w:szCs w:val="24"/>
        </w:rPr>
        <w:t xml:space="preserve"> expected </w:t>
      </w:r>
      <w:r>
        <w:rPr>
          <w:rFonts w:ascii="Times New Roman" w:hAnsi="Times New Roman"/>
          <w:sz w:val="24"/>
          <w:szCs w:val="24"/>
        </w:rPr>
        <w:t>that SPECs scores might increase, particularly among coalition participants and for the prevention scale.</w:t>
      </w:r>
      <w:r w:rsidRPr="00FD0BEB">
        <w:rPr>
          <w:rFonts w:ascii="Times New Roman" w:hAnsi="Times New Roman"/>
          <w:sz w:val="24"/>
          <w:szCs w:val="24"/>
        </w:rPr>
        <w:t xml:space="preserve"> Primary prevention orientation</w:t>
      </w:r>
      <w:r>
        <w:rPr>
          <w:rFonts w:ascii="Times New Roman" w:hAnsi="Times New Roman"/>
          <w:sz w:val="24"/>
          <w:szCs w:val="24"/>
        </w:rPr>
        <w:t>, in fact,</w:t>
      </w:r>
      <w:r w:rsidRPr="00FD0BEB">
        <w:rPr>
          <w:rFonts w:ascii="Times New Roman" w:hAnsi="Times New Roman"/>
          <w:sz w:val="24"/>
          <w:szCs w:val="24"/>
        </w:rPr>
        <w:t xml:space="preserve"> </w:t>
      </w:r>
      <w:r w:rsidRPr="00AD3A9A">
        <w:rPr>
          <w:rFonts w:ascii="Times New Roman" w:hAnsi="Times New Roman"/>
          <w:i/>
          <w:sz w:val="24"/>
          <w:szCs w:val="24"/>
        </w:rPr>
        <w:t>decreased</w:t>
      </w:r>
      <w:r w:rsidRPr="00FD0BEB">
        <w:rPr>
          <w:rFonts w:ascii="Times New Roman" w:hAnsi="Times New Roman"/>
          <w:sz w:val="24"/>
          <w:szCs w:val="24"/>
        </w:rPr>
        <w:t xml:space="preserve"> </w:t>
      </w:r>
      <w:r>
        <w:rPr>
          <w:rFonts w:ascii="Times New Roman" w:hAnsi="Times New Roman"/>
          <w:sz w:val="24"/>
          <w:szCs w:val="24"/>
        </w:rPr>
        <w:t xml:space="preserve">significantly </w:t>
      </w:r>
      <w:r w:rsidRPr="00FD0BEB">
        <w:rPr>
          <w:rFonts w:ascii="Times New Roman" w:hAnsi="Times New Roman"/>
          <w:sz w:val="24"/>
          <w:szCs w:val="24"/>
        </w:rPr>
        <w:t xml:space="preserve">in the total sample from </w:t>
      </w:r>
      <w:r>
        <w:rPr>
          <w:rFonts w:ascii="Times New Roman" w:hAnsi="Times New Roman"/>
          <w:sz w:val="24"/>
          <w:szCs w:val="24"/>
        </w:rPr>
        <w:t>Y</w:t>
      </w:r>
      <w:r w:rsidRPr="00FD0BEB">
        <w:rPr>
          <w:rFonts w:ascii="Times New Roman" w:hAnsi="Times New Roman"/>
          <w:sz w:val="24"/>
          <w:szCs w:val="24"/>
        </w:rPr>
        <w:t xml:space="preserve">ear 1 to </w:t>
      </w:r>
      <w:r>
        <w:rPr>
          <w:rFonts w:ascii="Times New Roman" w:hAnsi="Times New Roman"/>
          <w:sz w:val="24"/>
          <w:szCs w:val="24"/>
        </w:rPr>
        <w:t>Year 3</w:t>
      </w:r>
      <w:r w:rsidRPr="00FD0BEB">
        <w:rPr>
          <w:rFonts w:ascii="Times New Roman" w:hAnsi="Times New Roman"/>
          <w:sz w:val="24"/>
          <w:szCs w:val="24"/>
        </w:rPr>
        <w:t xml:space="preserve"> </w:t>
      </w:r>
      <w:r>
        <w:rPr>
          <w:rFonts w:ascii="Times New Roman" w:hAnsi="Times New Roman"/>
          <w:sz w:val="24"/>
          <w:szCs w:val="24"/>
        </w:rPr>
        <w:t>(</w:t>
      </w:r>
      <w:r w:rsidRPr="005947B1">
        <w:rPr>
          <w:rFonts w:ascii="Times New Roman" w:hAnsi="Times New Roman"/>
          <w:i/>
          <w:sz w:val="24"/>
          <w:szCs w:val="24"/>
        </w:rPr>
        <w:t>F</w:t>
      </w:r>
      <w:r w:rsidRPr="00FD0BEB">
        <w:rPr>
          <w:rFonts w:ascii="Times New Roman" w:hAnsi="Times New Roman"/>
          <w:sz w:val="24"/>
          <w:szCs w:val="24"/>
        </w:rPr>
        <w:t xml:space="preserve">(2, 68)=4.833, </w:t>
      </w:r>
      <w:r w:rsidRPr="005947B1">
        <w:rPr>
          <w:rFonts w:ascii="Times New Roman" w:hAnsi="Times New Roman"/>
          <w:i/>
          <w:sz w:val="24"/>
          <w:szCs w:val="24"/>
        </w:rPr>
        <w:t>p</w:t>
      </w:r>
      <w:r w:rsidRPr="00FD0BEB">
        <w:rPr>
          <w:rFonts w:ascii="Times New Roman" w:hAnsi="Times New Roman"/>
          <w:sz w:val="24"/>
          <w:szCs w:val="24"/>
        </w:rPr>
        <w:t>=.011</w:t>
      </w:r>
      <w:r>
        <w:rPr>
          <w:rFonts w:ascii="Times New Roman" w:hAnsi="Times New Roman"/>
          <w:sz w:val="24"/>
          <w:szCs w:val="24"/>
        </w:rPr>
        <w:t>)</w:t>
      </w:r>
      <w:r w:rsidRPr="00FD0BEB">
        <w:rPr>
          <w:rFonts w:ascii="Times New Roman" w:hAnsi="Times New Roman"/>
          <w:sz w:val="24"/>
          <w:szCs w:val="24"/>
        </w:rPr>
        <w:t xml:space="preserve">, where pairwise comparisons using Bonferroni adjustment showed </w:t>
      </w:r>
      <w:r>
        <w:rPr>
          <w:rFonts w:ascii="Times New Roman" w:hAnsi="Times New Roman"/>
          <w:sz w:val="24"/>
          <w:szCs w:val="24"/>
        </w:rPr>
        <w:t xml:space="preserve">a </w:t>
      </w:r>
      <w:r w:rsidRPr="00FD0BEB">
        <w:rPr>
          <w:rFonts w:ascii="Times New Roman" w:hAnsi="Times New Roman"/>
          <w:sz w:val="24"/>
          <w:szCs w:val="24"/>
        </w:rPr>
        <w:t>significant difference between year</w:t>
      </w:r>
      <w:r>
        <w:rPr>
          <w:rFonts w:ascii="Times New Roman" w:hAnsi="Times New Roman"/>
          <w:sz w:val="24"/>
          <w:szCs w:val="24"/>
        </w:rPr>
        <w:t>s</w:t>
      </w:r>
      <w:r w:rsidRPr="00FD0BEB">
        <w:rPr>
          <w:rFonts w:ascii="Times New Roman" w:hAnsi="Times New Roman"/>
          <w:sz w:val="24"/>
          <w:szCs w:val="24"/>
        </w:rPr>
        <w:t xml:space="preserve"> </w:t>
      </w:r>
      <w:r>
        <w:rPr>
          <w:rFonts w:ascii="Times New Roman" w:hAnsi="Times New Roman"/>
          <w:sz w:val="24"/>
          <w:szCs w:val="24"/>
        </w:rPr>
        <w:t>(</w:t>
      </w:r>
      <w:r w:rsidRPr="005947B1">
        <w:rPr>
          <w:rFonts w:ascii="Times New Roman" w:hAnsi="Times New Roman"/>
          <w:i/>
          <w:sz w:val="24"/>
          <w:szCs w:val="24"/>
        </w:rPr>
        <w:t>p</w:t>
      </w:r>
      <w:r w:rsidRPr="00FD0BEB">
        <w:rPr>
          <w:rFonts w:ascii="Times New Roman" w:hAnsi="Times New Roman"/>
          <w:sz w:val="24"/>
          <w:szCs w:val="24"/>
        </w:rPr>
        <w:t>=.024</w:t>
      </w:r>
      <w:r>
        <w:rPr>
          <w:rFonts w:ascii="Times New Roman" w:hAnsi="Times New Roman"/>
          <w:sz w:val="24"/>
          <w:szCs w:val="24"/>
        </w:rPr>
        <w:t>)</w:t>
      </w:r>
      <w:r w:rsidRPr="00FD0BEB">
        <w:rPr>
          <w:rFonts w:ascii="Times New Roman" w:hAnsi="Times New Roman"/>
          <w:sz w:val="24"/>
          <w:szCs w:val="24"/>
        </w:rPr>
        <w:t>.</w:t>
      </w:r>
      <w:r>
        <w:rPr>
          <w:rFonts w:ascii="Times New Roman" w:hAnsi="Times New Roman"/>
          <w:sz w:val="24"/>
          <w:szCs w:val="24"/>
        </w:rPr>
        <w:t xml:space="preserve"> Unexpectedly, </w:t>
      </w:r>
      <w:r w:rsidRPr="00FD0BEB">
        <w:rPr>
          <w:rFonts w:ascii="Times New Roman" w:hAnsi="Times New Roman"/>
          <w:sz w:val="24"/>
          <w:szCs w:val="24"/>
        </w:rPr>
        <w:t xml:space="preserve">the primary prevention orientation among participants was </w:t>
      </w:r>
      <w:r>
        <w:rPr>
          <w:rFonts w:ascii="Times New Roman" w:hAnsi="Times New Roman"/>
          <w:sz w:val="24"/>
          <w:szCs w:val="24"/>
        </w:rPr>
        <w:t xml:space="preserve">also </w:t>
      </w:r>
      <w:r w:rsidRPr="00FD0BEB">
        <w:rPr>
          <w:rFonts w:ascii="Times New Roman" w:hAnsi="Times New Roman"/>
          <w:sz w:val="24"/>
          <w:szCs w:val="24"/>
        </w:rPr>
        <w:t xml:space="preserve">significantly </w:t>
      </w:r>
      <w:r w:rsidRPr="00A15A8B">
        <w:rPr>
          <w:rFonts w:ascii="Times New Roman" w:hAnsi="Times New Roman"/>
          <w:sz w:val="24"/>
          <w:szCs w:val="24"/>
          <w:u w:val="single"/>
        </w:rPr>
        <w:t>lower</w:t>
      </w:r>
      <w:r w:rsidRPr="00FD0BEB">
        <w:rPr>
          <w:rFonts w:ascii="Times New Roman" w:hAnsi="Times New Roman"/>
          <w:sz w:val="24"/>
          <w:szCs w:val="24"/>
        </w:rPr>
        <w:t xml:space="preserve"> than for non-participants in year 5 </w:t>
      </w:r>
      <w:r>
        <w:rPr>
          <w:rFonts w:ascii="Times New Roman" w:hAnsi="Times New Roman"/>
          <w:sz w:val="24"/>
          <w:szCs w:val="24"/>
        </w:rPr>
        <w:t>(</w:t>
      </w:r>
      <w:r w:rsidRPr="005947B1">
        <w:rPr>
          <w:rFonts w:ascii="Times New Roman" w:hAnsi="Times New Roman"/>
          <w:i/>
          <w:sz w:val="24"/>
          <w:szCs w:val="24"/>
        </w:rPr>
        <w:t>t</w:t>
      </w:r>
      <w:r w:rsidRPr="00FD0BEB">
        <w:rPr>
          <w:rFonts w:ascii="Times New Roman" w:hAnsi="Times New Roman"/>
          <w:sz w:val="24"/>
          <w:szCs w:val="24"/>
        </w:rPr>
        <w:t xml:space="preserve">(57)=2.801, </w:t>
      </w:r>
      <w:r w:rsidRPr="005947B1">
        <w:rPr>
          <w:rFonts w:ascii="Times New Roman" w:hAnsi="Times New Roman"/>
          <w:i/>
          <w:sz w:val="24"/>
          <w:szCs w:val="24"/>
        </w:rPr>
        <w:t>p</w:t>
      </w:r>
      <w:r w:rsidRPr="00FD0BEB">
        <w:rPr>
          <w:rFonts w:ascii="Times New Roman" w:hAnsi="Times New Roman"/>
          <w:sz w:val="24"/>
          <w:szCs w:val="24"/>
        </w:rPr>
        <w:t>=.007</w:t>
      </w:r>
      <w:r>
        <w:rPr>
          <w:rFonts w:ascii="Times New Roman" w:hAnsi="Times New Roman"/>
          <w:sz w:val="24"/>
          <w:szCs w:val="24"/>
        </w:rPr>
        <w:t>)</w:t>
      </w:r>
      <w:r w:rsidRPr="00FD0BEB">
        <w:rPr>
          <w:rFonts w:ascii="Times New Roman" w:hAnsi="Times New Roman"/>
          <w:sz w:val="24"/>
          <w:szCs w:val="24"/>
        </w:rPr>
        <w:t xml:space="preserve">. </w:t>
      </w:r>
    </w:p>
    <w:p w14:paraId="1E0BBA95" w14:textId="77777777" w:rsidR="00521F9F" w:rsidRPr="00FD0BEB" w:rsidRDefault="00521F9F" w:rsidP="00930A2F">
      <w:pPr>
        <w:spacing w:after="0"/>
        <w:rPr>
          <w:rFonts w:ascii="Times New Roman" w:hAnsi="Times New Roman"/>
          <w:sz w:val="24"/>
          <w:szCs w:val="24"/>
        </w:rPr>
      </w:pPr>
      <w:r w:rsidRPr="00FD0BEB">
        <w:rPr>
          <w:rFonts w:ascii="Times New Roman" w:hAnsi="Times New Roman"/>
          <w:sz w:val="24"/>
          <w:szCs w:val="24"/>
        </w:rPr>
        <w:tab/>
      </w:r>
      <w:r>
        <w:rPr>
          <w:rFonts w:ascii="Times New Roman" w:hAnsi="Times New Roman"/>
          <w:sz w:val="24"/>
          <w:szCs w:val="24"/>
        </w:rPr>
        <w:t xml:space="preserve">Other contrasts were not statistically significant but suggestive. </w:t>
      </w:r>
      <w:r w:rsidRPr="00FD0BEB">
        <w:rPr>
          <w:rFonts w:ascii="Times New Roman" w:hAnsi="Times New Roman"/>
          <w:sz w:val="24"/>
          <w:szCs w:val="24"/>
        </w:rPr>
        <w:t xml:space="preserve">In </w:t>
      </w:r>
      <w:r>
        <w:rPr>
          <w:rFonts w:ascii="Times New Roman" w:hAnsi="Times New Roman"/>
          <w:sz w:val="24"/>
          <w:szCs w:val="24"/>
        </w:rPr>
        <w:t>Y</w:t>
      </w:r>
      <w:r w:rsidRPr="00FD0BEB">
        <w:rPr>
          <w:rFonts w:ascii="Times New Roman" w:hAnsi="Times New Roman"/>
          <w:sz w:val="24"/>
          <w:szCs w:val="24"/>
        </w:rPr>
        <w:t xml:space="preserve">ear 1, participants in the coalition had slightly higher scores on community condition and strengths orientation, while non-participants had a higher primary prevention orientation. In </w:t>
      </w:r>
      <w:r>
        <w:rPr>
          <w:rFonts w:ascii="Times New Roman" w:hAnsi="Times New Roman"/>
          <w:sz w:val="24"/>
          <w:szCs w:val="24"/>
        </w:rPr>
        <w:t>Y</w:t>
      </w:r>
      <w:r w:rsidRPr="00FD0BEB">
        <w:rPr>
          <w:rFonts w:ascii="Times New Roman" w:hAnsi="Times New Roman"/>
          <w:sz w:val="24"/>
          <w:szCs w:val="24"/>
        </w:rPr>
        <w:t xml:space="preserve">ear 3, the community conditions orientation of the participants group remained higher than for non-participants, while </w:t>
      </w:r>
      <w:r>
        <w:rPr>
          <w:rFonts w:ascii="Times New Roman" w:hAnsi="Times New Roman"/>
          <w:sz w:val="24"/>
          <w:szCs w:val="24"/>
        </w:rPr>
        <w:t xml:space="preserve">the preventive orientation of nonparticipants remained slightly higher (although both decreased), and </w:t>
      </w:r>
      <w:r w:rsidRPr="00FD0BEB">
        <w:rPr>
          <w:rFonts w:ascii="Times New Roman" w:hAnsi="Times New Roman"/>
          <w:sz w:val="24"/>
          <w:szCs w:val="24"/>
        </w:rPr>
        <w:t>the other t</w:t>
      </w:r>
      <w:r>
        <w:rPr>
          <w:rFonts w:ascii="Times New Roman" w:hAnsi="Times New Roman"/>
          <w:sz w:val="24"/>
          <w:szCs w:val="24"/>
        </w:rPr>
        <w:t>wo</w:t>
      </w:r>
      <w:r w:rsidRPr="00FD0BEB">
        <w:rPr>
          <w:rFonts w:ascii="Times New Roman" w:hAnsi="Times New Roman"/>
          <w:sz w:val="24"/>
          <w:szCs w:val="24"/>
        </w:rPr>
        <w:t xml:space="preserve"> SPEC elements were </w:t>
      </w:r>
      <w:r>
        <w:rPr>
          <w:rFonts w:ascii="Times New Roman" w:hAnsi="Times New Roman"/>
          <w:sz w:val="24"/>
          <w:szCs w:val="24"/>
        </w:rPr>
        <w:t>similar</w:t>
      </w:r>
      <w:r w:rsidRPr="00FD0BEB">
        <w:rPr>
          <w:rFonts w:ascii="Times New Roman" w:hAnsi="Times New Roman"/>
          <w:sz w:val="24"/>
          <w:szCs w:val="24"/>
        </w:rPr>
        <w:t xml:space="preserve"> between the two groups. In </w:t>
      </w:r>
      <w:r>
        <w:rPr>
          <w:rFonts w:ascii="Times New Roman" w:hAnsi="Times New Roman"/>
          <w:sz w:val="24"/>
          <w:szCs w:val="24"/>
        </w:rPr>
        <w:t>Y</w:t>
      </w:r>
      <w:r w:rsidRPr="00FD0BEB">
        <w:rPr>
          <w:rFonts w:ascii="Times New Roman" w:hAnsi="Times New Roman"/>
          <w:sz w:val="24"/>
          <w:szCs w:val="24"/>
        </w:rPr>
        <w:t xml:space="preserve">ear 5, all SPEC elements had comparable levels between participants and non-participants, except the </w:t>
      </w:r>
      <w:r>
        <w:rPr>
          <w:rFonts w:ascii="Times New Roman" w:hAnsi="Times New Roman"/>
          <w:sz w:val="24"/>
          <w:szCs w:val="24"/>
        </w:rPr>
        <w:t>above</w:t>
      </w:r>
      <w:r w:rsidRPr="00FD0BEB">
        <w:rPr>
          <w:rFonts w:ascii="Times New Roman" w:hAnsi="Times New Roman"/>
          <w:sz w:val="24"/>
          <w:szCs w:val="24"/>
        </w:rPr>
        <w:t xml:space="preserve"> statistically significant difference in primary prevention orientation</w:t>
      </w:r>
      <w:r>
        <w:rPr>
          <w:rFonts w:ascii="Times New Roman" w:hAnsi="Times New Roman"/>
          <w:sz w:val="24"/>
          <w:szCs w:val="24"/>
        </w:rPr>
        <w:t xml:space="preserve">, which surprisingly started </w:t>
      </w:r>
      <w:r w:rsidRPr="00F67789">
        <w:rPr>
          <w:rFonts w:ascii="Times New Roman" w:hAnsi="Times New Roman"/>
          <w:i/>
          <w:sz w:val="24"/>
          <w:szCs w:val="24"/>
        </w:rPr>
        <w:lastRenderedPageBreak/>
        <w:t>lower</w:t>
      </w:r>
      <w:r>
        <w:rPr>
          <w:rFonts w:ascii="Times New Roman" w:hAnsi="Times New Roman"/>
          <w:sz w:val="24"/>
          <w:szCs w:val="24"/>
        </w:rPr>
        <w:t xml:space="preserve"> among coalition participants and </w:t>
      </w:r>
      <w:r w:rsidRPr="00F67789">
        <w:rPr>
          <w:rFonts w:ascii="Times New Roman" w:hAnsi="Times New Roman"/>
          <w:i/>
          <w:sz w:val="24"/>
          <w:szCs w:val="24"/>
        </w:rPr>
        <w:t>decreased</w:t>
      </w:r>
      <w:r>
        <w:rPr>
          <w:rFonts w:ascii="Times New Roman" w:hAnsi="Times New Roman"/>
          <w:sz w:val="24"/>
          <w:szCs w:val="24"/>
        </w:rPr>
        <w:t xml:space="preserve"> over time</w:t>
      </w:r>
      <w:r w:rsidRPr="00FD0BEB">
        <w:rPr>
          <w:rFonts w:ascii="Times New Roman" w:hAnsi="Times New Roman"/>
          <w:sz w:val="24"/>
          <w:szCs w:val="24"/>
        </w:rPr>
        <w:t>. We can also see that strengths orientation scored lowest throughout the study compared to the other elements, for the two groups and the total sample.</w:t>
      </w:r>
      <w:r>
        <w:rPr>
          <w:rFonts w:ascii="Times New Roman" w:hAnsi="Times New Roman"/>
          <w:sz w:val="24"/>
          <w:szCs w:val="24"/>
        </w:rPr>
        <w:t xml:space="preserve"> </w:t>
      </w:r>
    </w:p>
    <w:p w14:paraId="4301A96A" w14:textId="77777777" w:rsidR="00521F9F" w:rsidRPr="005947B1" w:rsidRDefault="00521F9F">
      <w:pPr>
        <w:spacing w:after="0"/>
        <w:rPr>
          <w:rFonts w:ascii="Times New Roman" w:hAnsi="Times New Roman"/>
          <w:sz w:val="24"/>
          <w:szCs w:val="24"/>
          <w:u w:val="single"/>
        </w:rPr>
      </w:pPr>
      <w:r w:rsidRPr="005947B1">
        <w:rPr>
          <w:rFonts w:ascii="Times New Roman" w:hAnsi="Times New Roman"/>
          <w:sz w:val="24"/>
          <w:szCs w:val="24"/>
          <w:u w:val="single"/>
        </w:rPr>
        <w:t>Overall Trends in the Coalition</w:t>
      </w:r>
    </w:p>
    <w:p w14:paraId="31CD25B2" w14:textId="0E126A63" w:rsidR="00521F9F" w:rsidRDefault="00521F9F">
      <w:pPr>
        <w:spacing w:after="0"/>
        <w:ind w:firstLine="720"/>
        <w:rPr>
          <w:rFonts w:ascii="Times New Roman" w:hAnsi="Times New Roman"/>
          <w:sz w:val="24"/>
          <w:szCs w:val="24"/>
        </w:rPr>
      </w:pPr>
      <w:r w:rsidRPr="00FD0BEB">
        <w:rPr>
          <w:rFonts w:ascii="Times New Roman" w:hAnsi="Times New Roman"/>
          <w:sz w:val="24"/>
          <w:szCs w:val="24"/>
        </w:rPr>
        <w:t>As shown in Table 1, participation in the coalition (defined as two or more attendances at coalition quarterly meetings or work group monthly meetings per year</w:t>
      </w:r>
      <w:r>
        <w:rPr>
          <w:rStyle w:val="FootnoteReference"/>
          <w:rFonts w:ascii="Times New Roman" w:hAnsi="Times New Roman"/>
          <w:sz w:val="24"/>
          <w:szCs w:val="24"/>
        </w:rPr>
        <w:footnoteReference w:id="1"/>
      </w:r>
      <w:r w:rsidRPr="00FD0BEB">
        <w:rPr>
          <w:rFonts w:ascii="Times New Roman" w:hAnsi="Times New Roman"/>
          <w:sz w:val="24"/>
          <w:szCs w:val="24"/>
        </w:rPr>
        <w:t xml:space="preserve">) declined over time. Starting with 23 </w:t>
      </w:r>
      <w:r>
        <w:rPr>
          <w:rFonts w:ascii="Times New Roman" w:hAnsi="Times New Roman"/>
          <w:sz w:val="24"/>
          <w:szCs w:val="24"/>
        </w:rPr>
        <w:t>active participating organizations</w:t>
      </w:r>
      <w:r w:rsidRPr="00FD0BEB">
        <w:rPr>
          <w:rFonts w:ascii="Times New Roman" w:hAnsi="Times New Roman"/>
          <w:sz w:val="24"/>
          <w:szCs w:val="24"/>
        </w:rPr>
        <w:t xml:space="preserve"> in in the first year of the coalition, it expanded to 26 in </w:t>
      </w:r>
      <w:r>
        <w:rPr>
          <w:rFonts w:ascii="Times New Roman" w:hAnsi="Times New Roman"/>
          <w:sz w:val="24"/>
          <w:szCs w:val="24"/>
        </w:rPr>
        <w:t>Y</w:t>
      </w:r>
      <w:r w:rsidRPr="00FD0BEB">
        <w:rPr>
          <w:rFonts w:ascii="Times New Roman" w:hAnsi="Times New Roman"/>
          <w:sz w:val="24"/>
          <w:szCs w:val="24"/>
        </w:rPr>
        <w:t xml:space="preserve">ear </w:t>
      </w:r>
      <w:r>
        <w:rPr>
          <w:rFonts w:ascii="Times New Roman" w:hAnsi="Times New Roman"/>
          <w:sz w:val="24"/>
          <w:szCs w:val="24"/>
        </w:rPr>
        <w:t>2</w:t>
      </w:r>
      <w:r w:rsidRPr="00FD0BEB">
        <w:rPr>
          <w:rFonts w:ascii="Times New Roman" w:hAnsi="Times New Roman"/>
          <w:sz w:val="24"/>
          <w:szCs w:val="24"/>
        </w:rPr>
        <w:t xml:space="preserve">, and then declined to </w:t>
      </w:r>
      <w:r>
        <w:rPr>
          <w:rFonts w:ascii="Times New Roman" w:hAnsi="Times New Roman"/>
          <w:sz w:val="24"/>
          <w:szCs w:val="24"/>
        </w:rPr>
        <w:t xml:space="preserve">just </w:t>
      </w:r>
      <w:r w:rsidRPr="00FD0BEB">
        <w:rPr>
          <w:rFonts w:ascii="Times New Roman" w:hAnsi="Times New Roman"/>
          <w:sz w:val="24"/>
          <w:szCs w:val="24"/>
        </w:rPr>
        <w:t xml:space="preserve">14 organizations in </w:t>
      </w:r>
      <w:r>
        <w:rPr>
          <w:rFonts w:ascii="Times New Roman" w:hAnsi="Times New Roman"/>
          <w:sz w:val="24"/>
          <w:szCs w:val="24"/>
        </w:rPr>
        <w:t>Y</w:t>
      </w:r>
      <w:r w:rsidRPr="00FD0BEB">
        <w:rPr>
          <w:rFonts w:ascii="Times New Roman" w:hAnsi="Times New Roman"/>
          <w:sz w:val="24"/>
          <w:szCs w:val="24"/>
        </w:rPr>
        <w:t xml:space="preserve">ear </w:t>
      </w:r>
      <w:r>
        <w:rPr>
          <w:rFonts w:ascii="Times New Roman" w:hAnsi="Times New Roman"/>
          <w:sz w:val="24"/>
          <w:szCs w:val="24"/>
        </w:rPr>
        <w:t>3</w:t>
      </w:r>
      <w:r w:rsidRPr="00FD0BEB">
        <w:rPr>
          <w:rFonts w:ascii="Times New Roman" w:hAnsi="Times New Roman"/>
          <w:sz w:val="24"/>
          <w:szCs w:val="24"/>
        </w:rPr>
        <w:t xml:space="preserve">. </w:t>
      </w:r>
      <w:r>
        <w:rPr>
          <w:rFonts w:ascii="Times New Roman" w:hAnsi="Times New Roman"/>
          <w:sz w:val="24"/>
          <w:szCs w:val="24"/>
        </w:rPr>
        <w:t>Active c</w:t>
      </w:r>
      <w:r w:rsidRPr="00FD0BEB">
        <w:rPr>
          <w:rFonts w:ascii="Times New Roman" w:hAnsi="Times New Roman"/>
          <w:sz w:val="24"/>
          <w:szCs w:val="24"/>
        </w:rPr>
        <w:t>oalition participation leveled off for the remainder of our study with a core group of 13-15 organizations.</w:t>
      </w:r>
    </w:p>
    <w:p w14:paraId="5F7640EA" w14:textId="0C1D9366" w:rsidR="00B3523B" w:rsidRDefault="00B3523B" w:rsidP="00B3523B">
      <w:pPr>
        <w:spacing w:after="0"/>
        <w:ind w:firstLine="720"/>
        <w:rPr>
          <w:rFonts w:ascii="Times New Roman" w:hAnsi="Times New Roman"/>
          <w:sz w:val="24"/>
          <w:szCs w:val="24"/>
        </w:rPr>
      </w:pPr>
      <w:r w:rsidRPr="00FD0BEB">
        <w:rPr>
          <w:rFonts w:ascii="Times New Roman" w:hAnsi="Times New Roman"/>
          <w:sz w:val="24"/>
          <w:szCs w:val="24"/>
        </w:rPr>
        <w:t xml:space="preserve">Different types of organizations focusing on YVP joined the coalition. In </w:t>
      </w:r>
      <w:r>
        <w:rPr>
          <w:rFonts w:ascii="Times New Roman" w:hAnsi="Times New Roman"/>
          <w:sz w:val="24"/>
          <w:szCs w:val="24"/>
        </w:rPr>
        <w:t>Y</w:t>
      </w:r>
      <w:r w:rsidRPr="00FD0BEB">
        <w:rPr>
          <w:rFonts w:ascii="Times New Roman" w:hAnsi="Times New Roman"/>
          <w:sz w:val="24"/>
          <w:szCs w:val="24"/>
        </w:rPr>
        <w:t xml:space="preserve">ear </w:t>
      </w:r>
      <w:r>
        <w:rPr>
          <w:rFonts w:ascii="Times New Roman" w:hAnsi="Times New Roman"/>
          <w:sz w:val="24"/>
          <w:szCs w:val="24"/>
        </w:rPr>
        <w:t>1</w:t>
      </w:r>
      <w:r w:rsidRPr="00FD0BEB">
        <w:rPr>
          <w:rFonts w:ascii="Times New Roman" w:hAnsi="Times New Roman"/>
          <w:sz w:val="24"/>
          <w:szCs w:val="24"/>
        </w:rPr>
        <w:t xml:space="preserve">, human service organizations, education organizations, and </w:t>
      </w:r>
      <w:r>
        <w:rPr>
          <w:rFonts w:ascii="Times New Roman" w:hAnsi="Times New Roman"/>
          <w:sz w:val="24"/>
          <w:szCs w:val="24"/>
        </w:rPr>
        <w:t>youth organizations</w:t>
      </w:r>
      <w:r w:rsidRPr="00FD0BEB">
        <w:rPr>
          <w:rFonts w:ascii="Times New Roman" w:hAnsi="Times New Roman"/>
          <w:sz w:val="24"/>
          <w:szCs w:val="24"/>
        </w:rPr>
        <w:t xml:space="preserve"> </w:t>
      </w:r>
      <w:r>
        <w:rPr>
          <w:rFonts w:ascii="Times New Roman" w:hAnsi="Times New Roman"/>
          <w:sz w:val="24"/>
          <w:szCs w:val="24"/>
        </w:rPr>
        <w:t xml:space="preserve">provided 16 </w:t>
      </w:r>
      <w:r w:rsidRPr="00FD0BEB">
        <w:rPr>
          <w:rFonts w:ascii="Times New Roman" w:hAnsi="Times New Roman"/>
          <w:sz w:val="24"/>
          <w:szCs w:val="24"/>
        </w:rPr>
        <w:t xml:space="preserve">of </w:t>
      </w:r>
      <w:r>
        <w:rPr>
          <w:rFonts w:ascii="Times New Roman" w:hAnsi="Times New Roman"/>
          <w:sz w:val="24"/>
          <w:szCs w:val="24"/>
        </w:rPr>
        <w:t>23 participating organizations</w:t>
      </w:r>
      <w:r w:rsidRPr="00FD0BEB">
        <w:rPr>
          <w:rFonts w:ascii="Times New Roman" w:hAnsi="Times New Roman"/>
          <w:sz w:val="24"/>
          <w:szCs w:val="24"/>
        </w:rPr>
        <w:t xml:space="preserve">. Their majority is indicative of the impetus for the coalition coming from professionalized youth services. </w:t>
      </w:r>
      <w:r>
        <w:rPr>
          <w:rFonts w:ascii="Times New Roman" w:hAnsi="Times New Roman"/>
          <w:sz w:val="24"/>
          <w:szCs w:val="24"/>
        </w:rPr>
        <w:t>T</w:t>
      </w:r>
      <w:r w:rsidRPr="00FD0BEB">
        <w:rPr>
          <w:rFonts w:ascii="Times New Roman" w:hAnsi="Times New Roman"/>
          <w:sz w:val="24"/>
          <w:szCs w:val="24"/>
        </w:rPr>
        <w:t>he small number or absence of civil organizations, such as community</w:t>
      </w:r>
      <w:r>
        <w:rPr>
          <w:rFonts w:ascii="Times New Roman" w:hAnsi="Times New Roman"/>
          <w:sz w:val="24"/>
          <w:szCs w:val="24"/>
        </w:rPr>
        <w:t>-based</w:t>
      </w:r>
      <w:r w:rsidRPr="00FD0BEB">
        <w:rPr>
          <w:rFonts w:ascii="Times New Roman" w:hAnsi="Times New Roman"/>
          <w:sz w:val="24"/>
          <w:szCs w:val="24"/>
        </w:rPr>
        <w:t>, immigrant organizations</w:t>
      </w:r>
      <w:r>
        <w:rPr>
          <w:rFonts w:ascii="Times New Roman" w:hAnsi="Times New Roman"/>
          <w:sz w:val="24"/>
          <w:szCs w:val="24"/>
        </w:rPr>
        <w:t>,</w:t>
      </w:r>
      <w:r w:rsidRPr="00FD0BEB">
        <w:rPr>
          <w:rFonts w:ascii="Times New Roman" w:hAnsi="Times New Roman"/>
          <w:sz w:val="24"/>
          <w:szCs w:val="24"/>
        </w:rPr>
        <w:t xml:space="preserve"> and churches</w:t>
      </w:r>
      <w:r>
        <w:rPr>
          <w:rFonts w:ascii="Times New Roman" w:hAnsi="Times New Roman"/>
          <w:sz w:val="24"/>
          <w:szCs w:val="24"/>
        </w:rPr>
        <w:t xml:space="preserve"> prevented a broader-based, more grassroots community coalition</w:t>
      </w:r>
      <w:r w:rsidRPr="00FD0BEB">
        <w:rPr>
          <w:rFonts w:ascii="Times New Roman" w:hAnsi="Times New Roman"/>
          <w:sz w:val="24"/>
          <w:szCs w:val="24"/>
        </w:rPr>
        <w:t xml:space="preserve">. </w:t>
      </w:r>
      <w:r>
        <w:rPr>
          <w:rFonts w:ascii="Times New Roman" w:hAnsi="Times New Roman"/>
          <w:sz w:val="24"/>
          <w:szCs w:val="24"/>
        </w:rPr>
        <w:t xml:space="preserve">Coalition staff made a substantial effort to widely publicize both coalition and individual organizations’ events, and Year 2 did see some additional youth organizations, an immigrant organization and a church joined the coalition. But numbers declined again in Years 3-5. </w:t>
      </w:r>
      <w:r w:rsidRPr="00FD0BEB">
        <w:rPr>
          <w:rFonts w:ascii="Times New Roman" w:hAnsi="Times New Roman"/>
          <w:sz w:val="24"/>
          <w:szCs w:val="24"/>
        </w:rPr>
        <w:t xml:space="preserve">Table 1 shows how different types of organizations </w:t>
      </w:r>
      <w:r>
        <w:rPr>
          <w:rFonts w:ascii="Times New Roman" w:hAnsi="Times New Roman"/>
          <w:sz w:val="24"/>
          <w:szCs w:val="24"/>
        </w:rPr>
        <w:t>(among respondents) stopped participating actively in</w:t>
      </w:r>
      <w:r w:rsidRPr="00FD0BEB">
        <w:rPr>
          <w:rFonts w:ascii="Times New Roman" w:hAnsi="Times New Roman"/>
          <w:sz w:val="24"/>
          <w:szCs w:val="24"/>
        </w:rPr>
        <w:t xml:space="preserve"> the coalition, most remarkably human service organizations. Educational </w:t>
      </w:r>
      <w:r>
        <w:rPr>
          <w:rFonts w:ascii="Times New Roman" w:hAnsi="Times New Roman"/>
          <w:sz w:val="24"/>
          <w:szCs w:val="24"/>
        </w:rPr>
        <w:t xml:space="preserve">and youth </w:t>
      </w:r>
      <w:r w:rsidRPr="00FD0BEB">
        <w:rPr>
          <w:rFonts w:ascii="Times New Roman" w:hAnsi="Times New Roman"/>
          <w:sz w:val="24"/>
          <w:szCs w:val="24"/>
        </w:rPr>
        <w:t xml:space="preserve">organizations remained </w:t>
      </w:r>
      <w:r>
        <w:rPr>
          <w:rFonts w:ascii="Times New Roman" w:hAnsi="Times New Roman"/>
          <w:sz w:val="24"/>
          <w:szCs w:val="24"/>
        </w:rPr>
        <w:t>the largest</w:t>
      </w:r>
      <w:r w:rsidRPr="00FD0BEB">
        <w:rPr>
          <w:rFonts w:ascii="Times New Roman" w:hAnsi="Times New Roman"/>
          <w:sz w:val="24"/>
          <w:szCs w:val="24"/>
        </w:rPr>
        <w:t xml:space="preserve"> core group of </w:t>
      </w:r>
      <w:r>
        <w:rPr>
          <w:rFonts w:ascii="Times New Roman" w:hAnsi="Times New Roman"/>
          <w:sz w:val="24"/>
          <w:szCs w:val="24"/>
        </w:rPr>
        <w:t>participants</w:t>
      </w:r>
      <w:r w:rsidRPr="00FD0BEB">
        <w:rPr>
          <w:rFonts w:ascii="Times New Roman" w:hAnsi="Times New Roman"/>
          <w:sz w:val="24"/>
          <w:szCs w:val="24"/>
        </w:rPr>
        <w:t xml:space="preserve">, probably because </w:t>
      </w:r>
      <w:r>
        <w:rPr>
          <w:rFonts w:ascii="Times New Roman" w:hAnsi="Times New Roman"/>
          <w:sz w:val="24"/>
          <w:szCs w:val="24"/>
        </w:rPr>
        <w:t xml:space="preserve">several schools each had a youth services coordinator paid by the </w:t>
      </w:r>
      <w:r>
        <w:rPr>
          <w:rFonts w:ascii="Times New Roman" w:hAnsi="Times New Roman"/>
          <w:sz w:val="24"/>
          <w:szCs w:val="24"/>
        </w:rPr>
        <w:lastRenderedPageBreak/>
        <w:t>same grant that supported the coalition</w:t>
      </w:r>
      <w:r w:rsidRPr="00FD0BEB">
        <w:rPr>
          <w:rFonts w:ascii="Times New Roman" w:hAnsi="Times New Roman"/>
          <w:sz w:val="24"/>
          <w:szCs w:val="24"/>
        </w:rPr>
        <w:t xml:space="preserve">. </w:t>
      </w:r>
      <w:r>
        <w:rPr>
          <w:rFonts w:ascii="Times New Roman" w:hAnsi="Times New Roman"/>
          <w:sz w:val="24"/>
          <w:szCs w:val="24"/>
        </w:rPr>
        <w:t>C</w:t>
      </w:r>
      <w:r w:rsidRPr="00FD0BEB">
        <w:rPr>
          <w:rFonts w:ascii="Times New Roman" w:hAnsi="Times New Roman"/>
          <w:sz w:val="24"/>
          <w:szCs w:val="24"/>
        </w:rPr>
        <w:t>ommunity</w:t>
      </w:r>
      <w:r>
        <w:rPr>
          <w:rFonts w:ascii="Times New Roman" w:hAnsi="Times New Roman"/>
          <w:sz w:val="24"/>
          <w:szCs w:val="24"/>
        </w:rPr>
        <w:t>, and human service</w:t>
      </w:r>
      <w:r w:rsidRPr="00FD0BEB">
        <w:rPr>
          <w:rFonts w:ascii="Times New Roman" w:hAnsi="Times New Roman"/>
          <w:sz w:val="24"/>
          <w:szCs w:val="24"/>
        </w:rPr>
        <w:t xml:space="preserve"> organizations also </w:t>
      </w:r>
      <w:r>
        <w:rPr>
          <w:rFonts w:ascii="Times New Roman" w:hAnsi="Times New Roman"/>
          <w:sz w:val="24"/>
          <w:szCs w:val="24"/>
        </w:rPr>
        <w:t>continued to participate at about two or three apiece</w:t>
      </w:r>
      <w:r w:rsidRPr="00FD0BEB">
        <w:rPr>
          <w:rFonts w:ascii="Times New Roman" w:hAnsi="Times New Roman"/>
          <w:sz w:val="24"/>
          <w:szCs w:val="24"/>
        </w:rPr>
        <w:t xml:space="preserve">. </w:t>
      </w:r>
    </w:p>
    <w:p w14:paraId="78E19619" w14:textId="77777777" w:rsidR="00521F9F" w:rsidRPr="005947B1" w:rsidRDefault="00521F9F" w:rsidP="00AD05EC">
      <w:pPr>
        <w:spacing w:after="0"/>
        <w:rPr>
          <w:rFonts w:ascii="Times New Roman" w:hAnsi="Times New Roman"/>
          <w:sz w:val="24"/>
          <w:szCs w:val="24"/>
          <w:u w:val="single"/>
        </w:rPr>
      </w:pPr>
      <w:r w:rsidRPr="005947B1">
        <w:rPr>
          <w:rFonts w:ascii="Times New Roman" w:hAnsi="Times New Roman"/>
          <w:sz w:val="24"/>
          <w:szCs w:val="24"/>
          <w:u w:val="single"/>
        </w:rPr>
        <w:t>Changes in the Organizational and Coalition Network over Time</w:t>
      </w:r>
    </w:p>
    <w:p w14:paraId="014822EA" w14:textId="2C3774EC" w:rsidR="00521F9F" w:rsidRDefault="00521F9F">
      <w:pPr>
        <w:spacing w:after="0"/>
        <w:ind w:firstLine="720"/>
        <w:rPr>
          <w:rFonts w:ascii="Times New Roman" w:hAnsi="Times New Roman"/>
          <w:sz w:val="24"/>
        </w:rPr>
      </w:pPr>
      <w:r w:rsidRPr="00E25F7E">
        <w:rPr>
          <w:rFonts w:ascii="Times New Roman" w:hAnsi="Times New Roman" w:cs="·s²Ó©úÅé"/>
          <w:sz w:val="24"/>
          <w:szCs w:val="24"/>
        </w:rPr>
        <w:t>Organizational social network analyses for Years 1, 3, and 5 were conducted in UCINET 6.</w:t>
      </w:r>
      <w:r w:rsidRPr="00000645">
        <w:rPr>
          <w:rFonts w:ascii="Times New Roman" w:hAnsi="Times New Roman" w:cs="·s²Ó©úÅé"/>
        </w:rPr>
        <w:t xml:space="preserve"> </w:t>
      </w:r>
      <w:r>
        <w:rPr>
          <w:rFonts w:ascii="Times New Roman" w:hAnsi="Times New Roman"/>
          <w:sz w:val="24"/>
        </w:rPr>
        <w:t xml:space="preserve">Figures 1, 2 and 3 are </w:t>
      </w:r>
      <w:r w:rsidRPr="00FD0BEB">
        <w:rPr>
          <w:rFonts w:ascii="Times New Roman" w:hAnsi="Times New Roman"/>
          <w:sz w:val="24"/>
        </w:rPr>
        <w:t>network maps showing ties between organizations both participating and not participating in the coalition. The data were collected over five</w:t>
      </w:r>
      <w:r>
        <w:rPr>
          <w:rFonts w:ascii="Times New Roman" w:hAnsi="Times New Roman"/>
          <w:sz w:val="24"/>
        </w:rPr>
        <w:t xml:space="preserve"> </w:t>
      </w:r>
      <w:r w:rsidRPr="00FD0BEB">
        <w:rPr>
          <w:rFonts w:ascii="Times New Roman" w:hAnsi="Times New Roman"/>
          <w:sz w:val="24"/>
        </w:rPr>
        <w:t>year</w:t>
      </w:r>
      <w:r>
        <w:rPr>
          <w:rFonts w:ascii="Times New Roman" w:hAnsi="Times New Roman"/>
          <w:sz w:val="24"/>
        </w:rPr>
        <w:t>s</w:t>
      </w:r>
      <w:r w:rsidRPr="00FD0BEB">
        <w:rPr>
          <w:rFonts w:ascii="Times New Roman" w:hAnsi="Times New Roman"/>
          <w:sz w:val="24"/>
        </w:rPr>
        <w:t xml:space="preserve"> on various forms of organizational collaboration on YVP activities (information sharing, the coordinated provision of social services and programs, sharing of monetary resources, </w:t>
      </w:r>
      <w:r>
        <w:rPr>
          <w:rFonts w:ascii="Times New Roman" w:hAnsi="Times New Roman"/>
          <w:sz w:val="24"/>
        </w:rPr>
        <w:t xml:space="preserve">cosponsoring events, </w:t>
      </w:r>
      <w:r w:rsidRPr="00FD0BEB">
        <w:rPr>
          <w:rFonts w:ascii="Times New Roman" w:hAnsi="Times New Roman"/>
          <w:sz w:val="24"/>
        </w:rPr>
        <w:t xml:space="preserve">and </w:t>
      </w:r>
      <w:r>
        <w:rPr>
          <w:rFonts w:ascii="Times New Roman" w:hAnsi="Times New Roman"/>
          <w:sz w:val="24"/>
        </w:rPr>
        <w:t xml:space="preserve">in rarer occasions, </w:t>
      </w:r>
      <w:r w:rsidRPr="00FD0BEB">
        <w:rPr>
          <w:rFonts w:ascii="Times New Roman" w:hAnsi="Times New Roman"/>
          <w:sz w:val="24"/>
        </w:rPr>
        <w:t>collaborative work on advocacy and policy change).</w:t>
      </w:r>
      <w:r>
        <w:rPr>
          <w:rFonts w:ascii="Times New Roman" w:hAnsi="Times New Roman"/>
          <w:sz w:val="24"/>
        </w:rPr>
        <w:t xml:space="preserve">  </w:t>
      </w:r>
    </w:p>
    <w:p w14:paraId="477018CA" w14:textId="14FDAE05" w:rsidR="00521F9F" w:rsidRDefault="00521F9F">
      <w:pPr>
        <w:spacing w:after="0"/>
        <w:ind w:firstLine="720"/>
        <w:rPr>
          <w:rFonts w:ascii="Times New Roman" w:hAnsi="Times New Roman"/>
          <w:sz w:val="24"/>
          <w:szCs w:val="24"/>
        </w:rPr>
      </w:pPr>
      <w:r>
        <w:rPr>
          <w:rFonts w:ascii="Times New Roman" w:hAnsi="Times New Roman"/>
          <w:sz w:val="24"/>
        </w:rPr>
        <w:t>As the figures show, the overall networks did not change dramatically over time. They are fairly dispersed each year, without a strong core-periphery structure (e.g., there is no single nor just a few gatekeeper organizations), although coalition participants were clearly more central in Year 1, but appear to become slightly less so in Years 3 and 5, which was unexpected. This was due to some core participants no longer attending coalition or committee meetings after the first year or two. The overall network density statistic increased from Year 1 to Year 3 then decreased and by Year 5, organizations were reporting fewer collaborative ties.</w:t>
      </w:r>
    </w:p>
    <w:p w14:paraId="3273D68D" w14:textId="41C1A501" w:rsidR="00521F9F" w:rsidRDefault="00521F9F" w:rsidP="006B2B7F">
      <w:pPr>
        <w:spacing w:after="0"/>
        <w:jc w:val="center"/>
        <w:rPr>
          <w:rFonts w:ascii="Times New Roman" w:hAnsi="Times New Roman"/>
          <w:sz w:val="24"/>
          <w:szCs w:val="24"/>
        </w:rPr>
      </w:pPr>
      <w:r>
        <w:rPr>
          <w:rFonts w:ascii="Times New Roman" w:hAnsi="Times New Roman"/>
          <w:sz w:val="24"/>
          <w:szCs w:val="24"/>
        </w:rPr>
        <w:t>[INSERT FIGURES 1, 2, 3 HERE]</w:t>
      </w:r>
    </w:p>
    <w:p w14:paraId="26E4DE87" w14:textId="77777777" w:rsidR="00D559AD" w:rsidRPr="00764C56" w:rsidRDefault="00D559AD" w:rsidP="00D559AD">
      <w:pPr>
        <w:spacing w:after="0"/>
        <w:rPr>
          <w:rFonts w:ascii="Times New Roman" w:hAnsi="Times New Roman"/>
          <w:sz w:val="24"/>
          <w:szCs w:val="24"/>
          <w:u w:val="single"/>
        </w:rPr>
      </w:pPr>
      <w:r w:rsidRPr="00764C56">
        <w:rPr>
          <w:rFonts w:ascii="Times New Roman" w:hAnsi="Times New Roman"/>
          <w:sz w:val="24"/>
          <w:szCs w:val="24"/>
          <w:u w:val="single"/>
        </w:rPr>
        <w:t>Trends in City-wide Juvenile Crime</w:t>
      </w:r>
      <w:r>
        <w:rPr>
          <w:rFonts w:ascii="Times New Roman" w:hAnsi="Times New Roman"/>
          <w:sz w:val="24"/>
          <w:szCs w:val="24"/>
          <w:u w:val="single"/>
        </w:rPr>
        <w:t>s</w:t>
      </w:r>
      <w:r w:rsidRPr="00764C56">
        <w:rPr>
          <w:rFonts w:ascii="Times New Roman" w:hAnsi="Times New Roman"/>
          <w:sz w:val="24"/>
          <w:szCs w:val="24"/>
          <w:u w:val="single"/>
        </w:rPr>
        <w:t xml:space="preserve"> and Arrests</w:t>
      </w:r>
    </w:p>
    <w:p w14:paraId="3539B69D" w14:textId="484EB16B" w:rsidR="00D559AD" w:rsidRDefault="00D559AD" w:rsidP="00D559AD">
      <w:pPr>
        <w:spacing w:after="0"/>
        <w:ind w:firstLine="720"/>
        <w:rPr>
          <w:rFonts w:ascii="Times New Roman" w:hAnsi="Times New Roman"/>
          <w:sz w:val="24"/>
        </w:rPr>
      </w:pPr>
      <w:r>
        <w:rPr>
          <w:rFonts w:ascii="Times New Roman" w:hAnsi="Times New Roman"/>
          <w:sz w:val="24"/>
        </w:rPr>
        <w:t>Table 3 provides city-wide juvenile arrests</w:t>
      </w:r>
      <w:r w:rsidR="00F87E66">
        <w:rPr>
          <w:rFonts w:ascii="Times New Roman" w:hAnsi="Times New Roman"/>
          <w:sz w:val="24"/>
        </w:rPr>
        <w:t xml:space="preserve"> and court referrals</w:t>
      </w:r>
      <w:r>
        <w:rPr>
          <w:rFonts w:ascii="Times New Roman" w:hAnsi="Times New Roman"/>
          <w:sz w:val="24"/>
        </w:rPr>
        <w:t xml:space="preserve"> from b</w:t>
      </w:r>
      <w:r w:rsidRPr="00563556">
        <w:rPr>
          <w:rFonts w:ascii="Times New Roman" w:hAnsi="Times New Roman"/>
          <w:sz w:val="24"/>
        </w:rPr>
        <w:t>efore</w:t>
      </w:r>
      <w:r>
        <w:rPr>
          <w:rFonts w:ascii="Times New Roman" w:hAnsi="Times New Roman"/>
          <w:sz w:val="24"/>
        </w:rPr>
        <w:t xml:space="preserve"> the coalition was organized in 2007 through its main years of operation from 2008 through 2011 until after it was unfunded </w:t>
      </w:r>
      <w:r w:rsidR="006C4D9F">
        <w:rPr>
          <w:rFonts w:ascii="Times New Roman" w:hAnsi="Times New Roman"/>
          <w:sz w:val="24"/>
        </w:rPr>
        <w:t>at the start of</w:t>
      </w:r>
      <w:r>
        <w:rPr>
          <w:rFonts w:ascii="Times New Roman" w:hAnsi="Times New Roman"/>
          <w:sz w:val="24"/>
        </w:rPr>
        <w:t xml:space="preserve"> 2012 </w:t>
      </w:r>
      <w:r w:rsidR="00B70CB2">
        <w:rPr>
          <w:rFonts w:ascii="Times New Roman" w:hAnsi="Times New Roman"/>
          <w:sz w:val="24"/>
        </w:rPr>
        <w:t xml:space="preserve">but continued </w:t>
      </w:r>
      <w:r w:rsidR="006C4D9F">
        <w:rPr>
          <w:rFonts w:ascii="Times New Roman" w:hAnsi="Times New Roman"/>
          <w:sz w:val="24"/>
        </w:rPr>
        <w:t xml:space="preserve">information sharing </w:t>
      </w:r>
      <w:r>
        <w:rPr>
          <w:rFonts w:ascii="Times New Roman" w:hAnsi="Times New Roman"/>
          <w:sz w:val="24"/>
        </w:rPr>
        <w:t xml:space="preserve">and disbanded </w:t>
      </w:r>
      <w:r w:rsidR="006C4D9F">
        <w:rPr>
          <w:rFonts w:ascii="Times New Roman" w:hAnsi="Times New Roman"/>
          <w:sz w:val="24"/>
        </w:rPr>
        <w:t>around</w:t>
      </w:r>
      <w:r>
        <w:rPr>
          <w:rFonts w:ascii="Times New Roman" w:hAnsi="Times New Roman"/>
          <w:sz w:val="24"/>
        </w:rPr>
        <w:t xml:space="preserve"> 2013.</w:t>
      </w:r>
      <w:r w:rsidRPr="00563556">
        <w:rPr>
          <w:rFonts w:ascii="Times New Roman" w:hAnsi="Times New Roman"/>
          <w:sz w:val="24"/>
        </w:rPr>
        <w:t xml:space="preserve"> </w:t>
      </w:r>
      <w:r w:rsidR="006C4D9F">
        <w:rPr>
          <w:rFonts w:ascii="Times New Roman" w:hAnsi="Times New Roman"/>
          <w:sz w:val="24"/>
        </w:rPr>
        <w:t>J</w:t>
      </w:r>
      <w:r>
        <w:rPr>
          <w:rFonts w:ascii="Times New Roman" w:hAnsi="Times New Roman"/>
          <w:sz w:val="24"/>
        </w:rPr>
        <w:t>uvenile arrests, arrests for violent and weapons offenses</w:t>
      </w:r>
      <w:r w:rsidR="006477D2">
        <w:rPr>
          <w:rFonts w:ascii="Times New Roman" w:hAnsi="Times New Roman"/>
          <w:sz w:val="24"/>
        </w:rPr>
        <w:t>,</w:t>
      </w:r>
      <w:r>
        <w:rPr>
          <w:rFonts w:ascii="Times New Roman" w:hAnsi="Times New Roman"/>
          <w:sz w:val="24"/>
        </w:rPr>
        <w:t xml:space="preserve"> homicide arrests</w:t>
      </w:r>
      <w:r w:rsidR="006477D2">
        <w:rPr>
          <w:rFonts w:ascii="Times New Roman" w:hAnsi="Times New Roman"/>
          <w:sz w:val="24"/>
        </w:rPr>
        <w:t>, and case referrals to juvenile court for violent crimes</w:t>
      </w:r>
      <w:r>
        <w:rPr>
          <w:rFonts w:ascii="Times New Roman" w:hAnsi="Times New Roman"/>
          <w:sz w:val="24"/>
        </w:rPr>
        <w:t xml:space="preserve"> all decreased </w:t>
      </w:r>
      <w:r w:rsidR="00885BC4">
        <w:rPr>
          <w:rFonts w:ascii="Times New Roman" w:hAnsi="Times New Roman"/>
          <w:sz w:val="24"/>
        </w:rPr>
        <w:t xml:space="preserve">substantially </w:t>
      </w:r>
      <w:r>
        <w:rPr>
          <w:rFonts w:ascii="Times New Roman" w:hAnsi="Times New Roman"/>
          <w:sz w:val="24"/>
        </w:rPr>
        <w:t>over the years the coalition operated</w:t>
      </w:r>
      <w:r w:rsidR="006C4D9F">
        <w:rPr>
          <w:rFonts w:ascii="Times New Roman" w:hAnsi="Times New Roman"/>
          <w:sz w:val="24"/>
        </w:rPr>
        <w:t>.</w:t>
      </w:r>
      <w:r>
        <w:rPr>
          <w:rFonts w:ascii="Times New Roman" w:hAnsi="Times New Roman"/>
          <w:sz w:val="24"/>
        </w:rPr>
        <w:t xml:space="preserve"> </w:t>
      </w:r>
      <w:r w:rsidR="006C4D9F">
        <w:rPr>
          <w:rFonts w:ascii="Times New Roman" w:hAnsi="Times New Roman"/>
          <w:sz w:val="24"/>
        </w:rPr>
        <w:lastRenderedPageBreak/>
        <w:t xml:space="preserve">Not shown in Table 3, reports of </w:t>
      </w:r>
      <w:r>
        <w:rPr>
          <w:rFonts w:ascii="Times New Roman" w:hAnsi="Times New Roman"/>
          <w:sz w:val="24"/>
        </w:rPr>
        <w:t>both total juvenile crime</w:t>
      </w:r>
      <w:r w:rsidR="006C4D9F">
        <w:rPr>
          <w:rFonts w:ascii="Times New Roman" w:hAnsi="Times New Roman"/>
          <w:sz w:val="24"/>
        </w:rPr>
        <w:t>s</w:t>
      </w:r>
      <w:r>
        <w:rPr>
          <w:rFonts w:ascii="Times New Roman" w:hAnsi="Times New Roman"/>
          <w:sz w:val="24"/>
        </w:rPr>
        <w:t xml:space="preserve"> and firearm-related juvenile c</w:t>
      </w:r>
      <w:r w:rsidRPr="00EB3245">
        <w:rPr>
          <w:rFonts w:ascii="Times New Roman" w:hAnsi="Times New Roman"/>
          <w:sz w:val="24"/>
        </w:rPr>
        <w:t xml:space="preserve">rimes </w:t>
      </w:r>
      <w:r w:rsidR="006C4D9F">
        <w:rPr>
          <w:rFonts w:ascii="Times New Roman" w:hAnsi="Times New Roman"/>
          <w:sz w:val="24"/>
        </w:rPr>
        <w:t xml:space="preserve">also </w:t>
      </w:r>
      <w:r>
        <w:rPr>
          <w:rFonts w:ascii="Times New Roman" w:hAnsi="Times New Roman"/>
          <w:sz w:val="24"/>
        </w:rPr>
        <w:t xml:space="preserve">decreased </w:t>
      </w:r>
      <w:r w:rsidR="006C4D9F">
        <w:rPr>
          <w:rFonts w:ascii="Times New Roman" w:hAnsi="Times New Roman"/>
          <w:sz w:val="24"/>
        </w:rPr>
        <w:t xml:space="preserve">during </w:t>
      </w:r>
      <w:r>
        <w:rPr>
          <w:rFonts w:ascii="Times New Roman" w:hAnsi="Times New Roman"/>
          <w:sz w:val="24"/>
        </w:rPr>
        <w:t xml:space="preserve">the </w:t>
      </w:r>
      <w:r w:rsidR="006C4D9F">
        <w:rPr>
          <w:rFonts w:ascii="Times New Roman" w:hAnsi="Times New Roman"/>
          <w:sz w:val="24"/>
        </w:rPr>
        <w:t xml:space="preserve">life of the </w:t>
      </w:r>
      <w:r>
        <w:rPr>
          <w:rFonts w:ascii="Times New Roman" w:hAnsi="Times New Roman"/>
          <w:sz w:val="24"/>
        </w:rPr>
        <w:t>coalition</w:t>
      </w:r>
      <w:r w:rsidR="006C4D9F">
        <w:rPr>
          <w:rFonts w:ascii="Times New Roman" w:hAnsi="Times New Roman"/>
          <w:sz w:val="24"/>
        </w:rPr>
        <w:t>.</w:t>
      </w:r>
      <w:r>
        <w:rPr>
          <w:rFonts w:ascii="Times New Roman" w:hAnsi="Times New Roman"/>
          <w:sz w:val="24"/>
        </w:rPr>
        <w:t xml:space="preserve"> </w:t>
      </w:r>
      <w:r w:rsidR="006477D2">
        <w:rPr>
          <w:rFonts w:ascii="Times New Roman" w:hAnsi="Times New Roman"/>
          <w:sz w:val="24"/>
        </w:rPr>
        <w:t>Limitations of the data are discussed below.</w:t>
      </w:r>
    </w:p>
    <w:p w14:paraId="021F6926" w14:textId="77777777" w:rsidR="00D559AD" w:rsidRPr="00FD0BEB" w:rsidRDefault="00D559AD" w:rsidP="00D559AD">
      <w:pPr>
        <w:spacing w:after="0"/>
        <w:jc w:val="center"/>
        <w:rPr>
          <w:rFonts w:ascii="Times New Roman" w:hAnsi="Times New Roman"/>
          <w:sz w:val="24"/>
          <w:szCs w:val="24"/>
        </w:rPr>
      </w:pPr>
      <w:r>
        <w:rPr>
          <w:rFonts w:ascii="Times New Roman" w:hAnsi="Times New Roman"/>
          <w:sz w:val="24"/>
          <w:szCs w:val="24"/>
        </w:rPr>
        <w:t>[INSERT TABLE 3 ABOUT HERE]</w:t>
      </w:r>
    </w:p>
    <w:p w14:paraId="20FAA402" w14:textId="77777777" w:rsidR="00521F9F" w:rsidRPr="00FD0BEB" w:rsidRDefault="00521F9F" w:rsidP="00860112">
      <w:pPr>
        <w:spacing w:after="0"/>
        <w:jc w:val="center"/>
        <w:rPr>
          <w:rFonts w:ascii="Times New Roman" w:hAnsi="Times New Roman"/>
          <w:b/>
          <w:sz w:val="24"/>
        </w:rPr>
      </w:pPr>
      <w:r w:rsidRPr="00FD0BEB">
        <w:rPr>
          <w:rFonts w:ascii="Times New Roman" w:hAnsi="Times New Roman"/>
          <w:b/>
          <w:sz w:val="24"/>
        </w:rPr>
        <w:t>Discussion</w:t>
      </w:r>
    </w:p>
    <w:p w14:paraId="4A72B0D3" w14:textId="77777777" w:rsidR="00521F9F" w:rsidRPr="00FD0BEB" w:rsidRDefault="00521F9F" w:rsidP="00593902">
      <w:pPr>
        <w:spacing w:after="0"/>
        <w:rPr>
          <w:rFonts w:ascii="Times New Roman" w:hAnsi="Times New Roman"/>
          <w:sz w:val="24"/>
          <w:u w:val="single"/>
        </w:rPr>
      </w:pPr>
      <w:r w:rsidRPr="00FD0BEB">
        <w:rPr>
          <w:rFonts w:ascii="Times New Roman" w:hAnsi="Times New Roman"/>
          <w:sz w:val="24"/>
          <w:u w:val="single"/>
        </w:rPr>
        <w:t>Summary of results</w:t>
      </w:r>
    </w:p>
    <w:p w14:paraId="2CF66F29" w14:textId="77777777" w:rsidR="00521F9F" w:rsidRPr="00C575C2" w:rsidRDefault="00521F9F" w:rsidP="008D1EFE">
      <w:pPr>
        <w:spacing w:after="0"/>
        <w:ind w:firstLine="720"/>
        <w:rPr>
          <w:rFonts w:ascii="Times New Roman" w:hAnsi="Times New Roman"/>
          <w:sz w:val="24"/>
        </w:rPr>
      </w:pPr>
      <w:r w:rsidRPr="00C575C2">
        <w:rPr>
          <w:rFonts w:ascii="Times New Roman" w:hAnsi="Times New Roman"/>
          <w:sz w:val="24"/>
        </w:rPr>
        <w:t xml:space="preserve">Our findings show an overall increase in </w:t>
      </w:r>
      <w:r>
        <w:rPr>
          <w:rFonts w:ascii="Times New Roman" w:hAnsi="Times New Roman"/>
          <w:sz w:val="24"/>
        </w:rPr>
        <w:t xml:space="preserve">the number of different </w:t>
      </w:r>
      <w:r w:rsidRPr="00C575C2">
        <w:rPr>
          <w:rFonts w:ascii="Times New Roman" w:hAnsi="Times New Roman"/>
          <w:sz w:val="24"/>
        </w:rPr>
        <w:t xml:space="preserve">YVP </w:t>
      </w:r>
      <w:r>
        <w:rPr>
          <w:rFonts w:ascii="Times New Roman" w:hAnsi="Times New Roman"/>
          <w:sz w:val="24"/>
        </w:rPr>
        <w:t xml:space="preserve">strategies </w:t>
      </w:r>
      <w:r w:rsidRPr="00C575C2">
        <w:rPr>
          <w:rFonts w:ascii="Times New Roman" w:hAnsi="Times New Roman"/>
          <w:sz w:val="24"/>
        </w:rPr>
        <w:t xml:space="preserve">implemented in the city throughout the five years of the study. </w:t>
      </w:r>
      <w:r>
        <w:rPr>
          <w:rFonts w:ascii="Times New Roman" w:hAnsi="Times New Roman"/>
          <w:sz w:val="24"/>
        </w:rPr>
        <w:t xml:space="preserve">By </w:t>
      </w:r>
      <w:r w:rsidRPr="00C575C2">
        <w:rPr>
          <w:rFonts w:ascii="Times New Roman" w:hAnsi="Times New Roman"/>
          <w:sz w:val="24"/>
        </w:rPr>
        <w:t>Y</w:t>
      </w:r>
      <w:r>
        <w:rPr>
          <w:rFonts w:ascii="Times New Roman" w:hAnsi="Times New Roman"/>
          <w:sz w:val="24"/>
        </w:rPr>
        <w:t>ear 5, y</w:t>
      </w:r>
      <w:r w:rsidRPr="00C575C2">
        <w:rPr>
          <w:rFonts w:ascii="Times New Roman" w:hAnsi="Times New Roman"/>
          <w:sz w:val="24"/>
        </w:rPr>
        <w:t xml:space="preserve">outh </w:t>
      </w:r>
      <w:r>
        <w:rPr>
          <w:rFonts w:ascii="Times New Roman" w:hAnsi="Times New Roman"/>
          <w:sz w:val="24"/>
        </w:rPr>
        <w:t>development work, education,</w:t>
      </w:r>
      <w:r w:rsidRPr="00C575C2">
        <w:rPr>
          <w:rFonts w:ascii="Times New Roman" w:hAnsi="Times New Roman"/>
          <w:sz w:val="24"/>
        </w:rPr>
        <w:t xml:space="preserve"> providing activities</w:t>
      </w:r>
      <w:r>
        <w:rPr>
          <w:rFonts w:ascii="Times New Roman" w:hAnsi="Times New Roman"/>
          <w:sz w:val="24"/>
        </w:rPr>
        <w:t xml:space="preserve"> and mentoring</w:t>
      </w:r>
      <w:r w:rsidRPr="00C575C2">
        <w:rPr>
          <w:rFonts w:ascii="Times New Roman" w:hAnsi="Times New Roman"/>
          <w:sz w:val="24"/>
        </w:rPr>
        <w:t xml:space="preserve"> </w:t>
      </w:r>
      <w:r>
        <w:rPr>
          <w:rFonts w:ascii="Times New Roman" w:hAnsi="Times New Roman"/>
          <w:sz w:val="24"/>
        </w:rPr>
        <w:t>were most prevalent</w:t>
      </w:r>
      <w:r w:rsidRPr="00C575C2">
        <w:rPr>
          <w:rFonts w:ascii="Times New Roman" w:hAnsi="Times New Roman"/>
          <w:sz w:val="24"/>
        </w:rPr>
        <w:t xml:space="preserve">, while sponsoring </w:t>
      </w:r>
      <w:r>
        <w:rPr>
          <w:rFonts w:ascii="Times New Roman" w:hAnsi="Times New Roman"/>
          <w:sz w:val="24"/>
        </w:rPr>
        <w:t xml:space="preserve">programs </w:t>
      </w:r>
      <w:r w:rsidRPr="00C575C2">
        <w:rPr>
          <w:rFonts w:ascii="Times New Roman" w:hAnsi="Times New Roman"/>
          <w:sz w:val="24"/>
        </w:rPr>
        <w:t xml:space="preserve">and advocacy were the two strategies adopted by </w:t>
      </w:r>
      <w:r>
        <w:rPr>
          <w:rFonts w:ascii="Times New Roman" w:hAnsi="Times New Roman"/>
          <w:sz w:val="24"/>
        </w:rPr>
        <w:t xml:space="preserve">the </w:t>
      </w:r>
      <w:r w:rsidRPr="00C575C2">
        <w:rPr>
          <w:rFonts w:ascii="Times New Roman" w:hAnsi="Times New Roman"/>
          <w:sz w:val="24"/>
        </w:rPr>
        <w:t>fewe</w:t>
      </w:r>
      <w:r>
        <w:rPr>
          <w:rFonts w:ascii="Times New Roman" w:hAnsi="Times New Roman"/>
          <w:sz w:val="24"/>
        </w:rPr>
        <w:t>st</w:t>
      </w:r>
      <w:r w:rsidRPr="00C575C2">
        <w:rPr>
          <w:rFonts w:ascii="Times New Roman" w:hAnsi="Times New Roman"/>
          <w:sz w:val="24"/>
        </w:rPr>
        <w:t xml:space="preserve"> organizations </w:t>
      </w:r>
      <w:r>
        <w:rPr>
          <w:rFonts w:ascii="Times New Roman" w:hAnsi="Times New Roman"/>
          <w:sz w:val="24"/>
        </w:rPr>
        <w:t>although still almost one third of the sample used those</w:t>
      </w:r>
      <w:r w:rsidRPr="00C575C2">
        <w:rPr>
          <w:rFonts w:ascii="Times New Roman" w:hAnsi="Times New Roman"/>
          <w:sz w:val="24"/>
        </w:rPr>
        <w:t xml:space="preserve">. This expansion </w:t>
      </w:r>
      <w:r>
        <w:rPr>
          <w:rFonts w:ascii="Times New Roman" w:hAnsi="Times New Roman"/>
          <w:sz w:val="24"/>
        </w:rPr>
        <w:t xml:space="preserve">of strategies </w:t>
      </w:r>
      <w:r w:rsidRPr="00C575C2">
        <w:rPr>
          <w:rFonts w:ascii="Times New Roman" w:hAnsi="Times New Roman"/>
          <w:sz w:val="24"/>
        </w:rPr>
        <w:t>was not spe</w:t>
      </w:r>
      <w:r>
        <w:rPr>
          <w:rFonts w:ascii="Times New Roman" w:hAnsi="Times New Roman"/>
          <w:sz w:val="24"/>
        </w:rPr>
        <w:t>cific to participants in the coalition, which saw a marked decrease in active participation by Year 3, despite the overall increase in YVP approaches used by both participants and nonparticipants.</w:t>
      </w:r>
    </w:p>
    <w:p w14:paraId="05134FF0" w14:textId="03EE2491" w:rsidR="00521F9F" w:rsidRDefault="00521F9F" w:rsidP="008D1EFE">
      <w:pPr>
        <w:spacing w:after="0"/>
        <w:ind w:firstLine="720"/>
        <w:rPr>
          <w:rFonts w:ascii="Times New Roman" w:hAnsi="Times New Roman"/>
          <w:sz w:val="24"/>
        </w:rPr>
      </w:pPr>
      <w:r>
        <w:rPr>
          <w:rFonts w:ascii="Times New Roman" w:hAnsi="Times New Roman"/>
          <w:sz w:val="24"/>
        </w:rPr>
        <w:t>E</w:t>
      </w:r>
      <w:r w:rsidRPr="00C575C2">
        <w:rPr>
          <w:rFonts w:ascii="Times New Roman" w:hAnsi="Times New Roman"/>
          <w:sz w:val="24"/>
        </w:rPr>
        <w:t xml:space="preserve">xamination of the data shows that participation in the coalition </w:t>
      </w:r>
      <w:r>
        <w:rPr>
          <w:rFonts w:ascii="Times New Roman" w:hAnsi="Times New Roman"/>
          <w:sz w:val="24"/>
        </w:rPr>
        <w:t>made little</w:t>
      </w:r>
      <w:r w:rsidRPr="00C575C2">
        <w:rPr>
          <w:rFonts w:ascii="Times New Roman" w:hAnsi="Times New Roman"/>
          <w:sz w:val="24"/>
        </w:rPr>
        <w:t xml:space="preserve"> difference for </w:t>
      </w:r>
      <w:r>
        <w:rPr>
          <w:rFonts w:ascii="Times New Roman" w:hAnsi="Times New Roman"/>
          <w:sz w:val="24"/>
        </w:rPr>
        <w:t xml:space="preserve">most of </w:t>
      </w:r>
      <w:r w:rsidRPr="00C575C2">
        <w:rPr>
          <w:rFonts w:ascii="Times New Roman" w:hAnsi="Times New Roman"/>
          <w:sz w:val="24"/>
        </w:rPr>
        <w:t xml:space="preserve">the strategies adopted </w:t>
      </w:r>
      <w:r>
        <w:rPr>
          <w:rFonts w:ascii="Times New Roman" w:hAnsi="Times New Roman"/>
          <w:sz w:val="24"/>
        </w:rPr>
        <w:t>or</w:t>
      </w:r>
      <w:r w:rsidRPr="00C575C2">
        <w:rPr>
          <w:rFonts w:ascii="Times New Roman" w:hAnsi="Times New Roman"/>
          <w:sz w:val="24"/>
        </w:rPr>
        <w:t xml:space="preserve"> for </w:t>
      </w:r>
      <w:r>
        <w:rPr>
          <w:rFonts w:ascii="Times New Roman" w:hAnsi="Times New Roman"/>
          <w:sz w:val="24"/>
        </w:rPr>
        <w:t>espoused</w:t>
      </w:r>
      <w:r w:rsidRPr="00C575C2">
        <w:rPr>
          <w:rFonts w:ascii="Times New Roman" w:hAnsi="Times New Roman"/>
          <w:sz w:val="24"/>
        </w:rPr>
        <w:t xml:space="preserve"> orientation of YVP work</w:t>
      </w:r>
      <w:r>
        <w:rPr>
          <w:rFonts w:ascii="Times New Roman" w:hAnsi="Times New Roman"/>
          <w:sz w:val="24"/>
        </w:rPr>
        <w:t>, except for coalition participants’ unexpectedly weak and declining espoused prevention orientation. Intervention orientations toward strengths, primary prevention, empowerment, and addressing community c</w:t>
      </w:r>
      <w:r w:rsidRPr="00A7662E">
        <w:rPr>
          <w:rFonts w:ascii="Times New Roman" w:hAnsi="Times New Roman"/>
          <w:sz w:val="24"/>
        </w:rPr>
        <w:t>onditions</w:t>
      </w:r>
      <w:r>
        <w:rPr>
          <w:rFonts w:ascii="Times New Roman" w:hAnsi="Times New Roman"/>
          <w:sz w:val="24"/>
        </w:rPr>
        <w:t xml:space="preserve"> did not increase; in fact, p</w:t>
      </w:r>
      <w:r w:rsidRPr="00FD0BEB">
        <w:rPr>
          <w:rFonts w:ascii="Times New Roman" w:hAnsi="Times New Roman"/>
          <w:sz w:val="24"/>
          <w:szCs w:val="24"/>
        </w:rPr>
        <w:t xml:space="preserve">revention orientation </w:t>
      </w:r>
      <w:r w:rsidRPr="00AD3A9A">
        <w:rPr>
          <w:rFonts w:ascii="Times New Roman" w:hAnsi="Times New Roman"/>
          <w:i/>
          <w:sz w:val="24"/>
          <w:szCs w:val="24"/>
        </w:rPr>
        <w:t>decreased</w:t>
      </w:r>
      <w:r w:rsidRPr="00FD0BEB">
        <w:rPr>
          <w:rFonts w:ascii="Times New Roman" w:hAnsi="Times New Roman"/>
          <w:sz w:val="24"/>
          <w:szCs w:val="24"/>
        </w:rPr>
        <w:t xml:space="preserve"> </w:t>
      </w:r>
      <w:r>
        <w:rPr>
          <w:rFonts w:ascii="Times New Roman" w:hAnsi="Times New Roman"/>
          <w:sz w:val="24"/>
          <w:szCs w:val="24"/>
        </w:rPr>
        <w:t xml:space="preserve">significantly </w:t>
      </w:r>
      <w:r w:rsidRPr="00FD0BEB">
        <w:rPr>
          <w:rFonts w:ascii="Times New Roman" w:hAnsi="Times New Roman"/>
          <w:sz w:val="24"/>
          <w:szCs w:val="24"/>
        </w:rPr>
        <w:t xml:space="preserve">in the total sample from </w:t>
      </w:r>
      <w:r>
        <w:rPr>
          <w:rFonts w:ascii="Times New Roman" w:hAnsi="Times New Roman"/>
          <w:sz w:val="24"/>
          <w:szCs w:val="24"/>
        </w:rPr>
        <w:t>Y</w:t>
      </w:r>
      <w:r w:rsidRPr="00FD0BEB">
        <w:rPr>
          <w:rFonts w:ascii="Times New Roman" w:hAnsi="Times New Roman"/>
          <w:sz w:val="24"/>
          <w:szCs w:val="24"/>
        </w:rPr>
        <w:t xml:space="preserve">ear 1 to </w:t>
      </w:r>
      <w:r>
        <w:rPr>
          <w:rFonts w:ascii="Times New Roman" w:hAnsi="Times New Roman"/>
          <w:sz w:val="24"/>
          <w:szCs w:val="24"/>
        </w:rPr>
        <w:t>Year 3</w:t>
      </w:r>
      <w:r w:rsidRPr="00FD0BEB">
        <w:rPr>
          <w:rFonts w:ascii="Times New Roman" w:hAnsi="Times New Roman"/>
          <w:sz w:val="24"/>
          <w:szCs w:val="24"/>
        </w:rPr>
        <w:t xml:space="preserve"> </w:t>
      </w:r>
      <w:r>
        <w:rPr>
          <w:rFonts w:ascii="Times New Roman" w:hAnsi="Times New Roman"/>
          <w:sz w:val="24"/>
          <w:szCs w:val="24"/>
        </w:rPr>
        <w:t>and was lower</w:t>
      </w:r>
      <w:r w:rsidRPr="00FD0BEB">
        <w:rPr>
          <w:rFonts w:ascii="Times New Roman" w:hAnsi="Times New Roman"/>
          <w:sz w:val="24"/>
          <w:szCs w:val="24"/>
        </w:rPr>
        <w:t xml:space="preserve"> among </w:t>
      </w:r>
      <w:r>
        <w:rPr>
          <w:rFonts w:ascii="Times New Roman" w:hAnsi="Times New Roman"/>
          <w:sz w:val="24"/>
          <w:szCs w:val="24"/>
        </w:rPr>
        <w:t xml:space="preserve">coalition </w:t>
      </w:r>
      <w:r w:rsidRPr="00FD0BEB">
        <w:rPr>
          <w:rFonts w:ascii="Times New Roman" w:hAnsi="Times New Roman"/>
          <w:sz w:val="24"/>
          <w:szCs w:val="24"/>
        </w:rPr>
        <w:t>participants than non-participants in year 5</w:t>
      </w:r>
      <w:r>
        <w:rPr>
          <w:rFonts w:ascii="Times New Roman" w:hAnsi="Times New Roman"/>
          <w:sz w:val="24"/>
          <w:szCs w:val="24"/>
        </w:rPr>
        <w:t>. In contrast to their espoused orientation, by Year 5, participants engaged heavily in education on youth violence, positive youth development activities and events, mentoring, counseling, and advocacy on behalf of youth in schools and the justice system</w:t>
      </w:r>
      <w:r w:rsidRPr="00C575C2">
        <w:rPr>
          <w:rFonts w:ascii="Times New Roman" w:hAnsi="Times New Roman"/>
          <w:sz w:val="24"/>
        </w:rPr>
        <w:t xml:space="preserve">. </w:t>
      </w:r>
      <w:r>
        <w:rPr>
          <w:rFonts w:ascii="Times New Roman" w:hAnsi="Times New Roman"/>
          <w:sz w:val="24"/>
        </w:rPr>
        <w:t>The apparent disconnect may be due to coalition members’ concern for youth already experiencing problems and thus a preference for secondary and tertiary prevention over primary prevention.</w:t>
      </w:r>
    </w:p>
    <w:p w14:paraId="50EE6E12" w14:textId="77777777" w:rsidR="00521F9F" w:rsidRPr="00FD0BEB" w:rsidRDefault="00521F9F" w:rsidP="008D1EFE">
      <w:pPr>
        <w:spacing w:after="0"/>
        <w:ind w:firstLine="720"/>
        <w:rPr>
          <w:rFonts w:ascii="Times New Roman" w:hAnsi="Times New Roman"/>
          <w:sz w:val="24"/>
        </w:rPr>
      </w:pPr>
      <w:r w:rsidRPr="00C575C2">
        <w:rPr>
          <w:rFonts w:ascii="Times New Roman" w:hAnsi="Times New Roman"/>
          <w:sz w:val="24"/>
        </w:rPr>
        <w:lastRenderedPageBreak/>
        <w:t xml:space="preserve">The </w:t>
      </w:r>
      <w:r>
        <w:rPr>
          <w:rFonts w:ascii="Times New Roman" w:hAnsi="Times New Roman"/>
          <w:sz w:val="24"/>
        </w:rPr>
        <w:t>clearer patterns</w:t>
      </w:r>
      <w:r w:rsidRPr="00C575C2">
        <w:rPr>
          <w:rFonts w:ascii="Times New Roman" w:hAnsi="Times New Roman"/>
          <w:sz w:val="24"/>
        </w:rPr>
        <w:t xml:space="preserve"> </w:t>
      </w:r>
      <w:r>
        <w:rPr>
          <w:rFonts w:ascii="Times New Roman" w:hAnsi="Times New Roman"/>
          <w:sz w:val="24"/>
        </w:rPr>
        <w:t xml:space="preserve">related to </w:t>
      </w:r>
      <w:r w:rsidRPr="00C575C2">
        <w:rPr>
          <w:rFonts w:ascii="Times New Roman" w:hAnsi="Times New Roman"/>
          <w:sz w:val="24"/>
        </w:rPr>
        <w:t>organization</w:t>
      </w:r>
      <w:r>
        <w:rPr>
          <w:rFonts w:ascii="Times New Roman" w:hAnsi="Times New Roman"/>
          <w:sz w:val="24"/>
        </w:rPr>
        <w:t xml:space="preserve"> type</w:t>
      </w:r>
      <w:r w:rsidRPr="00C575C2">
        <w:rPr>
          <w:rFonts w:ascii="Times New Roman" w:hAnsi="Times New Roman"/>
          <w:sz w:val="24"/>
        </w:rPr>
        <w:t xml:space="preserve">. Some strategies were more </w:t>
      </w:r>
      <w:r>
        <w:rPr>
          <w:rFonts w:ascii="Times New Roman" w:hAnsi="Times New Roman"/>
          <w:sz w:val="24"/>
        </w:rPr>
        <w:t xml:space="preserve">likely to be used by </w:t>
      </w:r>
      <w:r w:rsidRPr="00C575C2">
        <w:rPr>
          <w:rFonts w:ascii="Times New Roman" w:hAnsi="Times New Roman"/>
          <w:sz w:val="24"/>
        </w:rPr>
        <w:t xml:space="preserve">certain types of organizations (e.g. sponsoring </w:t>
      </w:r>
      <w:r>
        <w:rPr>
          <w:rFonts w:ascii="Times New Roman" w:hAnsi="Times New Roman"/>
          <w:sz w:val="24"/>
        </w:rPr>
        <w:t>programs by</w:t>
      </w:r>
      <w:r w:rsidRPr="00C575C2">
        <w:rPr>
          <w:rFonts w:ascii="Times New Roman" w:hAnsi="Times New Roman"/>
          <w:sz w:val="24"/>
        </w:rPr>
        <w:t xml:space="preserve"> government agencies, youth development work </w:t>
      </w:r>
      <w:r>
        <w:rPr>
          <w:rFonts w:ascii="Times New Roman" w:hAnsi="Times New Roman"/>
          <w:sz w:val="24"/>
        </w:rPr>
        <w:t>by</w:t>
      </w:r>
      <w:r w:rsidRPr="00C575C2">
        <w:rPr>
          <w:rFonts w:ascii="Times New Roman" w:hAnsi="Times New Roman"/>
          <w:sz w:val="24"/>
        </w:rPr>
        <w:t xml:space="preserve"> youth-focused </w:t>
      </w:r>
      <w:r>
        <w:rPr>
          <w:rFonts w:ascii="Times New Roman" w:hAnsi="Times New Roman"/>
          <w:sz w:val="24"/>
        </w:rPr>
        <w:t>organizations). H</w:t>
      </w:r>
      <w:r w:rsidRPr="00C575C2">
        <w:rPr>
          <w:rFonts w:ascii="Times New Roman" w:hAnsi="Times New Roman"/>
          <w:sz w:val="24"/>
        </w:rPr>
        <w:t xml:space="preserve">uman service, education, and youth-focused organizations </w:t>
      </w:r>
      <w:r>
        <w:rPr>
          <w:rFonts w:ascii="Times New Roman" w:hAnsi="Times New Roman"/>
          <w:sz w:val="24"/>
        </w:rPr>
        <w:t>used a wide variety of</w:t>
      </w:r>
      <w:r w:rsidRPr="00C575C2">
        <w:rPr>
          <w:rFonts w:ascii="Times New Roman" w:hAnsi="Times New Roman"/>
          <w:sz w:val="24"/>
        </w:rPr>
        <w:t xml:space="preserve"> YVP approaches</w:t>
      </w:r>
      <w:r>
        <w:rPr>
          <w:rFonts w:ascii="Times New Roman" w:hAnsi="Times New Roman"/>
          <w:sz w:val="24"/>
        </w:rPr>
        <w:t>, especially after the first year</w:t>
      </w:r>
      <w:r w:rsidRPr="00C575C2">
        <w:rPr>
          <w:rFonts w:ascii="Times New Roman" w:hAnsi="Times New Roman"/>
          <w:sz w:val="24"/>
        </w:rPr>
        <w:t>.</w:t>
      </w:r>
      <w:r>
        <w:rPr>
          <w:rFonts w:ascii="Times New Roman" w:hAnsi="Times New Roman"/>
          <w:sz w:val="24"/>
        </w:rPr>
        <w:t xml:space="preserve"> These types of organizations also formed the consistent core of the coalition throughout the five years of the study.</w:t>
      </w:r>
    </w:p>
    <w:p w14:paraId="6601981B" w14:textId="12EF1B5F" w:rsidR="00521F9F" w:rsidRDefault="00521F9F" w:rsidP="00602186">
      <w:pPr>
        <w:spacing w:after="0"/>
        <w:ind w:firstLine="720"/>
        <w:contextualSpacing/>
        <w:rPr>
          <w:rFonts w:ascii="Times New Roman" w:hAnsi="Times New Roman"/>
          <w:sz w:val="24"/>
        </w:rPr>
      </w:pPr>
      <w:r>
        <w:rPr>
          <w:rFonts w:ascii="Times New Roman" w:hAnsi="Times New Roman"/>
          <w:sz w:val="24"/>
        </w:rPr>
        <w:t>What the present network analysis shows is that the overall level of collaboration was fairly dispersed and stable over time, with no single nor even just a few critical gatekeepers. At the start of the coalition (Year 1), most of its participants were core in the city-wide network, but by Years 3 and 5, some of those “key players” had stopped participating. Connections between participation in the coalition, YVP strategies adopted, and organizational collaboration are somewhat speculative, but we do know that active coalition participation declined, as is unfortunately common, but particularly among organizations that were core in terms of network collaboration. Yet diversification of YVP strategies increased.</w:t>
      </w:r>
    </w:p>
    <w:p w14:paraId="66352F67" w14:textId="77777777" w:rsidR="00521F9F" w:rsidRPr="00FD0BEB" w:rsidRDefault="00521F9F" w:rsidP="00593902">
      <w:pPr>
        <w:spacing w:after="0"/>
        <w:rPr>
          <w:rFonts w:ascii="Times New Roman" w:hAnsi="Times New Roman"/>
          <w:sz w:val="24"/>
          <w:u w:val="single"/>
        </w:rPr>
      </w:pPr>
      <w:r w:rsidRPr="00FD0BEB">
        <w:rPr>
          <w:rFonts w:ascii="Times New Roman" w:hAnsi="Times New Roman"/>
          <w:sz w:val="24"/>
          <w:u w:val="single"/>
        </w:rPr>
        <w:t>Implications for youth violence prevention policy and organizational and coalition practice</w:t>
      </w:r>
    </w:p>
    <w:p w14:paraId="21687C54" w14:textId="0422D8E5" w:rsidR="00521F9F" w:rsidRDefault="00521F9F" w:rsidP="002557AB">
      <w:pPr>
        <w:spacing w:after="0"/>
        <w:ind w:firstLine="720"/>
        <w:rPr>
          <w:rFonts w:ascii="Times New Roman" w:hAnsi="Times New Roman"/>
          <w:sz w:val="24"/>
        </w:rPr>
      </w:pPr>
      <w:r w:rsidRPr="00FD0BEB">
        <w:rPr>
          <w:rFonts w:ascii="Times New Roman" w:hAnsi="Times New Roman"/>
          <w:sz w:val="24"/>
        </w:rPr>
        <w:t>Coalitions of schools, human services and other public and private nonprofit and voluntary organizations have been organized throughout the U.S., often with Federal support, to address a variety of public health issues, including substance abuse and, in the present study, youth violence</w:t>
      </w:r>
      <w:r w:rsidR="00104CDB">
        <w:rPr>
          <w:rFonts w:ascii="Times New Roman" w:hAnsi="Times New Roman"/>
          <w:sz w:val="24"/>
        </w:rPr>
        <w:t xml:space="preserve"> (Bess, 2015; Hays et al. 2000)</w:t>
      </w:r>
      <w:r w:rsidRPr="00FD0BEB">
        <w:rPr>
          <w:rFonts w:ascii="Times New Roman" w:hAnsi="Times New Roman"/>
          <w:sz w:val="24"/>
        </w:rPr>
        <w:t xml:space="preserve">. </w:t>
      </w:r>
      <w:r w:rsidR="008249CC">
        <w:rPr>
          <w:rFonts w:ascii="Times New Roman" w:hAnsi="Times New Roman"/>
          <w:sz w:val="24"/>
        </w:rPr>
        <w:t>Even the most ambitious and comprehensive</w:t>
      </w:r>
      <w:r w:rsidRPr="00FD0BEB">
        <w:rPr>
          <w:rFonts w:ascii="Times New Roman" w:hAnsi="Times New Roman"/>
          <w:sz w:val="24"/>
        </w:rPr>
        <w:t xml:space="preserve"> coalitions and individual organizations </w:t>
      </w:r>
      <w:r w:rsidR="008249CC">
        <w:rPr>
          <w:rFonts w:ascii="Times New Roman" w:hAnsi="Times New Roman"/>
          <w:sz w:val="24"/>
        </w:rPr>
        <w:t xml:space="preserve">(e.g., </w:t>
      </w:r>
      <w:r w:rsidR="008249CC" w:rsidRPr="008249CC">
        <w:rPr>
          <w:rFonts w:ascii="Times New Roman" w:hAnsi="Times New Roman"/>
          <w:sz w:val="24"/>
          <w:szCs w:val="24"/>
        </w:rPr>
        <w:t>Hernández-</w:t>
      </w:r>
      <w:r w:rsidR="008249CC">
        <w:rPr>
          <w:rFonts w:ascii="Times New Roman" w:hAnsi="Times New Roman"/>
          <w:sz w:val="24"/>
          <w:szCs w:val="24"/>
        </w:rPr>
        <w:t>C</w:t>
      </w:r>
      <w:r w:rsidR="008249CC" w:rsidRPr="008249CC">
        <w:rPr>
          <w:rFonts w:ascii="Times New Roman" w:hAnsi="Times New Roman"/>
          <w:sz w:val="24"/>
          <w:szCs w:val="24"/>
        </w:rPr>
        <w:t>ordero</w:t>
      </w:r>
      <w:r w:rsidR="008249CC">
        <w:rPr>
          <w:rFonts w:ascii="Times New Roman" w:hAnsi="Times New Roman"/>
          <w:sz w:val="24"/>
          <w:szCs w:val="24"/>
        </w:rPr>
        <w:t xml:space="preserve"> et al.</w:t>
      </w:r>
      <w:r w:rsidR="008249CC" w:rsidRPr="008249CC">
        <w:rPr>
          <w:rFonts w:ascii="Times New Roman" w:hAnsi="Times New Roman"/>
          <w:sz w:val="24"/>
          <w:szCs w:val="24"/>
        </w:rPr>
        <w:t xml:space="preserve"> 2011</w:t>
      </w:r>
      <w:r w:rsidR="008249CC">
        <w:rPr>
          <w:rFonts w:ascii="Times New Roman" w:hAnsi="Times New Roman"/>
          <w:sz w:val="24"/>
        </w:rPr>
        <w:t xml:space="preserve">) primarily </w:t>
      </w:r>
      <w:r w:rsidRPr="00FD0BEB">
        <w:rPr>
          <w:rFonts w:ascii="Times New Roman" w:hAnsi="Times New Roman"/>
          <w:sz w:val="24"/>
        </w:rPr>
        <w:t xml:space="preserve">engage in direct social services, public education and information sharing, and school and community-based prevention programs that focus on </w:t>
      </w:r>
      <w:r w:rsidR="00F045B7">
        <w:rPr>
          <w:rFonts w:ascii="Times New Roman" w:hAnsi="Times New Roman"/>
          <w:sz w:val="24"/>
        </w:rPr>
        <w:t xml:space="preserve">group activities and </w:t>
      </w:r>
      <w:r w:rsidRPr="00FD0BEB">
        <w:rPr>
          <w:rFonts w:ascii="Times New Roman" w:hAnsi="Times New Roman"/>
          <w:sz w:val="24"/>
        </w:rPr>
        <w:t xml:space="preserve">individual responsibility </w:t>
      </w:r>
      <w:r>
        <w:rPr>
          <w:rFonts w:ascii="Times New Roman" w:hAnsi="Times New Roman"/>
          <w:sz w:val="24"/>
        </w:rPr>
        <w:t>(</w:t>
      </w:r>
      <w:r w:rsidRPr="00FD0BEB">
        <w:rPr>
          <w:rFonts w:ascii="Times New Roman" w:hAnsi="Times New Roman"/>
          <w:sz w:val="24"/>
        </w:rPr>
        <w:t>Perkins et al</w:t>
      </w:r>
      <w:r w:rsidR="00C30F4E">
        <w:rPr>
          <w:rFonts w:ascii="Times New Roman" w:hAnsi="Times New Roman"/>
          <w:sz w:val="24"/>
        </w:rPr>
        <w:t>.</w:t>
      </w:r>
      <w:r w:rsidRPr="00FD0BEB">
        <w:rPr>
          <w:rFonts w:ascii="Times New Roman" w:hAnsi="Times New Roman"/>
          <w:sz w:val="24"/>
        </w:rPr>
        <w:t xml:space="preserve"> 2007</w:t>
      </w:r>
      <w:r>
        <w:rPr>
          <w:rFonts w:ascii="Times New Roman" w:hAnsi="Times New Roman"/>
          <w:sz w:val="24"/>
        </w:rPr>
        <w:t xml:space="preserve">) and </w:t>
      </w:r>
      <w:r w:rsidR="00F045B7">
        <w:rPr>
          <w:rFonts w:ascii="Times New Roman" w:hAnsi="Times New Roman"/>
          <w:sz w:val="24"/>
        </w:rPr>
        <w:t xml:space="preserve">there is little rigorous evidence they significantly </w:t>
      </w:r>
      <w:r w:rsidRPr="00FD0BEB">
        <w:rPr>
          <w:rFonts w:ascii="Times New Roman" w:hAnsi="Times New Roman"/>
          <w:sz w:val="24"/>
        </w:rPr>
        <w:t>reduc</w:t>
      </w:r>
      <w:r w:rsidR="00F045B7">
        <w:rPr>
          <w:rFonts w:ascii="Times New Roman" w:hAnsi="Times New Roman"/>
          <w:sz w:val="24"/>
        </w:rPr>
        <w:t>e</w:t>
      </w:r>
      <w:r w:rsidRPr="00FD0BEB">
        <w:rPr>
          <w:rFonts w:ascii="Times New Roman" w:hAnsi="Times New Roman"/>
          <w:sz w:val="24"/>
        </w:rPr>
        <w:t xml:space="preserve"> substance abuse, violence </w:t>
      </w:r>
      <w:r w:rsidRPr="00FD0BEB">
        <w:rPr>
          <w:rFonts w:ascii="Times New Roman" w:hAnsi="Times New Roman"/>
          <w:sz w:val="24"/>
        </w:rPr>
        <w:lastRenderedPageBreak/>
        <w:t xml:space="preserve">or other crimes </w:t>
      </w:r>
      <w:r>
        <w:rPr>
          <w:rFonts w:ascii="Times New Roman" w:hAnsi="Times New Roman"/>
          <w:sz w:val="24"/>
        </w:rPr>
        <w:t xml:space="preserve">even </w:t>
      </w:r>
      <w:r w:rsidRPr="00FD0BEB">
        <w:rPr>
          <w:rFonts w:ascii="Times New Roman" w:hAnsi="Times New Roman"/>
          <w:sz w:val="24"/>
        </w:rPr>
        <w:t xml:space="preserve">in the targeted communities, let alone in the local population as a whole. </w:t>
      </w:r>
      <w:r>
        <w:rPr>
          <w:rFonts w:ascii="Times New Roman" w:hAnsi="Times New Roman"/>
          <w:sz w:val="24"/>
        </w:rPr>
        <w:t>In the city in this study, organizations both in and outside the coalition increased the number of different YVP approaches adopted over the five years of the study</w:t>
      </w:r>
      <w:r w:rsidR="00D559AD">
        <w:rPr>
          <w:rFonts w:ascii="Times New Roman" w:hAnsi="Times New Roman"/>
          <w:sz w:val="24"/>
        </w:rPr>
        <w:t xml:space="preserve">; there </w:t>
      </w:r>
      <w:r w:rsidR="00D559AD" w:rsidRPr="00ED5747">
        <w:rPr>
          <w:rFonts w:ascii="Times New Roman" w:hAnsi="Times New Roman"/>
          <w:i/>
          <w:sz w:val="24"/>
        </w:rPr>
        <w:t>is</w:t>
      </w:r>
      <w:r w:rsidR="00D559AD">
        <w:rPr>
          <w:rFonts w:ascii="Times New Roman" w:hAnsi="Times New Roman"/>
          <w:sz w:val="24"/>
        </w:rPr>
        <w:t xml:space="preserve"> also evidence that juvenile arrests, arrests for violent and weapons offenses and homicide arrests all decreased </w:t>
      </w:r>
      <w:r w:rsidR="00F84C06">
        <w:rPr>
          <w:rFonts w:ascii="Times New Roman" w:hAnsi="Times New Roman"/>
          <w:sz w:val="24"/>
        </w:rPr>
        <w:t xml:space="preserve">substantially </w:t>
      </w:r>
      <w:r w:rsidR="00D559AD">
        <w:rPr>
          <w:rFonts w:ascii="Times New Roman" w:hAnsi="Times New Roman"/>
          <w:sz w:val="24"/>
        </w:rPr>
        <w:t>over the years the coalition operated</w:t>
      </w:r>
      <w:r>
        <w:rPr>
          <w:rFonts w:ascii="Times New Roman" w:hAnsi="Times New Roman"/>
          <w:sz w:val="24"/>
        </w:rPr>
        <w:t>.</w:t>
      </w:r>
      <w:r w:rsidR="00A01FEF">
        <w:rPr>
          <w:rFonts w:ascii="Times New Roman" w:hAnsi="Times New Roman"/>
          <w:sz w:val="24"/>
        </w:rPr>
        <w:t xml:space="preserve"> </w:t>
      </w:r>
      <w:r w:rsidR="00F84C06">
        <w:rPr>
          <w:rFonts w:ascii="Times New Roman" w:hAnsi="Times New Roman"/>
          <w:sz w:val="24"/>
        </w:rPr>
        <w:t>Although arrests are not the most accurate measure of crime, rates of reported juvenile crimes, firearm-related crimes, and juvenile court referrals for violent crimes also decreased steadily each year of the coalition and for at least two years after it was unfunded. Furthermore, the fact that police were making fewer juvenile arrests and court referrals over time is itself an important goal.</w:t>
      </w:r>
    </w:p>
    <w:p w14:paraId="40766A4C" w14:textId="77777777" w:rsidR="00521F9F" w:rsidRDefault="00521F9F" w:rsidP="002557AB">
      <w:pPr>
        <w:spacing w:after="0"/>
        <w:ind w:firstLine="720"/>
        <w:rPr>
          <w:rFonts w:ascii="Times New Roman" w:hAnsi="Times New Roman" w:cs="Calibri"/>
          <w:sz w:val="24"/>
        </w:rPr>
      </w:pPr>
      <w:r>
        <w:rPr>
          <w:rFonts w:ascii="Times New Roman" w:hAnsi="Times New Roman"/>
          <w:sz w:val="24"/>
        </w:rPr>
        <w:t xml:space="preserve">The one strategy that did not increase consistently over time was advocacy, which did increase from 2007 to 2009, but then decreased. </w:t>
      </w:r>
      <w:r w:rsidRPr="00FD0BEB">
        <w:rPr>
          <w:rFonts w:ascii="Times New Roman" w:hAnsi="Times New Roman" w:cs="Calibri"/>
          <w:sz w:val="24"/>
        </w:rPr>
        <w:t>This might have been due to a perception of insufficient power to influence policy, or a misunderstanding and apprehension about restrictions on advocacy by 501c3 organizations, or to a more individualistic, instead of structural, understanding of the causes and remedies of youth violence.</w:t>
      </w:r>
      <w:r>
        <w:rPr>
          <w:rFonts w:ascii="Times New Roman" w:hAnsi="Times New Roman" w:cs="Calibri"/>
          <w:sz w:val="24"/>
        </w:rPr>
        <w:t xml:space="preserve"> This occurred despite the coalition holding a strategic planning workshop in early 2010 aimed in part at addressing what kinds of advocacy nonprofit organizations can legally do (yet advocacy still dropped off slightly even among coalition members). </w:t>
      </w:r>
    </w:p>
    <w:p w14:paraId="19D8BFE7" w14:textId="340CA325" w:rsidR="00521F9F" w:rsidRPr="00FD0BEB" w:rsidRDefault="005041CF" w:rsidP="002557AB">
      <w:pPr>
        <w:spacing w:after="0"/>
        <w:ind w:firstLine="720"/>
        <w:rPr>
          <w:rFonts w:ascii="Times New Roman" w:hAnsi="Times New Roman"/>
          <w:sz w:val="24"/>
        </w:rPr>
      </w:pPr>
      <w:r>
        <w:rPr>
          <w:rFonts w:ascii="Times New Roman" w:hAnsi="Times New Roman" w:cs="Calibri"/>
          <w:sz w:val="24"/>
        </w:rPr>
        <w:t xml:space="preserve">We know that the </w:t>
      </w:r>
      <w:r w:rsidR="00945215" w:rsidRPr="00945215">
        <w:rPr>
          <w:rFonts w:ascii="Times New Roman" w:hAnsi="Times New Roman" w:cs="Calibri"/>
          <w:sz w:val="24"/>
        </w:rPr>
        <w:t xml:space="preserve">power and relational resource </w:t>
      </w:r>
      <w:r w:rsidRPr="005041CF">
        <w:rPr>
          <w:rFonts w:ascii="Times New Roman" w:hAnsi="Times New Roman" w:cs="Calibri"/>
          <w:sz w:val="24"/>
        </w:rPr>
        <w:t xml:space="preserve">capacity </w:t>
      </w:r>
      <w:r w:rsidR="00945215">
        <w:rPr>
          <w:rFonts w:ascii="Times New Roman" w:hAnsi="Times New Roman" w:cs="Calibri"/>
          <w:sz w:val="24"/>
        </w:rPr>
        <w:t xml:space="preserve">of </w:t>
      </w:r>
      <w:r w:rsidRPr="005041CF">
        <w:rPr>
          <w:rFonts w:ascii="Times New Roman" w:hAnsi="Times New Roman" w:cs="Calibri"/>
          <w:sz w:val="24"/>
        </w:rPr>
        <w:t>the YVP Coalition</w:t>
      </w:r>
      <w:r>
        <w:rPr>
          <w:rFonts w:ascii="Times New Roman" w:hAnsi="Times New Roman" w:cs="Calibri"/>
          <w:sz w:val="24"/>
        </w:rPr>
        <w:t xml:space="preserve"> </w:t>
      </w:r>
      <w:r w:rsidRPr="005041CF">
        <w:rPr>
          <w:rFonts w:ascii="Times New Roman" w:hAnsi="Times New Roman" w:cs="Calibri"/>
          <w:sz w:val="24"/>
        </w:rPr>
        <w:t>in</w:t>
      </w:r>
      <w:r w:rsidR="00945215">
        <w:rPr>
          <w:rFonts w:ascii="Times New Roman" w:hAnsi="Times New Roman" w:cs="Calibri"/>
          <w:sz w:val="24"/>
        </w:rPr>
        <w:t>creased slightly</w:t>
      </w:r>
      <w:r w:rsidRPr="005041CF">
        <w:rPr>
          <w:rFonts w:ascii="Times New Roman" w:hAnsi="Times New Roman" w:cs="Calibri"/>
          <w:sz w:val="24"/>
        </w:rPr>
        <w:t xml:space="preserve"> </w:t>
      </w:r>
      <w:r w:rsidR="00945215" w:rsidRPr="005041CF">
        <w:rPr>
          <w:rFonts w:ascii="Times New Roman" w:hAnsi="Times New Roman" w:cs="Calibri"/>
          <w:sz w:val="24"/>
        </w:rPr>
        <w:t xml:space="preserve">during the </w:t>
      </w:r>
      <w:r w:rsidR="00945215">
        <w:rPr>
          <w:rFonts w:ascii="Times New Roman" w:hAnsi="Times New Roman" w:cs="Calibri"/>
          <w:sz w:val="24"/>
        </w:rPr>
        <w:t>five</w:t>
      </w:r>
      <w:r w:rsidR="00AB6545">
        <w:rPr>
          <w:rFonts w:ascii="Times New Roman" w:hAnsi="Times New Roman" w:cs="Calibri"/>
          <w:sz w:val="24"/>
        </w:rPr>
        <w:t xml:space="preserve"> </w:t>
      </w:r>
      <w:r w:rsidR="00945215" w:rsidRPr="005041CF">
        <w:rPr>
          <w:rFonts w:ascii="Times New Roman" w:hAnsi="Times New Roman" w:cs="Calibri"/>
          <w:sz w:val="24"/>
        </w:rPr>
        <w:t>year</w:t>
      </w:r>
      <w:r w:rsidR="00AB6545">
        <w:rPr>
          <w:rFonts w:ascii="Times New Roman" w:hAnsi="Times New Roman" w:cs="Calibri"/>
          <w:sz w:val="24"/>
        </w:rPr>
        <w:t>s</w:t>
      </w:r>
      <w:r w:rsidR="00945215" w:rsidRPr="005041CF">
        <w:rPr>
          <w:rFonts w:ascii="Times New Roman" w:hAnsi="Times New Roman" w:cs="Calibri"/>
          <w:sz w:val="24"/>
        </w:rPr>
        <w:t xml:space="preserve"> </w:t>
      </w:r>
      <w:r w:rsidR="00AB6545">
        <w:rPr>
          <w:rFonts w:ascii="Times New Roman" w:hAnsi="Times New Roman" w:cs="Calibri"/>
          <w:sz w:val="24"/>
        </w:rPr>
        <w:t xml:space="preserve">that </w:t>
      </w:r>
      <w:r w:rsidR="00945215" w:rsidRPr="005041CF">
        <w:rPr>
          <w:rFonts w:ascii="Times New Roman" w:hAnsi="Times New Roman" w:cs="Calibri"/>
          <w:sz w:val="24"/>
        </w:rPr>
        <w:t>the coalition</w:t>
      </w:r>
      <w:r w:rsidR="00AB6545">
        <w:rPr>
          <w:rFonts w:ascii="Times New Roman" w:hAnsi="Times New Roman" w:cs="Calibri"/>
          <w:sz w:val="24"/>
        </w:rPr>
        <w:t xml:space="preserve"> </w:t>
      </w:r>
      <w:r w:rsidR="00945215" w:rsidRPr="005041CF">
        <w:rPr>
          <w:rFonts w:ascii="Times New Roman" w:hAnsi="Times New Roman" w:cs="Calibri"/>
          <w:sz w:val="24"/>
        </w:rPr>
        <w:t>operat</w:t>
      </w:r>
      <w:r w:rsidR="00AB6545">
        <w:rPr>
          <w:rFonts w:ascii="Times New Roman" w:hAnsi="Times New Roman" w:cs="Calibri"/>
          <w:sz w:val="24"/>
        </w:rPr>
        <w:t>ed,</w:t>
      </w:r>
      <w:r w:rsidR="00945215" w:rsidRPr="005041CF">
        <w:rPr>
          <w:rFonts w:ascii="Times New Roman" w:hAnsi="Times New Roman" w:cs="Calibri"/>
          <w:sz w:val="24"/>
        </w:rPr>
        <w:t xml:space="preserve"> </w:t>
      </w:r>
      <w:r w:rsidR="00AB6545">
        <w:rPr>
          <w:rFonts w:ascii="Times New Roman" w:hAnsi="Times New Roman" w:cs="Calibri"/>
          <w:sz w:val="24"/>
        </w:rPr>
        <w:t xml:space="preserve">while </w:t>
      </w:r>
      <w:r w:rsidRPr="005041CF">
        <w:rPr>
          <w:rFonts w:ascii="Times New Roman" w:hAnsi="Times New Roman" w:cs="Calibri"/>
          <w:sz w:val="24"/>
        </w:rPr>
        <w:t xml:space="preserve">the </w:t>
      </w:r>
      <w:r w:rsidR="00C70035">
        <w:rPr>
          <w:rFonts w:ascii="Times New Roman" w:hAnsi="Times New Roman" w:cs="Calibri"/>
          <w:sz w:val="24"/>
        </w:rPr>
        <w:t xml:space="preserve">capacity of the </w:t>
      </w:r>
      <w:r w:rsidRPr="005041CF">
        <w:rPr>
          <w:rFonts w:ascii="Times New Roman" w:hAnsi="Times New Roman" w:cs="Calibri"/>
          <w:sz w:val="24"/>
        </w:rPr>
        <w:t xml:space="preserve">broader YVP </w:t>
      </w:r>
      <w:r w:rsidR="00C70035">
        <w:rPr>
          <w:rFonts w:ascii="Times New Roman" w:hAnsi="Times New Roman" w:cs="Calibri"/>
          <w:sz w:val="24"/>
        </w:rPr>
        <w:t>network of which it was a part actually decreased</w:t>
      </w:r>
      <w:r w:rsidRPr="005041CF">
        <w:rPr>
          <w:rFonts w:ascii="Times New Roman" w:hAnsi="Times New Roman" w:cs="Calibri"/>
          <w:sz w:val="24"/>
        </w:rPr>
        <w:t xml:space="preserve"> </w:t>
      </w:r>
      <w:r>
        <w:rPr>
          <w:rFonts w:ascii="Times New Roman" w:hAnsi="Times New Roman" w:cs="Calibri"/>
          <w:sz w:val="24"/>
        </w:rPr>
        <w:t>(</w:t>
      </w:r>
      <w:r w:rsidRPr="005041CF">
        <w:rPr>
          <w:rFonts w:ascii="Times New Roman" w:hAnsi="Times New Roman"/>
          <w:sz w:val="24"/>
          <w:szCs w:val="24"/>
        </w:rPr>
        <w:t>Bess, 2015).</w:t>
      </w:r>
      <w:r>
        <w:rPr>
          <w:rFonts w:ascii="Times New Roman" w:hAnsi="Times New Roman"/>
          <w:sz w:val="24"/>
          <w:szCs w:val="24"/>
        </w:rPr>
        <w:t xml:space="preserve"> </w:t>
      </w:r>
      <w:r w:rsidR="00521F9F">
        <w:rPr>
          <w:rFonts w:ascii="Times New Roman" w:hAnsi="Times New Roman" w:cs="Calibri"/>
          <w:sz w:val="24"/>
        </w:rPr>
        <w:t xml:space="preserve">Although it is difficult to discern as all types of YVP strategies increased over time, regardless of coalition participation, our data suggest that the coalition may have helped increase the use of certain YVP strategies that were </w:t>
      </w:r>
      <w:r w:rsidR="00521F9F">
        <w:rPr>
          <w:rFonts w:ascii="Times New Roman" w:hAnsi="Times New Roman" w:cs="Calibri"/>
          <w:sz w:val="24"/>
        </w:rPr>
        <w:lastRenderedPageBreak/>
        <w:t xml:space="preserve">emphasized by the coalition, such as mentoring, public youth and adult education regarding violence, and the identification of safe places and provision of activities for youth. </w:t>
      </w:r>
    </w:p>
    <w:p w14:paraId="2B46AFAD" w14:textId="45B8FAB8" w:rsidR="00521F9F" w:rsidRDefault="00521F9F" w:rsidP="004A4137">
      <w:pPr>
        <w:spacing w:after="0"/>
        <w:ind w:firstLine="720"/>
        <w:contextualSpacing/>
        <w:rPr>
          <w:rFonts w:ascii="Times New Roman" w:hAnsi="Times New Roman"/>
          <w:sz w:val="24"/>
          <w:szCs w:val="24"/>
        </w:rPr>
      </w:pPr>
      <w:r>
        <w:rPr>
          <w:rFonts w:ascii="Times New Roman" w:hAnsi="Times New Roman"/>
          <w:sz w:val="24"/>
          <w:szCs w:val="24"/>
        </w:rPr>
        <w:t xml:space="preserve">The greatest surprise in the SPEC scales measuring espoused intervention orientation </w:t>
      </w:r>
      <w:r w:rsidR="00F90BBA">
        <w:rPr>
          <w:rFonts w:ascii="Times New Roman" w:hAnsi="Times New Roman"/>
          <w:sz w:val="24"/>
          <w:szCs w:val="24"/>
        </w:rPr>
        <w:t>(Evans et al.</w:t>
      </w:r>
      <w:r w:rsidR="00F90BBA" w:rsidRPr="00E248FD">
        <w:rPr>
          <w:rFonts w:ascii="Times New Roman" w:hAnsi="Times New Roman"/>
          <w:sz w:val="24"/>
          <w:szCs w:val="24"/>
        </w:rPr>
        <w:t xml:space="preserve"> 20</w:t>
      </w:r>
      <w:r w:rsidR="00F90BBA">
        <w:rPr>
          <w:rFonts w:ascii="Times New Roman" w:hAnsi="Times New Roman"/>
          <w:sz w:val="24"/>
          <w:szCs w:val="24"/>
        </w:rPr>
        <w:t>11</w:t>
      </w:r>
      <w:r w:rsidR="00F90BBA" w:rsidRPr="00E248FD">
        <w:rPr>
          <w:rFonts w:ascii="Times New Roman" w:hAnsi="Times New Roman"/>
          <w:sz w:val="24"/>
          <w:szCs w:val="24"/>
        </w:rPr>
        <w:t>)</w:t>
      </w:r>
      <w:r w:rsidR="00F90BBA">
        <w:rPr>
          <w:rFonts w:ascii="Times New Roman" w:hAnsi="Times New Roman"/>
          <w:sz w:val="24"/>
          <w:szCs w:val="24"/>
        </w:rPr>
        <w:t xml:space="preserve"> </w:t>
      </w:r>
      <w:r>
        <w:rPr>
          <w:rFonts w:ascii="Times New Roman" w:hAnsi="Times New Roman"/>
          <w:sz w:val="24"/>
          <w:szCs w:val="24"/>
        </w:rPr>
        <w:t xml:space="preserve">was that organizations participating in the coalition started with a less primary preventive orientation than nonparticipants and that orientation </w:t>
      </w:r>
      <w:r w:rsidRPr="00C959E3">
        <w:rPr>
          <w:rFonts w:ascii="Times New Roman" w:hAnsi="Times New Roman"/>
          <w:i/>
          <w:sz w:val="24"/>
          <w:szCs w:val="24"/>
        </w:rPr>
        <w:t>decreased</w:t>
      </w:r>
      <w:r w:rsidRPr="00FD0BEB">
        <w:rPr>
          <w:rFonts w:ascii="Times New Roman" w:hAnsi="Times New Roman"/>
          <w:sz w:val="24"/>
          <w:szCs w:val="24"/>
        </w:rPr>
        <w:t xml:space="preserve"> </w:t>
      </w:r>
      <w:r>
        <w:rPr>
          <w:rFonts w:ascii="Times New Roman" w:hAnsi="Times New Roman"/>
          <w:sz w:val="24"/>
          <w:szCs w:val="24"/>
        </w:rPr>
        <w:t xml:space="preserve">over the five years of the study and ended significantly lower than organizations not participating in the coalition. Although the researchers thought of the coalition as focusing on prevention, its organizers made an explicit decision to call it a community coalition for “youth safety” and not for “violence prevention” because they wanted it to be more focused on youth and community strengths rather than problems.  </w:t>
      </w:r>
      <w:r w:rsidR="00F90BBA">
        <w:rPr>
          <w:rFonts w:ascii="Times New Roman" w:hAnsi="Times New Roman"/>
          <w:sz w:val="24"/>
          <w:szCs w:val="24"/>
        </w:rPr>
        <w:t>Ironically,</w:t>
      </w:r>
      <w:r>
        <w:rPr>
          <w:rFonts w:ascii="Times New Roman" w:hAnsi="Times New Roman"/>
          <w:sz w:val="24"/>
          <w:szCs w:val="24"/>
        </w:rPr>
        <w:t xml:space="preserve"> strengths were the weakest of the four SPEC orientations for both </w:t>
      </w:r>
      <w:r w:rsidR="00F90BBA">
        <w:rPr>
          <w:rFonts w:ascii="Times New Roman" w:hAnsi="Times New Roman"/>
          <w:sz w:val="24"/>
          <w:szCs w:val="24"/>
        </w:rPr>
        <w:t xml:space="preserve">coalition </w:t>
      </w:r>
      <w:r>
        <w:rPr>
          <w:rFonts w:ascii="Times New Roman" w:hAnsi="Times New Roman"/>
          <w:sz w:val="24"/>
          <w:szCs w:val="24"/>
        </w:rPr>
        <w:t xml:space="preserve">participants and nonparticipants, although prevention ended even lower than strengths for participants in Year 5. Thus, there is an apparent disconnect between espoused intervention orientation and actual YVP strategies employed. Coalition participants claimed that their organizations emphasized empowerment and changing community conditions more than prevention or strengths, but our qualitative analysis suggests </w:t>
      </w:r>
      <w:r w:rsidRPr="00FD0BEB">
        <w:rPr>
          <w:rFonts w:ascii="Times New Roman" w:hAnsi="Times New Roman"/>
          <w:sz w:val="24"/>
          <w:szCs w:val="24"/>
        </w:rPr>
        <w:t>the</w:t>
      </w:r>
      <w:r>
        <w:rPr>
          <w:rFonts w:ascii="Times New Roman" w:hAnsi="Times New Roman"/>
          <w:sz w:val="24"/>
          <w:szCs w:val="24"/>
        </w:rPr>
        <w:t>ir</w:t>
      </w:r>
      <w:r w:rsidRPr="00FD0BEB">
        <w:rPr>
          <w:rFonts w:ascii="Times New Roman" w:hAnsi="Times New Roman"/>
          <w:sz w:val="24"/>
          <w:szCs w:val="24"/>
        </w:rPr>
        <w:t xml:space="preserve"> actual intervention</w:t>
      </w:r>
      <w:r>
        <w:rPr>
          <w:rFonts w:ascii="Times New Roman" w:hAnsi="Times New Roman"/>
          <w:sz w:val="24"/>
          <w:szCs w:val="24"/>
        </w:rPr>
        <w:t xml:space="preserve"> </w:t>
      </w:r>
      <w:r w:rsidRPr="00FD0BEB">
        <w:rPr>
          <w:rFonts w:ascii="Times New Roman" w:hAnsi="Times New Roman"/>
          <w:sz w:val="24"/>
          <w:szCs w:val="24"/>
        </w:rPr>
        <w:t>s</w:t>
      </w:r>
      <w:r>
        <w:rPr>
          <w:rFonts w:ascii="Times New Roman" w:hAnsi="Times New Roman"/>
          <w:sz w:val="24"/>
          <w:szCs w:val="24"/>
        </w:rPr>
        <w:t xml:space="preserve">trategies </w:t>
      </w:r>
      <w:r w:rsidRPr="00FD0BEB">
        <w:rPr>
          <w:rFonts w:ascii="Times New Roman" w:hAnsi="Times New Roman"/>
          <w:sz w:val="24"/>
          <w:szCs w:val="24"/>
        </w:rPr>
        <w:t xml:space="preserve">were geared </w:t>
      </w:r>
      <w:r>
        <w:rPr>
          <w:rFonts w:ascii="Times New Roman" w:hAnsi="Times New Roman"/>
          <w:sz w:val="24"/>
          <w:szCs w:val="24"/>
        </w:rPr>
        <w:t xml:space="preserve">more </w:t>
      </w:r>
      <w:r w:rsidRPr="00FD0BEB">
        <w:rPr>
          <w:rFonts w:ascii="Times New Roman" w:hAnsi="Times New Roman"/>
          <w:sz w:val="24"/>
          <w:szCs w:val="24"/>
        </w:rPr>
        <w:t xml:space="preserve">toward building individual (if not community) strengths and opportunities, and indicated (high risk)--if not primary—prevention.  Some may have helped foster youth self-efficacy and self-esteem, if not true multi-level empowerment. But few even aimed to address root causes </w:t>
      </w:r>
      <w:r w:rsidR="0061434C">
        <w:rPr>
          <w:rFonts w:ascii="Times New Roman" w:hAnsi="Times New Roman"/>
          <w:sz w:val="24"/>
          <w:szCs w:val="24"/>
        </w:rPr>
        <w:t xml:space="preserve">or conditions </w:t>
      </w:r>
      <w:r w:rsidRPr="00FD0BEB">
        <w:rPr>
          <w:rFonts w:ascii="Times New Roman" w:hAnsi="Times New Roman"/>
          <w:sz w:val="24"/>
          <w:szCs w:val="24"/>
        </w:rPr>
        <w:t>at th</w:t>
      </w:r>
      <w:r w:rsidR="0061434C">
        <w:rPr>
          <w:rFonts w:ascii="Times New Roman" w:hAnsi="Times New Roman"/>
          <w:sz w:val="24"/>
          <w:szCs w:val="24"/>
        </w:rPr>
        <w:t>e community</w:t>
      </w:r>
      <w:r w:rsidRPr="00FD0BEB">
        <w:rPr>
          <w:rFonts w:ascii="Times New Roman" w:hAnsi="Times New Roman"/>
          <w:sz w:val="24"/>
          <w:szCs w:val="24"/>
        </w:rPr>
        <w:t xml:space="preserve"> level.  There are many possible reasons for this, including funding that targets more conservative individual casework or indicated prevention rather than community change as well as organizational staff knowledge, training and professional identity constraints</w:t>
      </w:r>
      <w:r>
        <w:rPr>
          <w:rFonts w:ascii="Times New Roman" w:hAnsi="Times New Roman"/>
          <w:sz w:val="24"/>
          <w:szCs w:val="24"/>
        </w:rPr>
        <w:t xml:space="preserve"> (Bess et al. 2009; Nation</w:t>
      </w:r>
      <w:r w:rsidR="00AA79C7">
        <w:rPr>
          <w:rFonts w:ascii="Times New Roman" w:hAnsi="Times New Roman"/>
          <w:sz w:val="24"/>
          <w:szCs w:val="24"/>
        </w:rPr>
        <w:t xml:space="preserve"> et al.</w:t>
      </w:r>
      <w:r>
        <w:rPr>
          <w:rFonts w:ascii="Times New Roman" w:hAnsi="Times New Roman"/>
          <w:sz w:val="24"/>
          <w:szCs w:val="24"/>
        </w:rPr>
        <w:t xml:space="preserve"> </w:t>
      </w:r>
      <w:r w:rsidRPr="00E07CF2">
        <w:rPr>
          <w:rFonts w:ascii="Times New Roman" w:hAnsi="Times New Roman"/>
          <w:sz w:val="24"/>
          <w:szCs w:val="24"/>
        </w:rPr>
        <w:t>2011</w:t>
      </w:r>
      <w:r>
        <w:rPr>
          <w:rFonts w:ascii="Times New Roman" w:hAnsi="Times New Roman"/>
          <w:sz w:val="24"/>
          <w:szCs w:val="24"/>
        </w:rPr>
        <w:t>; Perkins et al. 2007</w:t>
      </w:r>
      <w:r w:rsidRPr="00E07CF2">
        <w:rPr>
          <w:rFonts w:ascii="Times New Roman" w:hAnsi="Times New Roman"/>
          <w:sz w:val="24"/>
          <w:szCs w:val="24"/>
        </w:rPr>
        <w:t>)</w:t>
      </w:r>
      <w:r w:rsidRPr="00FD0BEB">
        <w:rPr>
          <w:rFonts w:ascii="Times New Roman" w:hAnsi="Times New Roman"/>
          <w:sz w:val="24"/>
          <w:szCs w:val="24"/>
        </w:rPr>
        <w:t xml:space="preserve">. Whatever the reasons, the fact that </w:t>
      </w:r>
      <w:r>
        <w:rPr>
          <w:rFonts w:ascii="Times New Roman" w:hAnsi="Times New Roman"/>
          <w:sz w:val="24"/>
          <w:szCs w:val="24"/>
        </w:rPr>
        <w:t>SPEC orientations espoused are not clearly reflected in</w:t>
      </w:r>
      <w:r w:rsidRPr="00FD0BEB">
        <w:rPr>
          <w:rFonts w:ascii="Times New Roman" w:hAnsi="Times New Roman"/>
          <w:sz w:val="24"/>
          <w:szCs w:val="24"/>
        </w:rPr>
        <w:t xml:space="preserve"> </w:t>
      </w:r>
      <w:r w:rsidRPr="00FD0BEB">
        <w:rPr>
          <w:rFonts w:ascii="Times New Roman" w:hAnsi="Times New Roman"/>
          <w:sz w:val="24"/>
          <w:szCs w:val="24"/>
        </w:rPr>
        <w:lastRenderedPageBreak/>
        <w:t xml:space="preserve">strategies </w:t>
      </w:r>
      <w:r>
        <w:rPr>
          <w:rFonts w:ascii="Times New Roman" w:hAnsi="Times New Roman"/>
          <w:sz w:val="24"/>
          <w:szCs w:val="24"/>
        </w:rPr>
        <w:t>actually implemented</w:t>
      </w:r>
      <w:r w:rsidRPr="00FD0BEB">
        <w:rPr>
          <w:rFonts w:ascii="Times New Roman" w:hAnsi="Times New Roman"/>
          <w:sz w:val="24"/>
          <w:szCs w:val="24"/>
        </w:rPr>
        <w:t xml:space="preserve"> suggests a need for both more research on that gap and especially funding for SPEC interventions and staff hiring or retraining to implement them.</w:t>
      </w:r>
    </w:p>
    <w:p w14:paraId="51CE4083" w14:textId="77777777" w:rsidR="00521F9F" w:rsidRPr="00FD0BEB" w:rsidRDefault="00521F9F" w:rsidP="00860112">
      <w:pPr>
        <w:spacing w:after="0"/>
        <w:ind w:firstLine="720"/>
        <w:rPr>
          <w:rFonts w:ascii="Times New Roman" w:hAnsi="Times New Roman"/>
          <w:sz w:val="24"/>
        </w:rPr>
      </w:pPr>
      <w:r w:rsidRPr="00FD0BEB">
        <w:rPr>
          <w:rFonts w:ascii="Times New Roman" w:hAnsi="Times New Roman"/>
          <w:sz w:val="24"/>
        </w:rPr>
        <w:t xml:space="preserve">The finding that advocacy </w:t>
      </w:r>
      <w:r>
        <w:rPr>
          <w:rFonts w:ascii="Times New Roman" w:hAnsi="Times New Roman" w:cs="Calibri"/>
          <w:sz w:val="24"/>
        </w:rPr>
        <w:t>was less common than other strategies, but that c</w:t>
      </w:r>
      <w:r w:rsidRPr="00FD0BEB">
        <w:rPr>
          <w:rFonts w:ascii="Times New Roman" w:hAnsi="Times New Roman" w:cs="Calibri"/>
          <w:sz w:val="24"/>
        </w:rPr>
        <w:t xml:space="preserve">oalition participants were more likely to engage in </w:t>
      </w:r>
      <w:r>
        <w:rPr>
          <w:rFonts w:ascii="Times New Roman" w:hAnsi="Times New Roman" w:cs="Calibri"/>
          <w:sz w:val="24"/>
        </w:rPr>
        <w:t>some form of it (more on behalf of youth having difficulties with the school or justice systems than</w:t>
      </w:r>
      <w:r w:rsidRPr="006D2801">
        <w:rPr>
          <w:rFonts w:ascii="Times New Roman" w:hAnsi="Times New Roman" w:cs="Calibri"/>
          <w:sz w:val="24"/>
        </w:rPr>
        <w:t xml:space="preserve"> </w:t>
      </w:r>
      <w:r>
        <w:rPr>
          <w:rFonts w:ascii="Times New Roman" w:hAnsi="Times New Roman" w:cs="Calibri"/>
          <w:sz w:val="24"/>
        </w:rPr>
        <w:t xml:space="preserve">for </w:t>
      </w:r>
      <w:r w:rsidRPr="006D2801">
        <w:rPr>
          <w:rFonts w:ascii="Times New Roman" w:hAnsi="Times New Roman" w:cs="Calibri"/>
          <w:sz w:val="24"/>
        </w:rPr>
        <w:t>policy change</w:t>
      </w:r>
      <w:r>
        <w:rPr>
          <w:rFonts w:ascii="Times New Roman" w:hAnsi="Times New Roman" w:cs="Calibri"/>
          <w:sz w:val="24"/>
        </w:rPr>
        <w:t>)</w:t>
      </w:r>
      <w:r w:rsidRPr="00FD0BEB">
        <w:rPr>
          <w:rFonts w:ascii="Times New Roman" w:hAnsi="Times New Roman" w:cs="Calibri"/>
          <w:sz w:val="24"/>
        </w:rPr>
        <w:t xml:space="preserve"> than </w:t>
      </w:r>
      <w:r>
        <w:rPr>
          <w:rFonts w:ascii="Times New Roman" w:hAnsi="Times New Roman" w:cs="Calibri"/>
          <w:sz w:val="24"/>
        </w:rPr>
        <w:t xml:space="preserve">were </w:t>
      </w:r>
      <w:r w:rsidRPr="00FD0BEB">
        <w:rPr>
          <w:rFonts w:ascii="Times New Roman" w:hAnsi="Times New Roman" w:cs="Calibri"/>
          <w:sz w:val="24"/>
        </w:rPr>
        <w:t>non</w:t>
      </w:r>
      <w:r>
        <w:rPr>
          <w:rFonts w:ascii="Times New Roman" w:hAnsi="Times New Roman" w:cs="Calibri"/>
          <w:sz w:val="24"/>
        </w:rPr>
        <w:t xml:space="preserve">participants </w:t>
      </w:r>
      <w:r w:rsidRPr="00FD0BEB">
        <w:rPr>
          <w:rFonts w:ascii="Times New Roman" w:hAnsi="Times New Roman"/>
          <w:sz w:val="24"/>
        </w:rPr>
        <w:t>suggests that coalition</w:t>
      </w:r>
      <w:r>
        <w:rPr>
          <w:rFonts w:ascii="Times New Roman" w:hAnsi="Times New Roman"/>
          <w:sz w:val="24"/>
        </w:rPr>
        <w:t>s</w:t>
      </w:r>
      <w:r w:rsidRPr="00FD0BEB">
        <w:rPr>
          <w:rFonts w:ascii="Times New Roman" w:hAnsi="Times New Roman"/>
          <w:sz w:val="24"/>
        </w:rPr>
        <w:t xml:space="preserve"> may be most effective at </w:t>
      </w:r>
      <w:r>
        <w:rPr>
          <w:rFonts w:ascii="Times New Roman" w:hAnsi="Times New Roman"/>
          <w:sz w:val="24"/>
        </w:rPr>
        <w:t xml:space="preserve">helping </w:t>
      </w:r>
      <w:r w:rsidRPr="00FD0BEB">
        <w:rPr>
          <w:rFonts w:ascii="Times New Roman" w:hAnsi="Times New Roman"/>
          <w:sz w:val="24"/>
        </w:rPr>
        <w:t xml:space="preserve">organizations </w:t>
      </w:r>
      <w:r>
        <w:rPr>
          <w:rFonts w:ascii="Times New Roman" w:hAnsi="Times New Roman"/>
          <w:sz w:val="24"/>
        </w:rPr>
        <w:t>with little knowledge or experience in advocacy to overcome those limitations</w:t>
      </w:r>
      <w:r w:rsidRPr="00FD0BEB">
        <w:rPr>
          <w:rFonts w:ascii="Times New Roman" w:hAnsi="Times New Roman"/>
          <w:sz w:val="24"/>
        </w:rPr>
        <w:t xml:space="preserve">. </w:t>
      </w:r>
      <w:r>
        <w:rPr>
          <w:rFonts w:ascii="Times New Roman" w:hAnsi="Times New Roman"/>
          <w:sz w:val="24"/>
        </w:rPr>
        <w:t>Coalitions are a particularly natural venue for advocacy given the clout and voice that come with the potentially large numbers of organizations and individuals they can mobilize.</w:t>
      </w:r>
    </w:p>
    <w:p w14:paraId="708DB20F" w14:textId="77777777" w:rsidR="00521F9F" w:rsidRPr="00A63C5C" w:rsidRDefault="00521F9F" w:rsidP="00A63C5C">
      <w:pPr>
        <w:spacing w:after="0"/>
        <w:ind w:firstLine="720"/>
        <w:contextualSpacing/>
        <w:rPr>
          <w:rFonts w:ascii="Times New Roman" w:hAnsi="Times New Roman"/>
          <w:sz w:val="24"/>
        </w:rPr>
      </w:pPr>
      <w:r w:rsidRPr="00035FF0">
        <w:rPr>
          <w:rFonts w:ascii="Times New Roman" w:hAnsi="Times New Roman"/>
          <w:sz w:val="24"/>
          <w:szCs w:val="24"/>
        </w:rPr>
        <w:t xml:space="preserve">The </w:t>
      </w:r>
      <w:r>
        <w:rPr>
          <w:rFonts w:ascii="Times New Roman" w:hAnsi="Times New Roman"/>
          <w:sz w:val="24"/>
          <w:szCs w:val="24"/>
        </w:rPr>
        <w:t xml:space="preserve">role of </w:t>
      </w:r>
      <w:r w:rsidRPr="00FD0BEB">
        <w:rPr>
          <w:rFonts w:ascii="Times New Roman" w:hAnsi="Times New Roman"/>
          <w:sz w:val="24"/>
          <w:szCs w:val="24"/>
        </w:rPr>
        <w:t xml:space="preserve">immigrant organizations </w:t>
      </w:r>
      <w:r>
        <w:rPr>
          <w:rFonts w:ascii="Times New Roman" w:hAnsi="Times New Roman"/>
          <w:sz w:val="24"/>
          <w:szCs w:val="24"/>
        </w:rPr>
        <w:t>in the complete network of institutions engaged in YVP is noteworthy. Although few in number, when asked about the causes of youth violence, representatives of immigrant organizations were much more likely than other types to cite structural causes related to racial discrimination in criminal and juvenile justice, education, and other systems and economic disadvantage. Yet unfortunately they generally did not participate in the coalition, did not engage in advocacy, and were all on the periphery of the network across the five years.  A majority of them engaged</w:t>
      </w:r>
      <w:r w:rsidRPr="00FD0BEB">
        <w:rPr>
          <w:rFonts w:ascii="Times New Roman" w:hAnsi="Times New Roman"/>
          <w:sz w:val="24"/>
          <w:szCs w:val="24"/>
        </w:rPr>
        <w:t xml:space="preserve"> in education </w:t>
      </w:r>
      <w:r>
        <w:rPr>
          <w:rFonts w:ascii="Times New Roman" w:hAnsi="Times New Roman"/>
          <w:sz w:val="24"/>
          <w:szCs w:val="24"/>
        </w:rPr>
        <w:t xml:space="preserve">about youth violence in Year 1, but they were the only type of organization that </w:t>
      </w:r>
      <w:r w:rsidRPr="00A63C5C">
        <w:rPr>
          <w:rFonts w:ascii="Times New Roman" w:hAnsi="Times New Roman"/>
          <w:i/>
          <w:sz w:val="24"/>
          <w:szCs w:val="24"/>
        </w:rPr>
        <w:t>decreased</w:t>
      </w:r>
      <w:r>
        <w:rPr>
          <w:rFonts w:ascii="Times New Roman" w:hAnsi="Times New Roman"/>
          <w:sz w:val="24"/>
          <w:szCs w:val="24"/>
        </w:rPr>
        <w:t xml:space="preserve"> its use of that strategy over time. This represents an important missed opportunity as greater participation by immigrant organizations in advocacy and public education about systemic causes of violence and in the coalition would not only have helped them become more central to the network and gain a more prominent voice in the wider community, but it would have helped broaden the coalition, added an important perspective to its agenda, and contributed more to reducing youth violence in the city (</w:t>
      </w:r>
      <w:r w:rsidRPr="00790059">
        <w:rPr>
          <w:rFonts w:ascii="Times New Roman" w:hAnsi="Times New Roman"/>
          <w:sz w:val="24"/>
          <w:szCs w:val="24"/>
        </w:rPr>
        <w:t>Hays</w:t>
      </w:r>
      <w:r>
        <w:rPr>
          <w:rFonts w:ascii="Times New Roman" w:hAnsi="Times New Roman"/>
          <w:sz w:val="24"/>
          <w:szCs w:val="24"/>
        </w:rPr>
        <w:t xml:space="preserve"> et </w:t>
      </w:r>
      <w:r>
        <w:rPr>
          <w:rFonts w:ascii="Times New Roman" w:hAnsi="Times New Roman"/>
          <w:sz w:val="24"/>
          <w:szCs w:val="24"/>
        </w:rPr>
        <w:lastRenderedPageBreak/>
        <w:t>al., 2000). I</w:t>
      </w:r>
      <w:r w:rsidRPr="00FD0BEB">
        <w:rPr>
          <w:rFonts w:ascii="Times New Roman" w:hAnsi="Times New Roman"/>
          <w:sz w:val="24"/>
        </w:rPr>
        <w:t xml:space="preserve">mmigrant </w:t>
      </w:r>
      <w:r>
        <w:rPr>
          <w:rFonts w:ascii="Times New Roman" w:hAnsi="Times New Roman"/>
          <w:sz w:val="24"/>
        </w:rPr>
        <w:t>and</w:t>
      </w:r>
      <w:r w:rsidRPr="00FD0BEB">
        <w:rPr>
          <w:rFonts w:ascii="Times New Roman" w:hAnsi="Times New Roman"/>
          <w:sz w:val="24"/>
        </w:rPr>
        <w:t xml:space="preserve"> </w:t>
      </w:r>
      <w:r>
        <w:rPr>
          <w:rFonts w:ascii="Times New Roman" w:hAnsi="Times New Roman"/>
          <w:sz w:val="24"/>
        </w:rPr>
        <w:t>grassroots</w:t>
      </w:r>
      <w:r w:rsidRPr="00FD0BEB">
        <w:rPr>
          <w:rFonts w:ascii="Times New Roman" w:hAnsi="Times New Roman"/>
          <w:sz w:val="24"/>
        </w:rPr>
        <w:t xml:space="preserve"> org</w:t>
      </w:r>
      <w:r>
        <w:rPr>
          <w:rFonts w:ascii="Times New Roman" w:hAnsi="Times New Roman"/>
          <w:sz w:val="24"/>
        </w:rPr>
        <w:t>anization</w:t>
      </w:r>
      <w:r w:rsidRPr="00FD0BEB">
        <w:rPr>
          <w:rFonts w:ascii="Times New Roman" w:hAnsi="Times New Roman"/>
          <w:sz w:val="24"/>
        </w:rPr>
        <w:t xml:space="preserve">s more peripheral to the network should be </w:t>
      </w:r>
      <w:r>
        <w:rPr>
          <w:rFonts w:ascii="Times New Roman" w:hAnsi="Times New Roman"/>
          <w:sz w:val="24"/>
        </w:rPr>
        <w:t xml:space="preserve">more </w:t>
      </w:r>
      <w:r w:rsidRPr="00FD0BEB">
        <w:rPr>
          <w:rFonts w:ascii="Times New Roman" w:hAnsi="Times New Roman"/>
          <w:sz w:val="24"/>
        </w:rPr>
        <w:t>actively recruited by the coalition</w:t>
      </w:r>
      <w:r w:rsidRPr="002557AB">
        <w:rPr>
          <w:rFonts w:ascii="Times New Roman" w:hAnsi="Times New Roman"/>
          <w:sz w:val="24"/>
        </w:rPr>
        <w:t>.</w:t>
      </w:r>
    </w:p>
    <w:p w14:paraId="06F4ECCD" w14:textId="77777777" w:rsidR="00521F9F" w:rsidRPr="00D51A5E" w:rsidRDefault="00521F9F" w:rsidP="00D51A5E">
      <w:pPr>
        <w:spacing w:after="0"/>
        <w:rPr>
          <w:rFonts w:ascii="Times New Roman" w:hAnsi="Times New Roman"/>
          <w:sz w:val="24"/>
          <w:u w:val="single"/>
        </w:rPr>
      </w:pPr>
      <w:r w:rsidRPr="00D51A5E">
        <w:rPr>
          <w:rFonts w:ascii="Times New Roman" w:hAnsi="Times New Roman"/>
          <w:sz w:val="24"/>
          <w:u w:val="single"/>
        </w:rPr>
        <w:t>Strengths and Limitations of the Study</w:t>
      </w:r>
    </w:p>
    <w:p w14:paraId="7D2D37FB" w14:textId="77777777" w:rsidR="00521F9F" w:rsidRDefault="00521F9F" w:rsidP="00D51A5E">
      <w:pPr>
        <w:spacing w:after="0"/>
        <w:ind w:firstLine="720"/>
        <w:rPr>
          <w:rFonts w:ascii="Times New Roman" w:hAnsi="Times New Roman"/>
          <w:sz w:val="24"/>
        </w:rPr>
      </w:pPr>
      <w:r>
        <w:rPr>
          <w:rFonts w:ascii="Times New Roman" w:hAnsi="Times New Roman"/>
          <w:sz w:val="24"/>
        </w:rPr>
        <w:t>We had the rare opportunity to study and participate in a collaborative and diverse effort aimed at an important social issue from its very inception throughout five years of its development. We collected longitudinal data annually measuring a host of process and outcome variables. The sample included diverse types of organizations, from schools and government agencies to community-based, immigrant, and youth-member organizations and from churches to professional health and human services. A diverse set of mixed methods were applied for data analysis: quantitative statistical methods (including a new brief SPECs survey scale of intervention orientation toward strengths, prevention, empowerment, and changing community c</w:t>
      </w:r>
      <w:r w:rsidRPr="000A060F">
        <w:rPr>
          <w:rFonts w:ascii="Times New Roman" w:hAnsi="Times New Roman"/>
          <w:sz w:val="24"/>
        </w:rPr>
        <w:t>onditions</w:t>
      </w:r>
      <w:r>
        <w:rPr>
          <w:rFonts w:ascii="Times New Roman" w:hAnsi="Times New Roman"/>
          <w:sz w:val="24"/>
        </w:rPr>
        <w:t>), qualitative coding and interpretation, and network analyses. The most unusual aspects of the study were the inclusion of virtually all relevant local YVP organizations, both coalition participants and nonparticipants, and our ability to track changes in the coalition and organizational strategies over five years.</w:t>
      </w:r>
    </w:p>
    <w:p w14:paraId="4AC98B46" w14:textId="13FDF86D" w:rsidR="00521F9F" w:rsidRPr="00D51A5E" w:rsidRDefault="00521F9F" w:rsidP="00D51A5E">
      <w:pPr>
        <w:spacing w:after="0"/>
        <w:ind w:firstLine="720"/>
        <w:rPr>
          <w:rFonts w:ascii="Times New Roman" w:hAnsi="Times New Roman"/>
          <w:sz w:val="24"/>
        </w:rPr>
      </w:pPr>
      <w:r>
        <w:rPr>
          <w:rFonts w:ascii="Times New Roman" w:hAnsi="Times New Roman"/>
          <w:sz w:val="24"/>
        </w:rPr>
        <w:t xml:space="preserve">The study also </w:t>
      </w:r>
      <w:r w:rsidR="00F84C06">
        <w:rPr>
          <w:rFonts w:ascii="Times New Roman" w:hAnsi="Times New Roman"/>
          <w:sz w:val="24"/>
        </w:rPr>
        <w:t xml:space="preserve">had </w:t>
      </w:r>
      <w:r>
        <w:rPr>
          <w:rFonts w:ascii="Times New Roman" w:hAnsi="Times New Roman"/>
          <w:sz w:val="24"/>
        </w:rPr>
        <w:t>limitations in its scope and consistency. The number of organizations in the sample was too small to perform some quantitative analyses, especially those applying eight or more groupings of organizations. While attrition of respondents across each wave of data collection was no more than typical, annual changes were sufficient to make longitudinal panel analyses difficult if not impossible. Furthermore, diminishing enthusiasm by some respondents for the coalition (with which our project was associated and manifested in decreased atten</w:t>
      </w:r>
      <w:r w:rsidR="00453BDE">
        <w:rPr>
          <w:rFonts w:ascii="Times New Roman" w:hAnsi="Times New Roman"/>
          <w:sz w:val="24"/>
        </w:rPr>
        <w:t>d</w:t>
      </w:r>
      <w:r>
        <w:rPr>
          <w:rFonts w:ascii="Times New Roman" w:hAnsi="Times New Roman"/>
          <w:sz w:val="24"/>
        </w:rPr>
        <w:t xml:space="preserve">ance), leads us to question the quality of some data from the last year of collection. Indeed, the level of detail and the consistency of responses diminished with time and significant amounts </w:t>
      </w:r>
      <w:r>
        <w:rPr>
          <w:rFonts w:ascii="Times New Roman" w:hAnsi="Times New Roman"/>
          <w:sz w:val="24"/>
        </w:rPr>
        <w:lastRenderedPageBreak/>
        <w:t xml:space="preserve">of missing data were observed on some measures in our survey. Disappointing also was the refusal of some of the coalition members, most importantly government agencies, to provide </w:t>
      </w:r>
      <w:r w:rsidR="000141F6">
        <w:rPr>
          <w:rFonts w:ascii="Times New Roman" w:hAnsi="Times New Roman"/>
          <w:sz w:val="24"/>
        </w:rPr>
        <w:t xml:space="preserve">timely </w:t>
      </w:r>
      <w:r>
        <w:rPr>
          <w:rFonts w:ascii="Times New Roman" w:hAnsi="Times New Roman"/>
          <w:sz w:val="24"/>
        </w:rPr>
        <w:t xml:space="preserve">crime and health-related data that could help evaluate the impact of the coalition on the outcomes of interest and its purpose for existence. </w:t>
      </w:r>
      <w:r w:rsidR="000141F6">
        <w:rPr>
          <w:rFonts w:ascii="Times New Roman" w:hAnsi="Times New Roman"/>
          <w:sz w:val="24"/>
        </w:rPr>
        <w:t>We report</w:t>
      </w:r>
      <w:r w:rsidR="0016612C">
        <w:rPr>
          <w:rFonts w:ascii="Times New Roman" w:hAnsi="Times New Roman"/>
          <w:sz w:val="24"/>
        </w:rPr>
        <w:t>ed</w:t>
      </w:r>
      <w:r w:rsidR="000141F6">
        <w:rPr>
          <w:rFonts w:ascii="Times New Roman" w:hAnsi="Times New Roman"/>
          <w:sz w:val="24"/>
        </w:rPr>
        <w:t xml:space="preserve"> annual juvenile arrest and court data before, during, and two years after the coalition was unfunded, but those are not enough years to provide an interpretable interrupted time series analysis. The decreasing juvenile crime rate is not necessarily attributable to the coalition. </w:t>
      </w:r>
      <w:r>
        <w:rPr>
          <w:rFonts w:ascii="Times New Roman" w:hAnsi="Times New Roman"/>
          <w:sz w:val="24"/>
        </w:rPr>
        <w:t>Finally, the myriad contextual specificities of both the city and the YVP coalition make it impossible to know how generalizable our findings are to other metropolitan areas or regions where the violence patterns, demographic, social, and policy-making structures, and organizational matrix may be different in important ways.</w:t>
      </w:r>
    </w:p>
    <w:p w14:paraId="30F0D645" w14:textId="77777777" w:rsidR="00521F9F" w:rsidRPr="00FD0BEB" w:rsidRDefault="00521F9F" w:rsidP="002557AB">
      <w:pPr>
        <w:spacing w:after="0"/>
        <w:rPr>
          <w:rFonts w:ascii="Times New Roman" w:hAnsi="Times New Roman"/>
          <w:sz w:val="24"/>
          <w:u w:val="single"/>
        </w:rPr>
      </w:pPr>
      <w:r w:rsidRPr="00FD0BEB">
        <w:rPr>
          <w:rFonts w:ascii="Times New Roman" w:hAnsi="Times New Roman"/>
          <w:sz w:val="24"/>
          <w:u w:val="single"/>
        </w:rPr>
        <w:t>Conclusions</w:t>
      </w:r>
    </w:p>
    <w:p w14:paraId="046630D6" w14:textId="116D8B12" w:rsidR="000B0D6B" w:rsidRDefault="00521F9F" w:rsidP="000739DA">
      <w:pPr>
        <w:spacing w:after="0"/>
        <w:ind w:firstLine="720"/>
        <w:rPr>
          <w:rFonts w:ascii="Times New Roman" w:hAnsi="Times New Roman"/>
          <w:sz w:val="24"/>
        </w:rPr>
        <w:sectPr w:rsidR="000B0D6B" w:rsidSect="005A377A">
          <w:headerReference w:type="default" r:id="rId7"/>
          <w:headerReference w:type="first" r:id="rId8"/>
          <w:pgSz w:w="12240" w:h="15840"/>
          <w:pgMar w:top="1440" w:right="1440" w:bottom="1440" w:left="1440" w:header="720" w:footer="720" w:gutter="0"/>
          <w:cols w:space="720"/>
          <w:titlePg/>
          <w:docGrid w:linePitch="360"/>
        </w:sectPr>
      </w:pPr>
      <w:r w:rsidRPr="00FD0BEB">
        <w:rPr>
          <w:rFonts w:ascii="Times New Roman" w:hAnsi="Times New Roman"/>
          <w:sz w:val="24"/>
        </w:rPr>
        <w:t>Most organizations addressing youth viol</w:t>
      </w:r>
      <w:r>
        <w:rPr>
          <w:rFonts w:ascii="Times New Roman" w:hAnsi="Times New Roman"/>
          <w:sz w:val="24"/>
        </w:rPr>
        <w:t>ence do so through individually-</w:t>
      </w:r>
      <w:r w:rsidRPr="00FD0BEB">
        <w:rPr>
          <w:rFonts w:ascii="Times New Roman" w:hAnsi="Times New Roman"/>
          <w:sz w:val="24"/>
        </w:rPr>
        <w:t>focused prevention/promotion (such as positive youth development programs that provide structured, supervised group activities)</w:t>
      </w:r>
      <w:r>
        <w:rPr>
          <w:rFonts w:ascii="Times New Roman" w:hAnsi="Times New Roman"/>
          <w:sz w:val="24"/>
        </w:rPr>
        <w:t>,</w:t>
      </w:r>
      <w:r w:rsidRPr="00FD0BEB">
        <w:rPr>
          <w:rFonts w:ascii="Times New Roman" w:hAnsi="Times New Roman"/>
          <w:sz w:val="24"/>
        </w:rPr>
        <w:t xml:space="preserve"> despite limi</w:t>
      </w:r>
      <w:r>
        <w:rPr>
          <w:rFonts w:ascii="Times New Roman" w:hAnsi="Times New Roman"/>
          <w:sz w:val="24"/>
        </w:rPr>
        <w:t xml:space="preserve">ted demonstrated effectiveness, because </w:t>
      </w:r>
      <w:r w:rsidRPr="00FD0BEB">
        <w:rPr>
          <w:rFonts w:ascii="Times New Roman" w:hAnsi="Times New Roman"/>
          <w:sz w:val="24"/>
        </w:rPr>
        <w:t xml:space="preserve">it is </w:t>
      </w:r>
      <w:r>
        <w:rPr>
          <w:rFonts w:ascii="Times New Roman" w:hAnsi="Times New Roman"/>
          <w:sz w:val="24"/>
        </w:rPr>
        <w:t>how administrators, staff, and volunteers have wanted to intervene and it is what has been funded. This contrasts with the</w:t>
      </w:r>
      <w:r w:rsidRPr="00FD0BEB">
        <w:rPr>
          <w:rFonts w:ascii="Times New Roman" w:hAnsi="Times New Roman"/>
          <w:sz w:val="24"/>
        </w:rPr>
        <w:t xml:space="preserve"> theory of change implicit</w:t>
      </w:r>
      <w:r>
        <w:rPr>
          <w:rFonts w:ascii="Times New Roman" w:hAnsi="Times New Roman"/>
          <w:sz w:val="24"/>
        </w:rPr>
        <w:t>, if not always recognized,</w:t>
      </w:r>
      <w:r w:rsidRPr="00FD0BEB">
        <w:rPr>
          <w:rFonts w:ascii="Times New Roman" w:hAnsi="Times New Roman"/>
          <w:sz w:val="24"/>
        </w:rPr>
        <w:t xml:space="preserve"> in the local organizational coalitions formed throughout the United States in recent decades to prevent substance abuse, violence, and</w:t>
      </w:r>
      <w:r>
        <w:rPr>
          <w:rFonts w:ascii="Times New Roman" w:hAnsi="Times New Roman"/>
          <w:sz w:val="24"/>
        </w:rPr>
        <w:t xml:space="preserve"> other public health problems which assumes</w:t>
      </w:r>
      <w:r w:rsidRPr="00FD0BEB">
        <w:rPr>
          <w:rFonts w:ascii="Times New Roman" w:hAnsi="Times New Roman"/>
          <w:sz w:val="24"/>
        </w:rPr>
        <w:t xml:space="preserve"> that increased contact and coordination through face-to-face meetings and information sharing will lead to greater </w:t>
      </w:r>
      <w:r>
        <w:rPr>
          <w:rFonts w:ascii="Times New Roman" w:hAnsi="Times New Roman"/>
          <w:sz w:val="24"/>
        </w:rPr>
        <w:t xml:space="preserve">voice, </w:t>
      </w:r>
      <w:r w:rsidRPr="00FD0BEB">
        <w:rPr>
          <w:rFonts w:ascii="Times New Roman" w:hAnsi="Times New Roman"/>
          <w:sz w:val="24"/>
        </w:rPr>
        <w:t>clout and impact, especially through campaigns to address structural causes of such problems.</w:t>
      </w:r>
      <w:r w:rsidR="006236B8">
        <w:rPr>
          <w:rFonts w:ascii="Times New Roman" w:hAnsi="Times New Roman"/>
          <w:sz w:val="24"/>
        </w:rPr>
        <w:t xml:space="preserve"> </w:t>
      </w:r>
      <w:r w:rsidR="006236B8" w:rsidRPr="006236B8">
        <w:rPr>
          <w:rFonts w:ascii="Times New Roman" w:hAnsi="Times New Roman"/>
          <w:sz w:val="24"/>
        </w:rPr>
        <w:t xml:space="preserve">In 2018, the </w:t>
      </w:r>
      <w:r w:rsidR="006236B8">
        <w:rPr>
          <w:rFonts w:ascii="Times New Roman" w:hAnsi="Times New Roman"/>
          <w:sz w:val="24"/>
        </w:rPr>
        <w:t>h</w:t>
      </w:r>
      <w:r w:rsidR="006236B8" w:rsidRPr="006236B8">
        <w:rPr>
          <w:rFonts w:ascii="Times New Roman" w:hAnsi="Times New Roman"/>
          <w:sz w:val="24"/>
        </w:rPr>
        <w:t xml:space="preserve">ealth </w:t>
      </w:r>
      <w:r w:rsidR="006236B8">
        <w:rPr>
          <w:rFonts w:ascii="Times New Roman" w:hAnsi="Times New Roman"/>
          <w:sz w:val="24"/>
        </w:rPr>
        <w:t>d</w:t>
      </w:r>
      <w:r w:rsidR="006236B8" w:rsidRPr="006236B8">
        <w:rPr>
          <w:rFonts w:ascii="Times New Roman" w:hAnsi="Times New Roman"/>
          <w:sz w:val="24"/>
        </w:rPr>
        <w:t xml:space="preserve">epartment in the study city organized a new </w:t>
      </w:r>
      <w:r w:rsidR="007B057D">
        <w:rPr>
          <w:rFonts w:ascii="Times New Roman" w:hAnsi="Times New Roman"/>
          <w:sz w:val="24"/>
        </w:rPr>
        <w:t>YVP</w:t>
      </w:r>
      <w:r w:rsidR="006236B8" w:rsidRPr="006236B8">
        <w:rPr>
          <w:rFonts w:ascii="Times New Roman" w:hAnsi="Times New Roman"/>
          <w:sz w:val="24"/>
        </w:rPr>
        <w:t xml:space="preserve"> coalition. Although </w:t>
      </w:r>
      <w:r w:rsidR="006236B8">
        <w:rPr>
          <w:rFonts w:ascii="Times New Roman" w:hAnsi="Times New Roman"/>
          <w:sz w:val="24"/>
        </w:rPr>
        <w:t>many</w:t>
      </w:r>
      <w:r w:rsidR="006236B8" w:rsidRPr="006236B8">
        <w:rPr>
          <w:rFonts w:ascii="Times New Roman" w:hAnsi="Times New Roman"/>
          <w:sz w:val="24"/>
        </w:rPr>
        <w:t xml:space="preserve"> of the same agencies from the coalition in this study were again involved, there </w:t>
      </w:r>
      <w:r w:rsidR="006236B8" w:rsidRPr="006236B8">
        <w:rPr>
          <w:rFonts w:ascii="Times New Roman" w:hAnsi="Times New Roman"/>
          <w:sz w:val="24"/>
        </w:rPr>
        <w:lastRenderedPageBreak/>
        <w:t>were also new players and the fact that a more explicit public health and primary prevention focus was adopted is an encouraging sign.</w:t>
      </w:r>
    </w:p>
    <w:p w14:paraId="492652F3" w14:textId="7E8A097F" w:rsidR="00521F9F" w:rsidRPr="002557AB" w:rsidRDefault="00521F9F" w:rsidP="00E67390">
      <w:pPr>
        <w:spacing w:after="0"/>
        <w:jc w:val="center"/>
        <w:rPr>
          <w:rFonts w:ascii="Times New Roman" w:hAnsi="Times New Roman"/>
          <w:sz w:val="24"/>
        </w:rPr>
      </w:pPr>
      <w:r w:rsidRPr="009D4235">
        <w:rPr>
          <w:rFonts w:ascii="Times New Roman" w:hAnsi="Times New Roman"/>
          <w:sz w:val="24"/>
          <w:szCs w:val="24"/>
        </w:rPr>
        <w:lastRenderedPageBreak/>
        <w:t>References</w:t>
      </w:r>
    </w:p>
    <w:p w14:paraId="1A72BC35" w14:textId="5EA0EA39" w:rsidR="005041CF" w:rsidRDefault="005041CF" w:rsidP="00602314">
      <w:pPr>
        <w:spacing w:after="0"/>
        <w:ind w:left="720" w:hanging="720"/>
        <w:contextualSpacing/>
        <w:rPr>
          <w:rFonts w:ascii="Times New Roman" w:hAnsi="Times New Roman"/>
          <w:sz w:val="24"/>
          <w:szCs w:val="24"/>
        </w:rPr>
      </w:pPr>
      <w:r w:rsidRPr="005041CF">
        <w:rPr>
          <w:rFonts w:ascii="Times New Roman" w:hAnsi="Times New Roman"/>
          <w:sz w:val="24"/>
          <w:szCs w:val="24"/>
        </w:rPr>
        <w:t>Bess, K</w:t>
      </w:r>
      <w:r>
        <w:rPr>
          <w:rFonts w:ascii="Times New Roman" w:hAnsi="Times New Roman"/>
          <w:sz w:val="24"/>
          <w:szCs w:val="24"/>
        </w:rPr>
        <w:t>.</w:t>
      </w:r>
      <w:r w:rsidRPr="005041CF">
        <w:rPr>
          <w:rFonts w:ascii="Times New Roman" w:hAnsi="Times New Roman"/>
          <w:sz w:val="24"/>
          <w:szCs w:val="24"/>
        </w:rPr>
        <w:t xml:space="preserve">D. (2015). Reframing </w:t>
      </w:r>
      <w:r w:rsidR="009876E2">
        <w:rPr>
          <w:rFonts w:ascii="Times New Roman" w:hAnsi="Times New Roman"/>
          <w:sz w:val="24"/>
          <w:szCs w:val="24"/>
        </w:rPr>
        <w:t>c</w:t>
      </w:r>
      <w:r w:rsidRPr="005041CF">
        <w:rPr>
          <w:rFonts w:ascii="Times New Roman" w:hAnsi="Times New Roman"/>
          <w:sz w:val="24"/>
          <w:szCs w:val="24"/>
        </w:rPr>
        <w:t xml:space="preserve">oalitions as </w:t>
      </w:r>
      <w:r w:rsidR="009876E2" w:rsidRPr="005041CF">
        <w:rPr>
          <w:rFonts w:ascii="Times New Roman" w:hAnsi="Times New Roman"/>
          <w:sz w:val="24"/>
          <w:szCs w:val="24"/>
        </w:rPr>
        <w:t xml:space="preserve">systems interventions: </w:t>
      </w:r>
      <w:r w:rsidR="009876E2">
        <w:rPr>
          <w:rFonts w:ascii="Times New Roman" w:hAnsi="Times New Roman"/>
          <w:sz w:val="24"/>
          <w:szCs w:val="24"/>
        </w:rPr>
        <w:t>A</w:t>
      </w:r>
      <w:r w:rsidR="009876E2" w:rsidRPr="005041CF">
        <w:rPr>
          <w:rFonts w:ascii="Times New Roman" w:hAnsi="Times New Roman"/>
          <w:sz w:val="24"/>
          <w:szCs w:val="24"/>
        </w:rPr>
        <w:t xml:space="preserve"> network study exploring the contribution of a youth violence prevention coalition to broader system capacity</w:t>
      </w:r>
      <w:r w:rsidRPr="005041CF">
        <w:rPr>
          <w:rFonts w:ascii="Times New Roman" w:hAnsi="Times New Roman"/>
          <w:sz w:val="24"/>
          <w:szCs w:val="24"/>
        </w:rPr>
        <w:t xml:space="preserve">. </w:t>
      </w:r>
      <w:r w:rsidRPr="005041CF">
        <w:rPr>
          <w:rFonts w:ascii="Times New Roman" w:hAnsi="Times New Roman"/>
          <w:i/>
          <w:iCs/>
          <w:sz w:val="24"/>
          <w:szCs w:val="24"/>
        </w:rPr>
        <w:t>American Journal of Community Psychology, 55</w:t>
      </w:r>
      <w:r w:rsidRPr="005041CF">
        <w:rPr>
          <w:rFonts w:ascii="Times New Roman" w:hAnsi="Times New Roman"/>
          <w:sz w:val="24"/>
          <w:szCs w:val="24"/>
        </w:rPr>
        <w:t>(3-4), 381-395.</w:t>
      </w:r>
    </w:p>
    <w:p w14:paraId="3192FEE2" w14:textId="5531C775" w:rsidR="00521F9F" w:rsidRDefault="00521F9F" w:rsidP="00403095">
      <w:pPr>
        <w:spacing w:after="0"/>
        <w:ind w:left="720" w:hanging="720"/>
        <w:contextualSpacing/>
        <w:rPr>
          <w:rFonts w:ascii="Times New Roman" w:hAnsi="Times New Roman"/>
          <w:sz w:val="24"/>
          <w:szCs w:val="24"/>
        </w:rPr>
      </w:pPr>
      <w:r w:rsidRPr="00403095">
        <w:rPr>
          <w:rFonts w:ascii="Times New Roman" w:hAnsi="Times New Roman"/>
          <w:sz w:val="24"/>
          <w:szCs w:val="24"/>
        </w:rPr>
        <w:t xml:space="preserve">Bess, K.D., </w:t>
      </w:r>
      <w:proofErr w:type="spellStart"/>
      <w:r w:rsidRPr="00403095">
        <w:rPr>
          <w:rFonts w:ascii="Times New Roman" w:hAnsi="Times New Roman"/>
          <w:sz w:val="24"/>
          <w:szCs w:val="24"/>
        </w:rPr>
        <w:t>Prilleltensky</w:t>
      </w:r>
      <w:proofErr w:type="spellEnd"/>
      <w:r w:rsidRPr="00403095">
        <w:rPr>
          <w:rFonts w:ascii="Times New Roman" w:hAnsi="Times New Roman"/>
          <w:sz w:val="24"/>
          <w:szCs w:val="24"/>
        </w:rPr>
        <w:t xml:space="preserve">, I., Perkins, D.D., &amp; Collins, L.V. (2009). Participatory Organizational Change in Community-based Health and Human Services: From Tokenism to Political Engagement. </w:t>
      </w:r>
      <w:r w:rsidRPr="00403095">
        <w:rPr>
          <w:rFonts w:ascii="Times New Roman" w:hAnsi="Times New Roman"/>
          <w:i/>
          <w:iCs/>
          <w:sz w:val="24"/>
          <w:szCs w:val="24"/>
        </w:rPr>
        <w:t>American Journal of Community Psychology, 43</w:t>
      </w:r>
      <w:r w:rsidRPr="00403095">
        <w:rPr>
          <w:rFonts w:ascii="Times New Roman" w:hAnsi="Times New Roman"/>
          <w:sz w:val="24"/>
          <w:szCs w:val="24"/>
        </w:rPr>
        <w:t>, 134-148.</w:t>
      </w:r>
    </w:p>
    <w:p w14:paraId="71BDBDF9" w14:textId="62395CF5" w:rsidR="00CE0F91" w:rsidRDefault="00CE0F91" w:rsidP="00403095">
      <w:pPr>
        <w:spacing w:after="0"/>
        <w:ind w:left="720" w:hanging="720"/>
        <w:contextualSpacing/>
        <w:rPr>
          <w:rFonts w:ascii="Times New Roman" w:hAnsi="Times New Roman"/>
          <w:sz w:val="24"/>
          <w:szCs w:val="24"/>
        </w:rPr>
      </w:pPr>
      <w:r w:rsidRPr="00CE0F91">
        <w:rPr>
          <w:rFonts w:ascii="Times New Roman" w:hAnsi="Times New Roman"/>
          <w:sz w:val="24"/>
          <w:szCs w:val="24"/>
        </w:rPr>
        <w:t>Bess, K</w:t>
      </w:r>
      <w:r>
        <w:rPr>
          <w:rFonts w:ascii="Times New Roman" w:hAnsi="Times New Roman"/>
          <w:sz w:val="24"/>
          <w:szCs w:val="24"/>
        </w:rPr>
        <w:t>.</w:t>
      </w:r>
      <w:r w:rsidRPr="00CE0F91">
        <w:rPr>
          <w:rFonts w:ascii="Times New Roman" w:hAnsi="Times New Roman"/>
          <w:sz w:val="24"/>
          <w:szCs w:val="24"/>
        </w:rPr>
        <w:t>D., Speer, P</w:t>
      </w:r>
      <w:r>
        <w:rPr>
          <w:rFonts w:ascii="Times New Roman" w:hAnsi="Times New Roman"/>
          <w:sz w:val="24"/>
          <w:szCs w:val="24"/>
        </w:rPr>
        <w:t>.</w:t>
      </w:r>
      <w:r w:rsidRPr="00CE0F91">
        <w:rPr>
          <w:rFonts w:ascii="Times New Roman" w:hAnsi="Times New Roman"/>
          <w:sz w:val="24"/>
          <w:szCs w:val="24"/>
        </w:rPr>
        <w:t>W., &amp; Perkins, D</w:t>
      </w:r>
      <w:r>
        <w:rPr>
          <w:rFonts w:ascii="Times New Roman" w:hAnsi="Times New Roman"/>
          <w:sz w:val="24"/>
          <w:szCs w:val="24"/>
        </w:rPr>
        <w:t>.</w:t>
      </w:r>
      <w:r w:rsidRPr="00CE0F91">
        <w:rPr>
          <w:rFonts w:ascii="Times New Roman" w:hAnsi="Times New Roman"/>
          <w:sz w:val="24"/>
          <w:szCs w:val="24"/>
        </w:rPr>
        <w:t xml:space="preserve">D. (2012). Ecological Contexts in the Development of Coalitions for Youth Violence Prevention: An Organizational Network Analysis. </w:t>
      </w:r>
      <w:r w:rsidRPr="00CE0F91">
        <w:rPr>
          <w:rFonts w:ascii="Times New Roman" w:hAnsi="Times New Roman"/>
          <w:i/>
          <w:iCs/>
          <w:sz w:val="24"/>
          <w:szCs w:val="24"/>
        </w:rPr>
        <w:t>Health Education &amp; Behavior, 39</w:t>
      </w:r>
      <w:r w:rsidRPr="00CE0F91">
        <w:rPr>
          <w:rFonts w:ascii="Times New Roman" w:hAnsi="Times New Roman"/>
          <w:sz w:val="24"/>
          <w:szCs w:val="24"/>
        </w:rPr>
        <w:t>, 526-537.</w:t>
      </w:r>
    </w:p>
    <w:p w14:paraId="3C37138A" w14:textId="7E926B91" w:rsidR="00F03A63" w:rsidRPr="00F03A63" w:rsidRDefault="00F03A63" w:rsidP="00F03A63">
      <w:pPr>
        <w:spacing w:after="0"/>
        <w:ind w:left="720" w:hanging="720"/>
        <w:rPr>
          <w:rFonts w:ascii="Times New Roman" w:hAnsi="Times New Roman"/>
          <w:sz w:val="24"/>
        </w:rPr>
      </w:pPr>
      <w:proofErr w:type="spellStart"/>
      <w:r w:rsidRPr="00F03A63">
        <w:rPr>
          <w:rFonts w:ascii="Times New Roman" w:hAnsi="Times New Roman"/>
          <w:sz w:val="24"/>
        </w:rPr>
        <w:t>Bonell</w:t>
      </w:r>
      <w:proofErr w:type="spellEnd"/>
      <w:r w:rsidRPr="00F03A63">
        <w:rPr>
          <w:rFonts w:ascii="Times New Roman" w:hAnsi="Times New Roman"/>
          <w:sz w:val="24"/>
        </w:rPr>
        <w:t xml:space="preserve">, C., Dickson, K., Hinds, K., Melendez-Torres, G.J., Stansfield, C., Fletcher, A., </w:t>
      </w:r>
      <w:r w:rsidR="00AF50E0">
        <w:rPr>
          <w:rFonts w:ascii="Times New Roman" w:hAnsi="Times New Roman"/>
          <w:sz w:val="24"/>
        </w:rPr>
        <w:t>…</w:t>
      </w:r>
      <w:r w:rsidRPr="00F03A63">
        <w:rPr>
          <w:rFonts w:ascii="Times New Roman" w:hAnsi="Times New Roman"/>
          <w:sz w:val="24"/>
        </w:rPr>
        <w:t xml:space="preserve">&amp; Campbell, R. (2016). The effects of Positive Youth Development interventions on substance use, violence and inequalities: Systematic review of theories of change, processes and outcomes. </w:t>
      </w:r>
      <w:r w:rsidRPr="00F03A63">
        <w:rPr>
          <w:rFonts w:ascii="Times New Roman" w:hAnsi="Times New Roman"/>
          <w:i/>
          <w:iCs/>
          <w:sz w:val="24"/>
        </w:rPr>
        <w:t>Public Health Research</w:t>
      </w:r>
      <w:r w:rsidRPr="00F03A63">
        <w:rPr>
          <w:rFonts w:ascii="Times New Roman" w:hAnsi="Times New Roman"/>
          <w:sz w:val="24"/>
        </w:rPr>
        <w:t xml:space="preserve">, </w:t>
      </w:r>
      <w:r w:rsidRPr="00F03A63">
        <w:rPr>
          <w:rFonts w:ascii="Times New Roman" w:hAnsi="Times New Roman"/>
          <w:i/>
          <w:iCs/>
          <w:sz w:val="24"/>
        </w:rPr>
        <w:t>4</w:t>
      </w:r>
      <w:r w:rsidR="00AE73EB">
        <w:rPr>
          <w:rFonts w:ascii="Times New Roman" w:hAnsi="Times New Roman"/>
          <w:sz w:val="24"/>
        </w:rPr>
        <w:t>.</w:t>
      </w:r>
      <w:r w:rsidRPr="00F03A63">
        <w:rPr>
          <w:rFonts w:ascii="Times New Roman" w:hAnsi="Times New Roman"/>
          <w:sz w:val="24"/>
        </w:rPr>
        <w:t>5</w:t>
      </w:r>
      <w:r w:rsidR="00AE73EB">
        <w:rPr>
          <w:rFonts w:ascii="Times New Roman" w:hAnsi="Times New Roman"/>
          <w:sz w:val="24"/>
        </w:rPr>
        <w:t>.</w:t>
      </w:r>
      <w:r w:rsidRPr="00F03A63">
        <w:rPr>
          <w:rFonts w:ascii="Times New Roman" w:hAnsi="Times New Roman"/>
          <w:sz w:val="24"/>
        </w:rPr>
        <w:t xml:space="preserve"> </w:t>
      </w:r>
      <w:r w:rsidR="00AE73EB" w:rsidRPr="00AE73EB">
        <w:rPr>
          <w:rFonts w:ascii="Times New Roman" w:hAnsi="Times New Roman"/>
          <w:sz w:val="24"/>
        </w:rPr>
        <w:t>www.ncbi.nlm.nih.gov/books/NBK362316/</w:t>
      </w:r>
      <w:r w:rsidR="00AE73EB" w:rsidRPr="00AE73EB" w:rsidDel="001D1F58">
        <w:rPr>
          <w:rFonts w:ascii="Times New Roman" w:hAnsi="Times New Roman"/>
          <w:sz w:val="24"/>
        </w:rPr>
        <w:t xml:space="preserve"> </w:t>
      </w:r>
    </w:p>
    <w:p w14:paraId="267BEA69" w14:textId="5E417BB8" w:rsidR="0041525A" w:rsidRDefault="0041525A" w:rsidP="00602314">
      <w:pPr>
        <w:spacing w:after="0"/>
        <w:ind w:left="720" w:hanging="720"/>
        <w:rPr>
          <w:rFonts w:ascii="Times New Roman" w:hAnsi="Times New Roman"/>
          <w:sz w:val="24"/>
          <w:szCs w:val="24"/>
        </w:rPr>
      </w:pPr>
      <w:r w:rsidRPr="0041525A">
        <w:rPr>
          <w:rFonts w:ascii="Times New Roman" w:hAnsi="Times New Roman"/>
          <w:sz w:val="24"/>
          <w:szCs w:val="24"/>
        </w:rPr>
        <w:t xml:space="preserve">Child Trends. (2019). Teen Homicide, Suicide and Firearm Deaths. Retrieved from </w:t>
      </w:r>
      <w:hyperlink r:id="rId9" w:history="1">
        <w:r w:rsidRPr="000052EA">
          <w:rPr>
            <w:rStyle w:val="Hyperlink"/>
            <w:rFonts w:ascii="Times New Roman" w:hAnsi="Times New Roman"/>
            <w:sz w:val="24"/>
            <w:szCs w:val="24"/>
          </w:rPr>
          <w:t>https://www.childtrends.org/indicators/teen-homicide-suicide-and-firearm-deaths</w:t>
        </w:r>
      </w:hyperlink>
      <w:r w:rsidRPr="0041525A">
        <w:rPr>
          <w:rFonts w:ascii="Times New Roman" w:hAnsi="Times New Roman"/>
          <w:sz w:val="24"/>
          <w:szCs w:val="24"/>
        </w:rPr>
        <w:t>.</w:t>
      </w:r>
      <w:r>
        <w:rPr>
          <w:rFonts w:ascii="Times New Roman" w:hAnsi="Times New Roman"/>
          <w:sz w:val="24"/>
          <w:szCs w:val="24"/>
        </w:rPr>
        <w:t xml:space="preserve"> </w:t>
      </w:r>
      <w:r w:rsidRPr="0041525A">
        <w:rPr>
          <w:rFonts w:ascii="Times New Roman" w:hAnsi="Times New Roman"/>
          <w:sz w:val="24"/>
          <w:szCs w:val="24"/>
        </w:rPr>
        <w:t>(accessed on March 18, 2020)</w:t>
      </w:r>
      <w:r w:rsidR="00362489">
        <w:rPr>
          <w:rFonts w:ascii="Times New Roman" w:hAnsi="Times New Roman"/>
          <w:sz w:val="24"/>
          <w:szCs w:val="24"/>
        </w:rPr>
        <w:t>.</w:t>
      </w:r>
    </w:p>
    <w:p w14:paraId="431B0524" w14:textId="0C1F9146" w:rsidR="000F2BDD" w:rsidRDefault="000F2BDD" w:rsidP="00602314">
      <w:pPr>
        <w:spacing w:after="0"/>
        <w:ind w:left="720" w:hanging="720"/>
        <w:rPr>
          <w:rFonts w:ascii="Times New Roman" w:hAnsi="Times New Roman"/>
          <w:sz w:val="24"/>
        </w:rPr>
      </w:pPr>
      <w:r w:rsidRPr="000F2BDD">
        <w:rPr>
          <w:rFonts w:ascii="Times New Roman" w:hAnsi="Times New Roman"/>
          <w:sz w:val="24"/>
        </w:rPr>
        <w:t>Christens, B</w:t>
      </w:r>
      <w:r>
        <w:rPr>
          <w:rFonts w:ascii="Times New Roman" w:hAnsi="Times New Roman"/>
          <w:sz w:val="24"/>
        </w:rPr>
        <w:t>.</w:t>
      </w:r>
      <w:r w:rsidRPr="000F2BDD">
        <w:rPr>
          <w:rFonts w:ascii="Times New Roman" w:hAnsi="Times New Roman"/>
          <w:sz w:val="24"/>
        </w:rPr>
        <w:t xml:space="preserve">D., &amp; Peterson, N.A. (2012). The </w:t>
      </w:r>
      <w:r>
        <w:rPr>
          <w:rFonts w:ascii="Times New Roman" w:hAnsi="Times New Roman"/>
          <w:sz w:val="24"/>
        </w:rPr>
        <w:t>r</w:t>
      </w:r>
      <w:r w:rsidRPr="000F2BDD">
        <w:rPr>
          <w:rFonts w:ascii="Times New Roman" w:hAnsi="Times New Roman"/>
          <w:sz w:val="24"/>
        </w:rPr>
        <w:t xml:space="preserve">ole of empowerment in youth development: </w:t>
      </w:r>
      <w:r>
        <w:rPr>
          <w:rFonts w:ascii="Times New Roman" w:hAnsi="Times New Roman"/>
          <w:sz w:val="24"/>
        </w:rPr>
        <w:t>A</w:t>
      </w:r>
      <w:r w:rsidRPr="000F2BDD">
        <w:rPr>
          <w:rFonts w:ascii="Times New Roman" w:hAnsi="Times New Roman"/>
          <w:sz w:val="24"/>
        </w:rPr>
        <w:t xml:space="preserve"> study of sociopolitical control as mediator of ecological systems' influence on developmental outcomes. </w:t>
      </w:r>
      <w:r w:rsidRPr="000F2BDD">
        <w:rPr>
          <w:rFonts w:ascii="Times New Roman" w:hAnsi="Times New Roman"/>
          <w:i/>
          <w:iCs/>
          <w:sz w:val="24"/>
        </w:rPr>
        <w:t>Journal of Youth and Adolescence, 41</w:t>
      </w:r>
      <w:r w:rsidRPr="000F2BDD">
        <w:rPr>
          <w:rFonts w:ascii="Times New Roman" w:hAnsi="Times New Roman"/>
          <w:sz w:val="24"/>
        </w:rPr>
        <w:t>, 623-635.</w:t>
      </w:r>
    </w:p>
    <w:p w14:paraId="58A6EC5E" w14:textId="40CE5CC2" w:rsidR="00521F9F" w:rsidRPr="00F15F9A" w:rsidRDefault="00521F9F" w:rsidP="00602314">
      <w:pPr>
        <w:spacing w:after="0"/>
        <w:ind w:left="720" w:hanging="720"/>
        <w:rPr>
          <w:rFonts w:ascii="Times New Roman" w:hAnsi="Times New Roman"/>
          <w:sz w:val="24"/>
        </w:rPr>
      </w:pPr>
      <w:proofErr w:type="spellStart"/>
      <w:r w:rsidRPr="00F15F9A">
        <w:rPr>
          <w:rFonts w:ascii="Times New Roman" w:hAnsi="Times New Roman"/>
          <w:sz w:val="24"/>
        </w:rPr>
        <w:t>Chutuape</w:t>
      </w:r>
      <w:proofErr w:type="spellEnd"/>
      <w:r w:rsidRPr="00F15F9A">
        <w:rPr>
          <w:rFonts w:ascii="Times New Roman" w:hAnsi="Times New Roman"/>
          <w:sz w:val="24"/>
        </w:rPr>
        <w:t xml:space="preserve">, K.S., Willard, N., Sanchez, K., Straub, D.M., Ochoa, T.N., Howell, K., et al. (2010). Mobilizing communities around HIV prevention for youth: How three coalitions applied </w:t>
      </w:r>
      <w:r w:rsidRPr="00F15F9A">
        <w:rPr>
          <w:rFonts w:ascii="Times New Roman" w:hAnsi="Times New Roman"/>
          <w:sz w:val="24"/>
        </w:rPr>
        <w:lastRenderedPageBreak/>
        <w:t xml:space="preserve">key strategies to bring about structural changes. </w:t>
      </w:r>
      <w:r w:rsidRPr="00F15F9A">
        <w:rPr>
          <w:rFonts w:ascii="Times New Roman" w:hAnsi="Times New Roman"/>
          <w:i/>
          <w:iCs/>
          <w:sz w:val="24"/>
        </w:rPr>
        <w:t xml:space="preserve">AIDS Education </w:t>
      </w:r>
      <w:r w:rsidR="00DB6575">
        <w:rPr>
          <w:rFonts w:ascii="Times New Roman" w:hAnsi="Times New Roman"/>
          <w:i/>
          <w:iCs/>
          <w:sz w:val="24"/>
        </w:rPr>
        <w:t>&amp;</w:t>
      </w:r>
      <w:r w:rsidRPr="00F15F9A">
        <w:rPr>
          <w:rFonts w:ascii="Times New Roman" w:hAnsi="Times New Roman"/>
          <w:i/>
          <w:iCs/>
          <w:sz w:val="24"/>
        </w:rPr>
        <w:t xml:space="preserve"> Prevention, 22</w:t>
      </w:r>
      <w:r w:rsidRPr="00F15F9A">
        <w:rPr>
          <w:rFonts w:ascii="Times New Roman" w:hAnsi="Times New Roman"/>
          <w:sz w:val="24"/>
        </w:rPr>
        <w:t>, 15-27.</w:t>
      </w:r>
    </w:p>
    <w:p w14:paraId="041B334E" w14:textId="7ACAEE60" w:rsidR="00521F9F" w:rsidRPr="008D2BC0" w:rsidRDefault="00521F9F" w:rsidP="00602314">
      <w:pPr>
        <w:autoSpaceDE w:val="0"/>
        <w:autoSpaceDN w:val="0"/>
        <w:adjustRightInd w:val="0"/>
        <w:spacing w:after="0"/>
        <w:ind w:left="720" w:hanging="720"/>
        <w:contextualSpacing/>
        <w:rPr>
          <w:rFonts w:ascii="Times New Roman" w:hAnsi="Times New Roman"/>
          <w:sz w:val="24"/>
          <w:szCs w:val="24"/>
        </w:rPr>
      </w:pPr>
      <w:r w:rsidRPr="008D2BC0">
        <w:rPr>
          <w:rFonts w:ascii="Times New Roman" w:hAnsi="Times New Roman"/>
          <w:sz w:val="24"/>
          <w:szCs w:val="24"/>
        </w:rPr>
        <w:t xml:space="preserve">Evans, S.D., </w:t>
      </w:r>
      <w:proofErr w:type="spellStart"/>
      <w:r w:rsidRPr="008D2BC0">
        <w:rPr>
          <w:rFonts w:ascii="Times New Roman" w:hAnsi="Times New Roman"/>
          <w:sz w:val="24"/>
          <w:szCs w:val="24"/>
        </w:rPr>
        <w:t>Prilleltensky</w:t>
      </w:r>
      <w:proofErr w:type="spellEnd"/>
      <w:r w:rsidRPr="008D2BC0">
        <w:rPr>
          <w:rFonts w:ascii="Times New Roman" w:hAnsi="Times New Roman"/>
          <w:sz w:val="24"/>
          <w:szCs w:val="24"/>
        </w:rPr>
        <w:t xml:space="preserve">, O., McKenzie, A., </w:t>
      </w:r>
      <w:proofErr w:type="spellStart"/>
      <w:r w:rsidRPr="008D2BC0">
        <w:rPr>
          <w:rFonts w:ascii="Times New Roman" w:hAnsi="Times New Roman"/>
          <w:sz w:val="24"/>
          <w:szCs w:val="24"/>
        </w:rPr>
        <w:t>Prilleltensky</w:t>
      </w:r>
      <w:proofErr w:type="spellEnd"/>
      <w:r w:rsidRPr="008D2BC0">
        <w:rPr>
          <w:rFonts w:ascii="Times New Roman" w:hAnsi="Times New Roman"/>
          <w:sz w:val="24"/>
          <w:szCs w:val="24"/>
        </w:rPr>
        <w:t xml:space="preserve">, I., </w:t>
      </w:r>
      <w:proofErr w:type="spellStart"/>
      <w:r w:rsidRPr="008D2BC0">
        <w:rPr>
          <w:rFonts w:ascii="Times New Roman" w:hAnsi="Times New Roman"/>
          <w:sz w:val="24"/>
          <w:szCs w:val="24"/>
        </w:rPr>
        <w:t>Nogueras</w:t>
      </w:r>
      <w:proofErr w:type="spellEnd"/>
      <w:r w:rsidRPr="008D2BC0">
        <w:rPr>
          <w:rFonts w:ascii="Times New Roman" w:hAnsi="Times New Roman"/>
          <w:sz w:val="24"/>
          <w:szCs w:val="24"/>
        </w:rPr>
        <w:t>, D., Huggins, C.</w:t>
      </w:r>
      <w:r w:rsidR="001B2FB8">
        <w:rPr>
          <w:rFonts w:ascii="Times New Roman" w:hAnsi="Times New Roman"/>
          <w:sz w:val="24"/>
          <w:szCs w:val="24"/>
        </w:rPr>
        <w:t>,</w:t>
      </w:r>
      <w:r w:rsidR="005D3977">
        <w:rPr>
          <w:rFonts w:ascii="Times New Roman" w:hAnsi="Times New Roman"/>
          <w:sz w:val="24"/>
          <w:szCs w:val="24"/>
        </w:rPr>
        <w:t xml:space="preserve"> </w:t>
      </w:r>
      <w:r w:rsidR="001B2FB8" w:rsidRPr="001B2FB8">
        <w:rPr>
          <w:rFonts w:ascii="Times New Roman" w:hAnsi="Times New Roman"/>
          <w:sz w:val="24"/>
          <w:szCs w:val="24"/>
        </w:rPr>
        <w:t xml:space="preserve">&amp; </w:t>
      </w:r>
      <w:proofErr w:type="spellStart"/>
      <w:r w:rsidR="001B2FB8" w:rsidRPr="001B2FB8">
        <w:rPr>
          <w:rFonts w:ascii="Times New Roman" w:hAnsi="Times New Roman"/>
          <w:sz w:val="24"/>
          <w:szCs w:val="24"/>
        </w:rPr>
        <w:t>Mescia</w:t>
      </w:r>
      <w:proofErr w:type="spellEnd"/>
      <w:r w:rsidR="001B2FB8" w:rsidRPr="001B2FB8">
        <w:rPr>
          <w:rFonts w:ascii="Times New Roman" w:hAnsi="Times New Roman"/>
          <w:sz w:val="24"/>
          <w:szCs w:val="24"/>
        </w:rPr>
        <w:t>, N</w:t>
      </w:r>
      <w:r w:rsidR="001B2FB8">
        <w:rPr>
          <w:rFonts w:ascii="Times New Roman" w:hAnsi="Times New Roman"/>
          <w:sz w:val="24"/>
          <w:szCs w:val="24"/>
        </w:rPr>
        <w:t>.</w:t>
      </w:r>
      <w:r w:rsidR="001B2FB8" w:rsidRPr="001B2FB8">
        <w:rPr>
          <w:rFonts w:ascii="Times New Roman" w:hAnsi="Times New Roman"/>
          <w:sz w:val="24"/>
          <w:szCs w:val="24"/>
        </w:rPr>
        <w:t xml:space="preserve"> </w:t>
      </w:r>
      <w:r>
        <w:rPr>
          <w:rFonts w:ascii="Times New Roman" w:hAnsi="Times New Roman"/>
          <w:sz w:val="24"/>
          <w:szCs w:val="24"/>
        </w:rPr>
        <w:t>(201</w:t>
      </w:r>
      <w:r w:rsidR="00B13AD1">
        <w:rPr>
          <w:rFonts w:ascii="Times New Roman" w:hAnsi="Times New Roman"/>
          <w:sz w:val="24"/>
          <w:szCs w:val="24"/>
        </w:rPr>
        <w:t>1</w:t>
      </w:r>
      <w:r w:rsidRPr="008D2BC0">
        <w:rPr>
          <w:rFonts w:ascii="Times New Roman" w:hAnsi="Times New Roman"/>
          <w:sz w:val="24"/>
          <w:szCs w:val="24"/>
        </w:rPr>
        <w:t>). Promoting strengths, prevention, empowerment, and community change through organizational development: Lessons for research, theory, and practice.</w:t>
      </w:r>
      <w:r>
        <w:rPr>
          <w:rFonts w:ascii="Times New Roman" w:hAnsi="Times New Roman"/>
          <w:sz w:val="24"/>
          <w:szCs w:val="24"/>
        </w:rPr>
        <w:t xml:space="preserve"> </w:t>
      </w:r>
      <w:r w:rsidRPr="009761C0">
        <w:rPr>
          <w:rFonts w:ascii="Times New Roman" w:hAnsi="Times New Roman"/>
          <w:i/>
          <w:sz w:val="24"/>
          <w:szCs w:val="24"/>
        </w:rPr>
        <w:t>Journal of Prevention &amp; Intervention in the Community, 39</w:t>
      </w:r>
      <w:r w:rsidRPr="008D2BC0">
        <w:rPr>
          <w:rFonts w:ascii="Times New Roman" w:hAnsi="Times New Roman"/>
          <w:sz w:val="24"/>
          <w:szCs w:val="24"/>
        </w:rPr>
        <w:t>, 50-64.</w:t>
      </w:r>
    </w:p>
    <w:p w14:paraId="647B9D9C" w14:textId="58B5D1DB" w:rsidR="00330CC4" w:rsidRPr="00330CC4" w:rsidRDefault="00330CC4" w:rsidP="00330CC4">
      <w:pPr>
        <w:spacing w:after="0"/>
        <w:ind w:left="720" w:hanging="720"/>
        <w:contextualSpacing/>
        <w:rPr>
          <w:rFonts w:ascii="Times New Roman" w:hAnsi="Times New Roman"/>
          <w:sz w:val="24"/>
          <w:szCs w:val="24"/>
        </w:rPr>
      </w:pPr>
      <w:r w:rsidRPr="00330CC4">
        <w:rPr>
          <w:rFonts w:ascii="Times New Roman" w:hAnsi="Times New Roman"/>
          <w:sz w:val="24"/>
          <w:szCs w:val="24"/>
        </w:rPr>
        <w:t xml:space="preserve">Farrington, D.P., Gaffney, H., </w:t>
      </w:r>
      <w:proofErr w:type="spellStart"/>
      <w:r w:rsidRPr="00330CC4">
        <w:rPr>
          <w:rFonts w:ascii="Times New Roman" w:hAnsi="Times New Roman"/>
          <w:sz w:val="24"/>
          <w:szCs w:val="24"/>
        </w:rPr>
        <w:t>Lösel</w:t>
      </w:r>
      <w:proofErr w:type="spellEnd"/>
      <w:r w:rsidRPr="00330CC4">
        <w:rPr>
          <w:rFonts w:ascii="Times New Roman" w:hAnsi="Times New Roman"/>
          <w:sz w:val="24"/>
          <w:szCs w:val="24"/>
        </w:rPr>
        <w:t xml:space="preserve">, F., &amp; </w:t>
      </w:r>
      <w:proofErr w:type="spellStart"/>
      <w:r w:rsidRPr="00330CC4">
        <w:rPr>
          <w:rFonts w:ascii="Times New Roman" w:hAnsi="Times New Roman"/>
          <w:sz w:val="24"/>
          <w:szCs w:val="24"/>
        </w:rPr>
        <w:t>Ttofi</w:t>
      </w:r>
      <w:proofErr w:type="spellEnd"/>
      <w:r w:rsidRPr="00330CC4">
        <w:rPr>
          <w:rFonts w:ascii="Times New Roman" w:hAnsi="Times New Roman"/>
          <w:sz w:val="24"/>
          <w:szCs w:val="24"/>
        </w:rPr>
        <w:t xml:space="preserve">, M.M. (2017). Systematic reviews of the effectiveness of developmental prevention programs in reducing delinquency, aggression, and bullying. </w:t>
      </w:r>
      <w:r w:rsidRPr="00330CC4">
        <w:rPr>
          <w:rFonts w:ascii="Times New Roman" w:hAnsi="Times New Roman"/>
          <w:i/>
          <w:sz w:val="24"/>
          <w:szCs w:val="24"/>
        </w:rPr>
        <w:t>Aggression and Violent Behavior, 33</w:t>
      </w:r>
      <w:r w:rsidRPr="00330CC4">
        <w:rPr>
          <w:rFonts w:ascii="Times New Roman" w:hAnsi="Times New Roman"/>
          <w:sz w:val="24"/>
          <w:szCs w:val="24"/>
        </w:rPr>
        <w:t xml:space="preserve">, 91–106. </w:t>
      </w:r>
    </w:p>
    <w:p w14:paraId="0D59800B" w14:textId="0F34E3FC" w:rsidR="00521F9F" w:rsidRPr="009D4235" w:rsidRDefault="00521F9F" w:rsidP="00602314">
      <w:pPr>
        <w:spacing w:after="0"/>
        <w:ind w:left="720" w:hanging="720"/>
        <w:contextualSpacing/>
        <w:rPr>
          <w:rFonts w:ascii="Times New Roman" w:hAnsi="Times New Roman"/>
          <w:sz w:val="24"/>
          <w:szCs w:val="24"/>
        </w:rPr>
      </w:pPr>
      <w:r w:rsidRPr="009D4235">
        <w:rPr>
          <w:rFonts w:ascii="Times New Roman" w:hAnsi="Times New Roman"/>
          <w:sz w:val="24"/>
          <w:szCs w:val="24"/>
        </w:rPr>
        <w:t xml:space="preserve">Griffith, D.M., Allen, J.O., Zimmerman, M.A., Morrel-Samuels, S.M., </w:t>
      </w:r>
      <w:proofErr w:type="spellStart"/>
      <w:r w:rsidRPr="009D4235">
        <w:rPr>
          <w:rFonts w:ascii="Times New Roman" w:hAnsi="Times New Roman"/>
          <w:sz w:val="24"/>
          <w:szCs w:val="24"/>
        </w:rPr>
        <w:t>Reischl</w:t>
      </w:r>
      <w:proofErr w:type="spellEnd"/>
      <w:r w:rsidRPr="009D4235">
        <w:rPr>
          <w:rFonts w:ascii="Times New Roman" w:hAnsi="Times New Roman"/>
          <w:sz w:val="24"/>
          <w:szCs w:val="24"/>
        </w:rPr>
        <w:t>, T.M., Cohen, S.E.,</w:t>
      </w:r>
      <w:r w:rsidR="00175698">
        <w:rPr>
          <w:rFonts w:ascii="Times New Roman" w:hAnsi="Times New Roman"/>
          <w:sz w:val="24"/>
          <w:szCs w:val="24"/>
        </w:rPr>
        <w:t xml:space="preserve"> et al.</w:t>
      </w:r>
      <w:r w:rsidRPr="009D4235">
        <w:rPr>
          <w:rFonts w:ascii="Times New Roman" w:hAnsi="Times New Roman"/>
          <w:sz w:val="24"/>
          <w:szCs w:val="24"/>
        </w:rPr>
        <w:t xml:space="preserve"> (2008).</w:t>
      </w:r>
      <w:r>
        <w:rPr>
          <w:rFonts w:ascii="Times New Roman" w:hAnsi="Times New Roman"/>
          <w:sz w:val="24"/>
          <w:szCs w:val="24"/>
        </w:rPr>
        <w:t xml:space="preserve"> </w:t>
      </w:r>
      <w:r w:rsidRPr="009D4235">
        <w:rPr>
          <w:rFonts w:ascii="Times New Roman" w:hAnsi="Times New Roman"/>
          <w:sz w:val="24"/>
          <w:szCs w:val="24"/>
        </w:rPr>
        <w:t>Organizational empowerment in community mobilization to address youth violence.</w:t>
      </w:r>
      <w:r>
        <w:rPr>
          <w:rFonts w:ascii="Times New Roman" w:hAnsi="Times New Roman"/>
          <w:sz w:val="24"/>
          <w:szCs w:val="24"/>
        </w:rPr>
        <w:t xml:space="preserve"> </w:t>
      </w:r>
      <w:r w:rsidRPr="009D4235">
        <w:rPr>
          <w:rFonts w:ascii="Times New Roman" w:hAnsi="Times New Roman"/>
          <w:i/>
          <w:sz w:val="24"/>
          <w:szCs w:val="24"/>
        </w:rPr>
        <w:t xml:space="preserve">American Journal of Preventive Medicine, 34, </w:t>
      </w:r>
      <w:r w:rsidRPr="009D4235">
        <w:rPr>
          <w:rFonts w:ascii="Times New Roman" w:hAnsi="Times New Roman"/>
          <w:sz w:val="24"/>
          <w:szCs w:val="24"/>
        </w:rPr>
        <w:t>89-99.</w:t>
      </w:r>
    </w:p>
    <w:p w14:paraId="20EEB602" w14:textId="11F391F4" w:rsidR="00521F9F" w:rsidRPr="009D4235" w:rsidRDefault="00521F9F" w:rsidP="00602314">
      <w:pPr>
        <w:spacing w:after="0"/>
        <w:ind w:left="720" w:hanging="720"/>
        <w:contextualSpacing/>
        <w:rPr>
          <w:rFonts w:ascii="Times New Roman" w:hAnsi="Times New Roman"/>
          <w:sz w:val="24"/>
          <w:szCs w:val="24"/>
        </w:rPr>
      </w:pPr>
      <w:r w:rsidRPr="00C04EA7">
        <w:rPr>
          <w:rFonts w:ascii="Times New Roman" w:hAnsi="Times New Roman"/>
          <w:sz w:val="24"/>
          <w:szCs w:val="24"/>
          <w:lang w:val="fr-FR"/>
        </w:rPr>
        <w:t xml:space="preserve">Hays, C.E., Hays, S.P., </w:t>
      </w:r>
      <w:proofErr w:type="spellStart"/>
      <w:r w:rsidRPr="00C04EA7">
        <w:rPr>
          <w:rFonts w:ascii="Times New Roman" w:hAnsi="Times New Roman"/>
          <w:sz w:val="24"/>
          <w:szCs w:val="24"/>
          <w:lang w:val="fr-FR"/>
        </w:rPr>
        <w:t>DeVille</w:t>
      </w:r>
      <w:proofErr w:type="spellEnd"/>
      <w:r w:rsidRPr="00C04EA7">
        <w:rPr>
          <w:rFonts w:ascii="Times New Roman" w:hAnsi="Times New Roman"/>
          <w:sz w:val="24"/>
          <w:szCs w:val="24"/>
          <w:lang w:val="fr-FR"/>
        </w:rPr>
        <w:t>, J.O., &amp;</w:t>
      </w:r>
      <w:r>
        <w:rPr>
          <w:rFonts w:ascii="Times New Roman" w:hAnsi="Times New Roman"/>
          <w:sz w:val="24"/>
          <w:szCs w:val="24"/>
          <w:lang w:val="fr-FR"/>
        </w:rPr>
        <w:t xml:space="preserve"> </w:t>
      </w:r>
      <w:proofErr w:type="spellStart"/>
      <w:r w:rsidRPr="00C04EA7">
        <w:rPr>
          <w:rFonts w:ascii="Times New Roman" w:hAnsi="Times New Roman"/>
          <w:sz w:val="24"/>
          <w:szCs w:val="24"/>
          <w:lang w:val="fr-FR"/>
        </w:rPr>
        <w:t>Mulhall</w:t>
      </w:r>
      <w:proofErr w:type="spellEnd"/>
      <w:r w:rsidRPr="00C04EA7">
        <w:rPr>
          <w:rFonts w:ascii="Times New Roman" w:hAnsi="Times New Roman"/>
          <w:sz w:val="24"/>
          <w:szCs w:val="24"/>
          <w:lang w:val="fr-FR"/>
        </w:rPr>
        <w:t xml:space="preserve">, P.F. (2000). </w:t>
      </w:r>
      <w:r w:rsidRPr="009D4235">
        <w:rPr>
          <w:rFonts w:ascii="Times New Roman" w:hAnsi="Times New Roman"/>
          <w:sz w:val="24"/>
          <w:szCs w:val="24"/>
        </w:rPr>
        <w:t xml:space="preserve">Capacity for effectiveness: The relationship between coalition structure and community impact. </w:t>
      </w:r>
      <w:r w:rsidRPr="009D4235">
        <w:rPr>
          <w:rFonts w:ascii="Times New Roman" w:hAnsi="Times New Roman"/>
          <w:i/>
          <w:sz w:val="24"/>
          <w:szCs w:val="24"/>
        </w:rPr>
        <w:t xml:space="preserve">Evaluation and Program Planning, 23, </w:t>
      </w:r>
      <w:r w:rsidRPr="009D4235">
        <w:rPr>
          <w:rFonts w:ascii="Times New Roman" w:hAnsi="Times New Roman"/>
          <w:sz w:val="24"/>
          <w:szCs w:val="24"/>
        </w:rPr>
        <w:t>373-379.</w:t>
      </w:r>
    </w:p>
    <w:p w14:paraId="4D36E0FB" w14:textId="09E536B2" w:rsidR="009A0763" w:rsidRDefault="009A0763" w:rsidP="00602314">
      <w:pPr>
        <w:spacing w:after="0"/>
        <w:ind w:left="720" w:hanging="720"/>
        <w:contextualSpacing/>
        <w:rPr>
          <w:rFonts w:ascii="Times New Roman" w:hAnsi="Times New Roman"/>
          <w:sz w:val="24"/>
          <w:szCs w:val="24"/>
        </w:rPr>
      </w:pPr>
      <w:bookmarkStart w:id="1" w:name="_Hlk38791698"/>
      <w:r w:rsidRPr="009A0763">
        <w:rPr>
          <w:rFonts w:ascii="Times New Roman" w:hAnsi="Times New Roman"/>
          <w:sz w:val="24"/>
          <w:szCs w:val="24"/>
        </w:rPr>
        <w:t>Heinze</w:t>
      </w:r>
      <w:bookmarkEnd w:id="1"/>
      <w:r w:rsidRPr="009A0763">
        <w:rPr>
          <w:rFonts w:ascii="Times New Roman" w:hAnsi="Times New Roman"/>
          <w:sz w:val="24"/>
          <w:szCs w:val="24"/>
        </w:rPr>
        <w:t xml:space="preserve">, J.E., </w:t>
      </w:r>
      <w:proofErr w:type="spellStart"/>
      <w:r w:rsidRPr="009A0763">
        <w:rPr>
          <w:rFonts w:ascii="Times New Roman" w:hAnsi="Times New Roman"/>
          <w:sz w:val="24"/>
          <w:szCs w:val="24"/>
        </w:rPr>
        <w:t>Reischl</w:t>
      </w:r>
      <w:proofErr w:type="spellEnd"/>
      <w:r w:rsidRPr="009A0763">
        <w:rPr>
          <w:rFonts w:ascii="Times New Roman" w:hAnsi="Times New Roman"/>
          <w:sz w:val="24"/>
          <w:szCs w:val="24"/>
        </w:rPr>
        <w:t xml:space="preserve">, T.M., Bai, M., Roche, J.S., Morrel-Samuels, S., Cunningham, R.M., &amp; Zimmerman, M.A. (2016). A </w:t>
      </w:r>
      <w:r w:rsidR="0019454A" w:rsidRPr="009A0763">
        <w:rPr>
          <w:rFonts w:ascii="Times New Roman" w:hAnsi="Times New Roman"/>
          <w:sz w:val="24"/>
          <w:szCs w:val="24"/>
        </w:rPr>
        <w:t>comprehensive prevention approach to reducing assault offenses and assault injuries among youth</w:t>
      </w:r>
      <w:r w:rsidRPr="009A0763">
        <w:rPr>
          <w:rFonts w:ascii="Times New Roman" w:hAnsi="Times New Roman"/>
          <w:sz w:val="24"/>
          <w:szCs w:val="24"/>
        </w:rPr>
        <w:t xml:space="preserve">. </w:t>
      </w:r>
      <w:r w:rsidRPr="009A0763">
        <w:rPr>
          <w:rFonts w:ascii="Times New Roman" w:hAnsi="Times New Roman"/>
          <w:i/>
          <w:iCs/>
          <w:sz w:val="24"/>
          <w:szCs w:val="24"/>
        </w:rPr>
        <w:t>Prevention Science</w:t>
      </w:r>
      <w:r w:rsidRPr="009A0763">
        <w:rPr>
          <w:rFonts w:ascii="Times New Roman" w:hAnsi="Times New Roman"/>
          <w:sz w:val="24"/>
          <w:szCs w:val="24"/>
        </w:rPr>
        <w:t xml:space="preserve">, </w:t>
      </w:r>
      <w:r w:rsidRPr="009A0763">
        <w:rPr>
          <w:rFonts w:ascii="Times New Roman" w:hAnsi="Times New Roman"/>
          <w:i/>
          <w:iCs/>
          <w:sz w:val="24"/>
          <w:szCs w:val="24"/>
        </w:rPr>
        <w:t>17</w:t>
      </w:r>
      <w:r w:rsidRPr="009A0763">
        <w:rPr>
          <w:rFonts w:ascii="Times New Roman" w:hAnsi="Times New Roman"/>
          <w:sz w:val="24"/>
          <w:szCs w:val="24"/>
        </w:rPr>
        <w:t xml:space="preserve">, 167–176. </w:t>
      </w:r>
    </w:p>
    <w:p w14:paraId="0E4C0945" w14:textId="3981A9BE" w:rsidR="008249CC" w:rsidRDefault="008249CC" w:rsidP="00602314">
      <w:pPr>
        <w:spacing w:after="0"/>
        <w:ind w:left="720" w:hanging="720"/>
        <w:contextualSpacing/>
        <w:rPr>
          <w:rFonts w:ascii="Times New Roman" w:hAnsi="Times New Roman"/>
          <w:sz w:val="24"/>
          <w:szCs w:val="24"/>
        </w:rPr>
      </w:pPr>
      <w:r w:rsidRPr="008249CC">
        <w:rPr>
          <w:rFonts w:ascii="Times New Roman" w:hAnsi="Times New Roman"/>
          <w:sz w:val="24"/>
          <w:szCs w:val="24"/>
        </w:rPr>
        <w:t>Hernández-</w:t>
      </w:r>
      <w:r w:rsidR="0075546B">
        <w:rPr>
          <w:rFonts w:ascii="Times New Roman" w:hAnsi="Times New Roman"/>
          <w:sz w:val="24"/>
          <w:szCs w:val="24"/>
        </w:rPr>
        <w:t>C</w:t>
      </w:r>
      <w:r w:rsidRPr="008249CC">
        <w:rPr>
          <w:rFonts w:ascii="Times New Roman" w:hAnsi="Times New Roman"/>
          <w:sz w:val="24"/>
          <w:szCs w:val="24"/>
        </w:rPr>
        <w:t>ordero, L</w:t>
      </w:r>
      <w:r>
        <w:rPr>
          <w:rFonts w:ascii="Times New Roman" w:hAnsi="Times New Roman"/>
          <w:sz w:val="24"/>
          <w:szCs w:val="24"/>
        </w:rPr>
        <w:t>.</w:t>
      </w:r>
      <w:r w:rsidRPr="008249CC">
        <w:rPr>
          <w:rFonts w:ascii="Times New Roman" w:hAnsi="Times New Roman"/>
          <w:sz w:val="24"/>
          <w:szCs w:val="24"/>
        </w:rPr>
        <w:t>J., Ortiz, A</w:t>
      </w:r>
      <w:r>
        <w:rPr>
          <w:rFonts w:ascii="Times New Roman" w:hAnsi="Times New Roman"/>
          <w:sz w:val="24"/>
          <w:szCs w:val="24"/>
        </w:rPr>
        <w:t>.</w:t>
      </w:r>
      <w:r w:rsidRPr="008249CC">
        <w:rPr>
          <w:rFonts w:ascii="Times New Roman" w:hAnsi="Times New Roman"/>
          <w:sz w:val="24"/>
          <w:szCs w:val="24"/>
        </w:rPr>
        <w:t>, Trinidad, T</w:t>
      </w:r>
      <w:r>
        <w:rPr>
          <w:rFonts w:ascii="Times New Roman" w:hAnsi="Times New Roman"/>
          <w:sz w:val="24"/>
          <w:szCs w:val="24"/>
        </w:rPr>
        <w:t>.</w:t>
      </w:r>
      <w:r w:rsidRPr="008249CC">
        <w:rPr>
          <w:rFonts w:ascii="Times New Roman" w:hAnsi="Times New Roman"/>
          <w:sz w:val="24"/>
          <w:szCs w:val="24"/>
        </w:rPr>
        <w:t xml:space="preserve">, &amp; Link, B. (2011). Fresh Start: A </w:t>
      </w:r>
      <w:r>
        <w:rPr>
          <w:rFonts w:ascii="Times New Roman" w:hAnsi="Times New Roman"/>
          <w:sz w:val="24"/>
          <w:szCs w:val="24"/>
        </w:rPr>
        <w:t>m</w:t>
      </w:r>
      <w:r w:rsidRPr="008249CC">
        <w:rPr>
          <w:rFonts w:ascii="Times New Roman" w:hAnsi="Times New Roman"/>
          <w:sz w:val="24"/>
          <w:szCs w:val="24"/>
        </w:rPr>
        <w:t xml:space="preserve">ultilevel </w:t>
      </w:r>
      <w:r>
        <w:rPr>
          <w:rFonts w:ascii="Times New Roman" w:hAnsi="Times New Roman"/>
          <w:sz w:val="24"/>
          <w:szCs w:val="24"/>
        </w:rPr>
        <w:t>c</w:t>
      </w:r>
      <w:r w:rsidRPr="008249CC">
        <w:rPr>
          <w:rFonts w:ascii="Times New Roman" w:hAnsi="Times New Roman"/>
          <w:sz w:val="24"/>
          <w:szCs w:val="24"/>
        </w:rPr>
        <w:t xml:space="preserve">ommunity </w:t>
      </w:r>
      <w:r>
        <w:rPr>
          <w:rFonts w:ascii="Times New Roman" w:hAnsi="Times New Roman"/>
          <w:sz w:val="24"/>
          <w:szCs w:val="24"/>
        </w:rPr>
        <w:t>m</w:t>
      </w:r>
      <w:r w:rsidRPr="008249CC">
        <w:rPr>
          <w:rFonts w:ascii="Times New Roman" w:hAnsi="Times New Roman"/>
          <w:sz w:val="24"/>
          <w:szCs w:val="24"/>
        </w:rPr>
        <w:t xml:space="preserve">obilization </w:t>
      </w:r>
      <w:r>
        <w:rPr>
          <w:rFonts w:ascii="Times New Roman" w:hAnsi="Times New Roman"/>
          <w:sz w:val="24"/>
          <w:szCs w:val="24"/>
        </w:rPr>
        <w:t>p</w:t>
      </w:r>
      <w:r w:rsidRPr="008249CC">
        <w:rPr>
          <w:rFonts w:ascii="Times New Roman" w:hAnsi="Times New Roman"/>
          <w:sz w:val="24"/>
          <w:szCs w:val="24"/>
        </w:rPr>
        <w:t xml:space="preserve">lan to </w:t>
      </w:r>
      <w:r>
        <w:rPr>
          <w:rFonts w:ascii="Times New Roman" w:hAnsi="Times New Roman"/>
          <w:sz w:val="24"/>
          <w:szCs w:val="24"/>
        </w:rPr>
        <w:t>p</w:t>
      </w:r>
      <w:r w:rsidRPr="008249CC">
        <w:rPr>
          <w:rFonts w:ascii="Times New Roman" w:hAnsi="Times New Roman"/>
          <w:sz w:val="24"/>
          <w:szCs w:val="24"/>
        </w:rPr>
        <w:t xml:space="preserve">romote </w:t>
      </w:r>
      <w:r>
        <w:rPr>
          <w:rFonts w:ascii="Times New Roman" w:hAnsi="Times New Roman"/>
          <w:sz w:val="24"/>
          <w:szCs w:val="24"/>
        </w:rPr>
        <w:t>y</w:t>
      </w:r>
      <w:r w:rsidRPr="008249CC">
        <w:rPr>
          <w:rFonts w:ascii="Times New Roman" w:hAnsi="Times New Roman"/>
          <w:sz w:val="24"/>
          <w:szCs w:val="24"/>
        </w:rPr>
        <w:t xml:space="preserve">outh </w:t>
      </w:r>
      <w:r>
        <w:rPr>
          <w:rFonts w:ascii="Times New Roman" w:hAnsi="Times New Roman"/>
          <w:sz w:val="24"/>
          <w:szCs w:val="24"/>
        </w:rPr>
        <w:t>d</w:t>
      </w:r>
      <w:r w:rsidRPr="008249CC">
        <w:rPr>
          <w:rFonts w:ascii="Times New Roman" w:hAnsi="Times New Roman"/>
          <w:sz w:val="24"/>
          <w:szCs w:val="24"/>
        </w:rPr>
        <w:t xml:space="preserve">evelopment and </w:t>
      </w:r>
      <w:r>
        <w:rPr>
          <w:rFonts w:ascii="Times New Roman" w:hAnsi="Times New Roman"/>
          <w:sz w:val="24"/>
          <w:szCs w:val="24"/>
        </w:rPr>
        <w:t>p</w:t>
      </w:r>
      <w:r w:rsidRPr="008249CC">
        <w:rPr>
          <w:rFonts w:ascii="Times New Roman" w:hAnsi="Times New Roman"/>
          <w:sz w:val="24"/>
          <w:szCs w:val="24"/>
        </w:rPr>
        <w:t xml:space="preserve">revent </w:t>
      </w:r>
      <w:r>
        <w:rPr>
          <w:rFonts w:ascii="Times New Roman" w:hAnsi="Times New Roman"/>
          <w:sz w:val="24"/>
          <w:szCs w:val="24"/>
        </w:rPr>
        <w:t>v</w:t>
      </w:r>
      <w:r w:rsidRPr="008249CC">
        <w:rPr>
          <w:rFonts w:ascii="Times New Roman" w:hAnsi="Times New Roman"/>
          <w:sz w:val="24"/>
          <w:szCs w:val="24"/>
        </w:rPr>
        <w:t xml:space="preserve">iolence. </w:t>
      </w:r>
      <w:r w:rsidRPr="008249CC">
        <w:rPr>
          <w:rFonts w:ascii="Times New Roman" w:hAnsi="Times New Roman"/>
          <w:i/>
          <w:iCs/>
          <w:sz w:val="24"/>
          <w:szCs w:val="24"/>
        </w:rPr>
        <w:t>American Journal of Community Psychology, 48</w:t>
      </w:r>
      <w:r w:rsidRPr="008249CC">
        <w:rPr>
          <w:rFonts w:ascii="Times New Roman" w:hAnsi="Times New Roman"/>
          <w:sz w:val="24"/>
          <w:szCs w:val="24"/>
        </w:rPr>
        <w:t>(1-2), 43-55.</w:t>
      </w:r>
    </w:p>
    <w:p w14:paraId="3262828C" w14:textId="49A736AE" w:rsidR="00AA3A70" w:rsidRPr="009D4235" w:rsidRDefault="00AA3A70" w:rsidP="00AA3A70">
      <w:pPr>
        <w:autoSpaceDE w:val="0"/>
        <w:autoSpaceDN w:val="0"/>
        <w:adjustRightInd w:val="0"/>
        <w:spacing w:after="0"/>
        <w:ind w:left="720" w:hanging="720"/>
        <w:contextualSpacing/>
        <w:rPr>
          <w:rFonts w:ascii="Times New Roman" w:hAnsi="Times New Roman"/>
          <w:sz w:val="24"/>
          <w:szCs w:val="24"/>
        </w:rPr>
      </w:pPr>
      <w:r w:rsidRPr="00AA3A70">
        <w:rPr>
          <w:rFonts w:ascii="Times New Roman" w:hAnsi="Times New Roman"/>
          <w:sz w:val="24"/>
          <w:szCs w:val="24"/>
        </w:rPr>
        <w:lastRenderedPageBreak/>
        <w:t>Johnson, K</w:t>
      </w:r>
      <w:r>
        <w:rPr>
          <w:rFonts w:ascii="Times New Roman" w:hAnsi="Times New Roman"/>
          <w:sz w:val="24"/>
          <w:szCs w:val="24"/>
        </w:rPr>
        <w:t>.</w:t>
      </w:r>
      <w:r w:rsidRPr="00AA3A70">
        <w:rPr>
          <w:rFonts w:ascii="Times New Roman" w:hAnsi="Times New Roman"/>
          <w:sz w:val="24"/>
          <w:szCs w:val="24"/>
        </w:rPr>
        <w:t>, Collins, D</w:t>
      </w:r>
      <w:r>
        <w:rPr>
          <w:rFonts w:ascii="Times New Roman" w:hAnsi="Times New Roman"/>
          <w:sz w:val="24"/>
          <w:szCs w:val="24"/>
        </w:rPr>
        <w:t>.</w:t>
      </w:r>
      <w:r w:rsidRPr="00AA3A70">
        <w:rPr>
          <w:rFonts w:ascii="Times New Roman" w:hAnsi="Times New Roman"/>
          <w:sz w:val="24"/>
          <w:szCs w:val="24"/>
        </w:rPr>
        <w:t xml:space="preserve">, </w:t>
      </w:r>
      <w:proofErr w:type="spellStart"/>
      <w:r w:rsidRPr="00AA3A70">
        <w:rPr>
          <w:rFonts w:ascii="Times New Roman" w:hAnsi="Times New Roman"/>
          <w:sz w:val="24"/>
          <w:szCs w:val="24"/>
        </w:rPr>
        <w:t>Shamblen</w:t>
      </w:r>
      <w:proofErr w:type="spellEnd"/>
      <w:r w:rsidRPr="00AA3A70">
        <w:rPr>
          <w:rFonts w:ascii="Times New Roman" w:hAnsi="Times New Roman"/>
          <w:sz w:val="24"/>
          <w:szCs w:val="24"/>
        </w:rPr>
        <w:t>, S</w:t>
      </w:r>
      <w:r>
        <w:rPr>
          <w:rFonts w:ascii="Times New Roman" w:hAnsi="Times New Roman"/>
          <w:sz w:val="24"/>
          <w:szCs w:val="24"/>
        </w:rPr>
        <w:t>.</w:t>
      </w:r>
      <w:r w:rsidRPr="00AA3A70">
        <w:rPr>
          <w:rFonts w:ascii="Times New Roman" w:hAnsi="Times New Roman"/>
          <w:sz w:val="24"/>
          <w:szCs w:val="24"/>
        </w:rPr>
        <w:t>, Kenworthy, T</w:t>
      </w:r>
      <w:r>
        <w:rPr>
          <w:rFonts w:ascii="Times New Roman" w:hAnsi="Times New Roman"/>
          <w:sz w:val="24"/>
          <w:szCs w:val="24"/>
        </w:rPr>
        <w:t>.</w:t>
      </w:r>
      <w:r w:rsidRPr="00AA3A70">
        <w:rPr>
          <w:rFonts w:ascii="Times New Roman" w:hAnsi="Times New Roman"/>
          <w:sz w:val="24"/>
          <w:szCs w:val="24"/>
        </w:rPr>
        <w:t xml:space="preserve">, &amp; </w:t>
      </w:r>
      <w:proofErr w:type="spellStart"/>
      <w:r w:rsidRPr="00AA3A70">
        <w:rPr>
          <w:rFonts w:ascii="Times New Roman" w:hAnsi="Times New Roman"/>
          <w:sz w:val="24"/>
          <w:szCs w:val="24"/>
        </w:rPr>
        <w:t>Wandersman</w:t>
      </w:r>
      <w:proofErr w:type="spellEnd"/>
      <w:r w:rsidRPr="00AA3A70">
        <w:rPr>
          <w:rFonts w:ascii="Times New Roman" w:hAnsi="Times New Roman"/>
          <w:sz w:val="24"/>
          <w:szCs w:val="24"/>
        </w:rPr>
        <w:t xml:space="preserve">, A. (2017). Long-term sustainability of evidence-based prevention interventions and community coalitions survival: A five and one-half year follow-up study. </w:t>
      </w:r>
      <w:r w:rsidRPr="00AA3A70">
        <w:rPr>
          <w:rFonts w:ascii="Times New Roman" w:hAnsi="Times New Roman"/>
          <w:i/>
          <w:iCs/>
          <w:sz w:val="24"/>
          <w:szCs w:val="24"/>
        </w:rPr>
        <w:t>Prevention Science, 18</w:t>
      </w:r>
      <w:r w:rsidRPr="00AA3A70">
        <w:rPr>
          <w:rFonts w:ascii="Times New Roman" w:hAnsi="Times New Roman"/>
          <w:sz w:val="24"/>
          <w:szCs w:val="24"/>
        </w:rPr>
        <w:t>, 610-621.</w:t>
      </w:r>
    </w:p>
    <w:p w14:paraId="32FDF526" w14:textId="68F2F79E" w:rsidR="002812F8" w:rsidRPr="009D4235" w:rsidRDefault="002812F8" w:rsidP="00602314">
      <w:pPr>
        <w:tabs>
          <w:tab w:val="left" w:pos="720"/>
        </w:tabs>
        <w:spacing w:after="0"/>
        <w:ind w:left="720" w:hanging="720"/>
        <w:contextualSpacing/>
        <w:rPr>
          <w:rFonts w:ascii="Times New Roman" w:hAnsi="Times New Roman"/>
          <w:sz w:val="24"/>
          <w:szCs w:val="24"/>
        </w:rPr>
      </w:pPr>
      <w:r w:rsidRPr="002812F8">
        <w:rPr>
          <w:rFonts w:ascii="Times New Roman" w:hAnsi="Times New Roman"/>
          <w:sz w:val="24"/>
          <w:szCs w:val="24"/>
        </w:rPr>
        <w:t>Kingston, B</w:t>
      </w:r>
      <w:r>
        <w:rPr>
          <w:rFonts w:ascii="Times New Roman" w:hAnsi="Times New Roman"/>
          <w:sz w:val="24"/>
          <w:szCs w:val="24"/>
        </w:rPr>
        <w:t>.</w:t>
      </w:r>
      <w:r w:rsidRPr="002812F8">
        <w:rPr>
          <w:rFonts w:ascii="Times New Roman" w:hAnsi="Times New Roman"/>
          <w:sz w:val="24"/>
          <w:szCs w:val="24"/>
        </w:rPr>
        <w:t xml:space="preserve">, </w:t>
      </w:r>
      <w:proofErr w:type="spellStart"/>
      <w:r w:rsidRPr="002812F8">
        <w:rPr>
          <w:rFonts w:ascii="Times New Roman" w:hAnsi="Times New Roman"/>
          <w:sz w:val="24"/>
          <w:szCs w:val="24"/>
        </w:rPr>
        <w:t>Bacallao</w:t>
      </w:r>
      <w:proofErr w:type="spellEnd"/>
      <w:r w:rsidRPr="002812F8">
        <w:rPr>
          <w:rFonts w:ascii="Times New Roman" w:hAnsi="Times New Roman"/>
          <w:sz w:val="24"/>
          <w:szCs w:val="24"/>
        </w:rPr>
        <w:t>, M</w:t>
      </w:r>
      <w:r>
        <w:rPr>
          <w:rFonts w:ascii="Times New Roman" w:hAnsi="Times New Roman"/>
          <w:sz w:val="24"/>
          <w:szCs w:val="24"/>
        </w:rPr>
        <w:t>.</w:t>
      </w:r>
      <w:r w:rsidRPr="002812F8">
        <w:rPr>
          <w:rFonts w:ascii="Times New Roman" w:hAnsi="Times New Roman"/>
          <w:sz w:val="24"/>
          <w:szCs w:val="24"/>
        </w:rPr>
        <w:t xml:space="preserve">, </w:t>
      </w:r>
      <w:proofErr w:type="spellStart"/>
      <w:r w:rsidRPr="002812F8">
        <w:rPr>
          <w:rFonts w:ascii="Times New Roman" w:hAnsi="Times New Roman"/>
          <w:sz w:val="24"/>
          <w:szCs w:val="24"/>
        </w:rPr>
        <w:t>Smokowski</w:t>
      </w:r>
      <w:proofErr w:type="spellEnd"/>
      <w:r w:rsidRPr="002812F8">
        <w:rPr>
          <w:rFonts w:ascii="Times New Roman" w:hAnsi="Times New Roman"/>
          <w:sz w:val="24"/>
          <w:szCs w:val="24"/>
        </w:rPr>
        <w:t>, P</w:t>
      </w:r>
      <w:r>
        <w:rPr>
          <w:rFonts w:ascii="Times New Roman" w:hAnsi="Times New Roman"/>
          <w:sz w:val="24"/>
          <w:szCs w:val="24"/>
        </w:rPr>
        <w:t>.</w:t>
      </w:r>
      <w:r w:rsidRPr="002812F8">
        <w:rPr>
          <w:rFonts w:ascii="Times New Roman" w:hAnsi="Times New Roman"/>
          <w:sz w:val="24"/>
          <w:szCs w:val="24"/>
        </w:rPr>
        <w:t>, Sullivan, T</w:t>
      </w:r>
      <w:r>
        <w:rPr>
          <w:rFonts w:ascii="Times New Roman" w:hAnsi="Times New Roman"/>
          <w:sz w:val="24"/>
          <w:szCs w:val="24"/>
        </w:rPr>
        <w:t>.</w:t>
      </w:r>
      <w:r w:rsidRPr="002812F8">
        <w:rPr>
          <w:rFonts w:ascii="Times New Roman" w:hAnsi="Times New Roman"/>
          <w:sz w:val="24"/>
          <w:szCs w:val="24"/>
        </w:rPr>
        <w:t xml:space="preserve">, &amp; Sutherland, K. (2016). Constructing “Packages” of Evidence-Based Programs to Prevent Youth Violence: Processes and Illustrative Examples From the CDC’s Youth Violence Prevention Centers. </w:t>
      </w:r>
      <w:r w:rsidRPr="002812F8">
        <w:rPr>
          <w:rFonts w:ascii="Times New Roman" w:hAnsi="Times New Roman"/>
          <w:i/>
          <w:iCs/>
          <w:sz w:val="24"/>
          <w:szCs w:val="24"/>
        </w:rPr>
        <w:t>Journal of Primary Prevention, 37</w:t>
      </w:r>
      <w:r w:rsidRPr="002812F8">
        <w:rPr>
          <w:rFonts w:ascii="Times New Roman" w:hAnsi="Times New Roman"/>
          <w:sz w:val="24"/>
          <w:szCs w:val="24"/>
        </w:rPr>
        <w:t>, 141-163.</w:t>
      </w:r>
    </w:p>
    <w:p w14:paraId="10FFAE9F" w14:textId="640CFB3C" w:rsidR="00521F9F" w:rsidRDefault="00521F9F" w:rsidP="00602314">
      <w:pPr>
        <w:autoSpaceDE w:val="0"/>
        <w:autoSpaceDN w:val="0"/>
        <w:adjustRightInd w:val="0"/>
        <w:spacing w:after="0"/>
        <w:ind w:left="720" w:hanging="720"/>
        <w:contextualSpacing/>
        <w:rPr>
          <w:rFonts w:ascii="Times New Roman" w:hAnsi="Times New Roman"/>
          <w:sz w:val="24"/>
          <w:szCs w:val="24"/>
        </w:rPr>
      </w:pPr>
      <w:proofErr w:type="spellStart"/>
      <w:r w:rsidRPr="009D4235">
        <w:rPr>
          <w:rFonts w:ascii="Times New Roman" w:hAnsi="Times New Roman"/>
          <w:sz w:val="24"/>
          <w:szCs w:val="24"/>
        </w:rPr>
        <w:t>Klenowksi</w:t>
      </w:r>
      <w:proofErr w:type="spellEnd"/>
      <w:r w:rsidRPr="009D4235">
        <w:rPr>
          <w:rFonts w:ascii="Times New Roman" w:hAnsi="Times New Roman"/>
          <w:sz w:val="24"/>
          <w:szCs w:val="24"/>
        </w:rPr>
        <w:t>, P.M., Bell, K.J., &amp; Dodson, K.D. (2010). An empirical evalu</w:t>
      </w:r>
      <w:r>
        <w:rPr>
          <w:rFonts w:ascii="Times New Roman" w:hAnsi="Times New Roman"/>
          <w:sz w:val="24"/>
          <w:szCs w:val="24"/>
        </w:rPr>
        <w:t>a</w:t>
      </w:r>
      <w:r w:rsidRPr="009D4235">
        <w:rPr>
          <w:rFonts w:ascii="Times New Roman" w:hAnsi="Times New Roman"/>
          <w:sz w:val="24"/>
          <w:szCs w:val="24"/>
        </w:rPr>
        <w:t xml:space="preserve">tion of juvenile awareness programs in the United States: Can juveniles be “Scared Straight?” </w:t>
      </w:r>
      <w:r w:rsidRPr="009D4235">
        <w:rPr>
          <w:rFonts w:ascii="Times New Roman" w:hAnsi="Times New Roman"/>
          <w:i/>
          <w:sz w:val="24"/>
          <w:szCs w:val="24"/>
        </w:rPr>
        <w:t xml:space="preserve">Journal of Offender Rehabilitation, 49, </w:t>
      </w:r>
      <w:r w:rsidRPr="009D4235">
        <w:rPr>
          <w:rFonts w:ascii="Times New Roman" w:hAnsi="Times New Roman"/>
          <w:sz w:val="24"/>
          <w:szCs w:val="24"/>
        </w:rPr>
        <w:t>254-272.</w:t>
      </w:r>
    </w:p>
    <w:p w14:paraId="55047784" w14:textId="073C7158" w:rsidR="00521F9F" w:rsidRPr="008D2BC0" w:rsidRDefault="00521F9F" w:rsidP="00602314">
      <w:pPr>
        <w:autoSpaceDE w:val="0"/>
        <w:autoSpaceDN w:val="0"/>
        <w:adjustRightInd w:val="0"/>
        <w:spacing w:after="0"/>
        <w:ind w:left="720" w:hanging="720"/>
        <w:contextualSpacing/>
        <w:rPr>
          <w:rFonts w:ascii="Times New Roman" w:hAnsi="Times New Roman"/>
          <w:sz w:val="24"/>
          <w:szCs w:val="24"/>
        </w:rPr>
      </w:pPr>
      <w:proofErr w:type="spellStart"/>
      <w:r w:rsidRPr="008D2BC0">
        <w:rPr>
          <w:rFonts w:ascii="Times New Roman" w:hAnsi="Times New Roman"/>
          <w:sz w:val="24"/>
          <w:szCs w:val="24"/>
        </w:rPr>
        <w:t>Maton</w:t>
      </w:r>
      <w:proofErr w:type="spellEnd"/>
      <w:r w:rsidRPr="008D2BC0">
        <w:rPr>
          <w:rFonts w:ascii="Times New Roman" w:hAnsi="Times New Roman"/>
          <w:sz w:val="24"/>
          <w:szCs w:val="24"/>
        </w:rPr>
        <w:t xml:space="preserve">, K.I., </w:t>
      </w:r>
      <w:proofErr w:type="spellStart"/>
      <w:r w:rsidRPr="008D2BC0">
        <w:rPr>
          <w:rFonts w:ascii="Times New Roman" w:hAnsi="Times New Roman"/>
          <w:sz w:val="24"/>
          <w:szCs w:val="24"/>
        </w:rPr>
        <w:t>Schellenbach</w:t>
      </w:r>
      <w:proofErr w:type="spellEnd"/>
      <w:r w:rsidRPr="008D2BC0">
        <w:rPr>
          <w:rFonts w:ascii="Times New Roman" w:hAnsi="Times New Roman"/>
          <w:sz w:val="24"/>
          <w:szCs w:val="24"/>
        </w:rPr>
        <w:t xml:space="preserve">, C.J., </w:t>
      </w:r>
      <w:proofErr w:type="spellStart"/>
      <w:r w:rsidRPr="008D2BC0">
        <w:rPr>
          <w:rFonts w:ascii="Times New Roman" w:hAnsi="Times New Roman"/>
          <w:sz w:val="24"/>
          <w:szCs w:val="24"/>
        </w:rPr>
        <w:t>Leadbeater</w:t>
      </w:r>
      <w:proofErr w:type="spellEnd"/>
      <w:r w:rsidRPr="008D2BC0">
        <w:rPr>
          <w:rFonts w:ascii="Times New Roman" w:hAnsi="Times New Roman"/>
          <w:sz w:val="24"/>
          <w:szCs w:val="24"/>
        </w:rPr>
        <w:t>, B.J., &amp;</w:t>
      </w:r>
      <w:r>
        <w:rPr>
          <w:rFonts w:ascii="Times New Roman" w:hAnsi="Times New Roman"/>
          <w:sz w:val="24"/>
          <w:szCs w:val="24"/>
        </w:rPr>
        <w:t xml:space="preserve"> </w:t>
      </w:r>
      <w:proofErr w:type="spellStart"/>
      <w:r w:rsidRPr="008D2BC0">
        <w:rPr>
          <w:rFonts w:ascii="Times New Roman" w:hAnsi="Times New Roman"/>
          <w:sz w:val="24"/>
          <w:szCs w:val="24"/>
        </w:rPr>
        <w:t>Solarz</w:t>
      </w:r>
      <w:proofErr w:type="spellEnd"/>
      <w:r w:rsidRPr="008D2BC0">
        <w:rPr>
          <w:rFonts w:ascii="Times New Roman" w:hAnsi="Times New Roman"/>
          <w:sz w:val="24"/>
          <w:szCs w:val="24"/>
        </w:rPr>
        <w:t xml:space="preserve">, A.L. (Eds.). (2004). </w:t>
      </w:r>
      <w:r w:rsidRPr="009761C0">
        <w:rPr>
          <w:rFonts w:ascii="Times New Roman" w:hAnsi="Times New Roman"/>
          <w:i/>
          <w:sz w:val="24"/>
          <w:szCs w:val="24"/>
        </w:rPr>
        <w:t>Investing in children, youth, families, and communities: Strengths-based research and policy.</w:t>
      </w:r>
      <w:r w:rsidRPr="008D2BC0">
        <w:rPr>
          <w:rFonts w:ascii="Times New Roman" w:hAnsi="Times New Roman"/>
          <w:sz w:val="24"/>
          <w:szCs w:val="24"/>
        </w:rPr>
        <w:t xml:space="preserve"> Washington, DC: American Psychological Association.</w:t>
      </w:r>
    </w:p>
    <w:p w14:paraId="2769E988" w14:textId="77777777" w:rsidR="00521F9F" w:rsidRDefault="00521F9F" w:rsidP="001C5B96">
      <w:pPr>
        <w:autoSpaceDE w:val="0"/>
        <w:autoSpaceDN w:val="0"/>
        <w:adjustRightInd w:val="0"/>
        <w:spacing w:after="0"/>
        <w:ind w:left="720" w:hanging="720"/>
        <w:contextualSpacing/>
        <w:rPr>
          <w:rFonts w:ascii="Times New Roman" w:hAnsi="Times New Roman"/>
          <w:sz w:val="24"/>
          <w:szCs w:val="24"/>
        </w:rPr>
      </w:pPr>
      <w:r w:rsidRPr="008D2BC0">
        <w:rPr>
          <w:rFonts w:ascii="Times New Roman" w:hAnsi="Times New Roman"/>
          <w:sz w:val="24"/>
          <w:szCs w:val="24"/>
        </w:rPr>
        <w:t>McKnight, J.L., &amp;</w:t>
      </w:r>
      <w:r>
        <w:rPr>
          <w:rFonts w:ascii="Times New Roman" w:hAnsi="Times New Roman"/>
          <w:sz w:val="24"/>
          <w:szCs w:val="24"/>
        </w:rPr>
        <w:t xml:space="preserve"> </w:t>
      </w:r>
      <w:proofErr w:type="spellStart"/>
      <w:r w:rsidRPr="008D2BC0">
        <w:rPr>
          <w:rFonts w:ascii="Times New Roman" w:hAnsi="Times New Roman"/>
          <w:sz w:val="24"/>
          <w:szCs w:val="24"/>
        </w:rPr>
        <w:t>Kretzmann</w:t>
      </w:r>
      <w:proofErr w:type="spellEnd"/>
      <w:r w:rsidRPr="008D2BC0">
        <w:rPr>
          <w:rFonts w:ascii="Times New Roman" w:hAnsi="Times New Roman"/>
          <w:sz w:val="24"/>
          <w:szCs w:val="24"/>
        </w:rPr>
        <w:t xml:space="preserve">, J.P. (2005). </w:t>
      </w:r>
      <w:r w:rsidRPr="009761C0">
        <w:rPr>
          <w:rFonts w:ascii="Times New Roman" w:hAnsi="Times New Roman"/>
          <w:i/>
          <w:sz w:val="24"/>
          <w:szCs w:val="24"/>
        </w:rPr>
        <w:t>Mapping Community Capacity</w:t>
      </w:r>
      <w:r w:rsidRPr="008D2BC0">
        <w:rPr>
          <w:rFonts w:ascii="Times New Roman" w:hAnsi="Times New Roman"/>
          <w:sz w:val="24"/>
          <w:szCs w:val="24"/>
        </w:rPr>
        <w:t xml:space="preserve">. In M. </w:t>
      </w:r>
      <w:proofErr w:type="spellStart"/>
      <w:r w:rsidRPr="008D2BC0">
        <w:rPr>
          <w:rFonts w:ascii="Times New Roman" w:hAnsi="Times New Roman"/>
          <w:sz w:val="24"/>
          <w:szCs w:val="24"/>
        </w:rPr>
        <w:t>Minkler</w:t>
      </w:r>
      <w:proofErr w:type="spellEnd"/>
      <w:r>
        <w:rPr>
          <w:rFonts w:ascii="Times New Roman" w:hAnsi="Times New Roman"/>
          <w:sz w:val="24"/>
          <w:szCs w:val="24"/>
        </w:rPr>
        <w:t xml:space="preserve"> </w:t>
      </w:r>
      <w:r w:rsidRPr="008D2BC0">
        <w:rPr>
          <w:rFonts w:ascii="Times New Roman" w:hAnsi="Times New Roman"/>
          <w:sz w:val="24"/>
          <w:szCs w:val="24"/>
        </w:rPr>
        <w:t>(Ed.),</w:t>
      </w:r>
      <w:r>
        <w:rPr>
          <w:rFonts w:ascii="Times New Roman" w:hAnsi="Times New Roman"/>
          <w:sz w:val="24"/>
          <w:szCs w:val="24"/>
        </w:rPr>
        <w:t xml:space="preserve"> </w:t>
      </w:r>
      <w:r w:rsidRPr="009761C0">
        <w:rPr>
          <w:rFonts w:ascii="Times New Roman" w:hAnsi="Times New Roman"/>
          <w:i/>
          <w:sz w:val="24"/>
          <w:szCs w:val="24"/>
        </w:rPr>
        <w:t>Community organizing and community building for health</w:t>
      </w:r>
      <w:r>
        <w:rPr>
          <w:rFonts w:ascii="Times New Roman" w:hAnsi="Times New Roman"/>
          <w:sz w:val="24"/>
          <w:szCs w:val="24"/>
        </w:rPr>
        <w:t xml:space="preserve"> (2nd ed.). New Brunswick, NJ</w:t>
      </w:r>
      <w:r w:rsidRPr="008D2BC0">
        <w:rPr>
          <w:rFonts w:ascii="Times New Roman" w:hAnsi="Times New Roman"/>
          <w:sz w:val="24"/>
          <w:szCs w:val="24"/>
        </w:rPr>
        <w:t>: Rutgers University Press.</w:t>
      </w:r>
    </w:p>
    <w:p w14:paraId="5D2C18AC" w14:textId="21661CF9" w:rsidR="00521F9F" w:rsidRDefault="00521F9F" w:rsidP="00E07CF2">
      <w:pPr>
        <w:autoSpaceDE w:val="0"/>
        <w:autoSpaceDN w:val="0"/>
        <w:adjustRightInd w:val="0"/>
        <w:spacing w:after="0"/>
        <w:ind w:left="720" w:hanging="720"/>
        <w:contextualSpacing/>
        <w:rPr>
          <w:rFonts w:ascii="Times New Roman" w:hAnsi="Times New Roman"/>
          <w:sz w:val="24"/>
          <w:szCs w:val="24"/>
        </w:rPr>
      </w:pPr>
      <w:r w:rsidRPr="00E07CF2">
        <w:rPr>
          <w:rFonts w:ascii="Times New Roman" w:hAnsi="Times New Roman"/>
          <w:sz w:val="24"/>
          <w:szCs w:val="24"/>
        </w:rPr>
        <w:t xml:space="preserve">Nation, M., Bess, K., Voight, A., Perkins, D.D., &amp; Juarez, P.D. (2011). Levels of community engagement in youth violence prevention: The role of power in sustaining successful university-community partnerships. </w:t>
      </w:r>
      <w:r w:rsidRPr="00E07CF2">
        <w:rPr>
          <w:rFonts w:ascii="Times New Roman" w:hAnsi="Times New Roman"/>
          <w:i/>
          <w:iCs/>
          <w:sz w:val="24"/>
          <w:szCs w:val="24"/>
        </w:rPr>
        <w:t>American Journal of Community Psychology, 48</w:t>
      </w:r>
      <w:r w:rsidRPr="00E07CF2">
        <w:rPr>
          <w:rFonts w:ascii="Times New Roman" w:hAnsi="Times New Roman"/>
          <w:sz w:val="24"/>
          <w:szCs w:val="24"/>
        </w:rPr>
        <w:t>, 89-96.</w:t>
      </w:r>
    </w:p>
    <w:p w14:paraId="7FBB6608" w14:textId="12DC7362" w:rsidR="00521F9F" w:rsidRPr="008D2BC0" w:rsidRDefault="00521F9F" w:rsidP="00602314">
      <w:pPr>
        <w:autoSpaceDE w:val="0"/>
        <w:autoSpaceDN w:val="0"/>
        <w:adjustRightInd w:val="0"/>
        <w:spacing w:after="0"/>
        <w:ind w:left="720" w:hanging="720"/>
        <w:contextualSpacing/>
        <w:rPr>
          <w:rFonts w:ascii="Times New Roman" w:hAnsi="Times New Roman"/>
          <w:sz w:val="24"/>
          <w:szCs w:val="24"/>
        </w:rPr>
      </w:pPr>
      <w:proofErr w:type="spellStart"/>
      <w:r w:rsidRPr="009D4235">
        <w:rPr>
          <w:rFonts w:ascii="Times New Roman" w:hAnsi="Times New Roman"/>
          <w:sz w:val="24"/>
          <w:szCs w:val="24"/>
        </w:rPr>
        <w:t>Pentz</w:t>
      </w:r>
      <w:proofErr w:type="spellEnd"/>
      <w:r w:rsidRPr="009D4235">
        <w:rPr>
          <w:rFonts w:ascii="Times New Roman" w:hAnsi="Times New Roman"/>
          <w:sz w:val="24"/>
          <w:szCs w:val="24"/>
        </w:rPr>
        <w:t>, M. A. (2000). Institutionalizing community-based prevention through policy change.</w:t>
      </w:r>
      <w:r>
        <w:rPr>
          <w:rFonts w:ascii="Times New Roman" w:hAnsi="Times New Roman"/>
          <w:sz w:val="24"/>
          <w:szCs w:val="24"/>
        </w:rPr>
        <w:t xml:space="preserve"> </w:t>
      </w:r>
      <w:r w:rsidRPr="009D4235">
        <w:rPr>
          <w:rFonts w:ascii="Times New Roman" w:hAnsi="Times New Roman"/>
          <w:i/>
          <w:sz w:val="24"/>
          <w:szCs w:val="24"/>
        </w:rPr>
        <w:t xml:space="preserve">Journal of Community Psychology, 28, </w:t>
      </w:r>
      <w:r w:rsidRPr="009D4235">
        <w:rPr>
          <w:rFonts w:ascii="Times New Roman" w:hAnsi="Times New Roman"/>
          <w:sz w:val="24"/>
          <w:szCs w:val="24"/>
        </w:rPr>
        <w:t>257-270.</w:t>
      </w:r>
    </w:p>
    <w:p w14:paraId="53464228" w14:textId="1C71FBF2" w:rsidR="00521F9F" w:rsidRPr="008D2BC0" w:rsidRDefault="00521F9F" w:rsidP="00602314">
      <w:pPr>
        <w:autoSpaceDE w:val="0"/>
        <w:autoSpaceDN w:val="0"/>
        <w:adjustRightInd w:val="0"/>
        <w:spacing w:after="0"/>
        <w:ind w:left="720" w:hanging="720"/>
        <w:contextualSpacing/>
        <w:rPr>
          <w:rFonts w:ascii="Times New Roman" w:hAnsi="Times New Roman"/>
          <w:sz w:val="24"/>
          <w:szCs w:val="24"/>
        </w:rPr>
      </w:pPr>
      <w:r w:rsidRPr="008D2BC0">
        <w:rPr>
          <w:rFonts w:ascii="Times New Roman" w:hAnsi="Times New Roman"/>
          <w:sz w:val="24"/>
          <w:szCs w:val="24"/>
        </w:rPr>
        <w:lastRenderedPageBreak/>
        <w:t>Perkins, D.D. (</w:t>
      </w:r>
      <w:r>
        <w:rPr>
          <w:rFonts w:ascii="Times New Roman" w:hAnsi="Times New Roman"/>
          <w:sz w:val="24"/>
          <w:szCs w:val="24"/>
        </w:rPr>
        <w:t>2010</w:t>
      </w:r>
      <w:r w:rsidRPr="008D2BC0">
        <w:rPr>
          <w:rFonts w:ascii="Times New Roman" w:hAnsi="Times New Roman"/>
          <w:sz w:val="24"/>
          <w:szCs w:val="24"/>
        </w:rPr>
        <w:t>). Empowerment. In R.A.</w:t>
      </w:r>
      <w:r>
        <w:rPr>
          <w:rFonts w:ascii="Times New Roman" w:hAnsi="Times New Roman"/>
          <w:sz w:val="24"/>
          <w:szCs w:val="24"/>
        </w:rPr>
        <w:t xml:space="preserve"> </w:t>
      </w:r>
      <w:r w:rsidRPr="008D2BC0">
        <w:rPr>
          <w:rFonts w:ascii="Times New Roman" w:hAnsi="Times New Roman"/>
          <w:sz w:val="24"/>
          <w:szCs w:val="24"/>
        </w:rPr>
        <w:t>Couto</w:t>
      </w:r>
      <w:r>
        <w:rPr>
          <w:rFonts w:ascii="Times New Roman" w:hAnsi="Times New Roman"/>
          <w:sz w:val="24"/>
          <w:szCs w:val="24"/>
        </w:rPr>
        <w:t xml:space="preserve"> </w:t>
      </w:r>
      <w:r w:rsidRPr="008D2BC0">
        <w:rPr>
          <w:rFonts w:ascii="Times New Roman" w:hAnsi="Times New Roman"/>
          <w:sz w:val="24"/>
          <w:szCs w:val="24"/>
        </w:rPr>
        <w:t xml:space="preserve">(Ed.), </w:t>
      </w:r>
      <w:r w:rsidRPr="009761C0">
        <w:rPr>
          <w:rFonts w:ascii="Times New Roman" w:hAnsi="Times New Roman"/>
          <w:i/>
          <w:sz w:val="24"/>
          <w:szCs w:val="24"/>
        </w:rPr>
        <w:t>Political and civic leadership</w:t>
      </w:r>
      <w:r w:rsidR="00AA3A70" w:rsidRPr="00AA3A70">
        <w:rPr>
          <w:rFonts w:ascii="Times New Roman" w:hAnsi="Times New Roman"/>
          <w:i/>
          <w:iCs/>
          <w:sz w:val="24"/>
          <w:szCs w:val="24"/>
        </w:rPr>
        <w:t>: A reference handbook</w:t>
      </w:r>
      <w:r w:rsidR="00AA3A70" w:rsidRPr="00ED5747">
        <w:rPr>
          <w:rFonts w:ascii="Times New Roman" w:hAnsi="Times New Roman"/>
          <w:sz w:val="24"/>
          <w:szCs w:val="24"/>
        </w:rPr>
        <w:t xml:space="preserve"> (Vol. 1, pp. 207-218)</w:t>
      </w:r>
      <w:r w:rsidRPr="00AA3A70">
        <w:rPr>
          <w:rFonts w:ascii="Times New Roman" w:hAnsi="Times New Roman"/>
          <w:sz w:val="24"/>
          <w:szCs w:val="24"/>
        </w:rPr>
        <w:t>.</w:t>
      </w:r>
      <w:r w:rsidRPr="008D2BC0">
        <w:rPr>
          <w:rFonts w:ascii="Times New Roman" w:hAnsi="Times New Roman"/>
          <w:sz w:val="24"/>
          <w:szCs w:val="24"/>
        </w:rPr>
        <w:t xml:space="preserve"> Thousand Oaks, CA: Sage.</w:t>
      </w:r>
    </w:p>
    <w:p w14:paraId="4964DF1C" w14:textId="0A74518F" w:rsidR="00521F9F" w:rsidRDefault="00521F9F" w:rsidP="00602314">
      <w:pPr>
        <w:widowControl w:val="0"/>
        <w:autoSpaceDE w:val="0"/>
        <w:autoSpaceDN w:val="0"/>
        <w:adjustRightInd w:val="0"/>
        <w:spacing w:after="0"/>
        <w:ind w:left="720" w:hanging="720"/>
        <w:rPr>
          <w:rFonts w:ascii="Times New Roman" w:hAnsi="Times New Roman"/>
          <w:sz w:val="24"/>
          <w:szCs w:val="24"/>
        </w:rPr>
      </w:pPr>
      <w:r>
        <w:rPr>
          <w:rFonts w:ascii="Times New Roman" w:hAnsi="Times New Roman"/>
          <w:sz w:val="24"/>
          <w:szCs w:val="24"/>
        </w:rPr>
        <w:t xml:space="preserve">Perkins, D.D., Bess, K., Cooper, D.G., Jones, D.L., Armstead, T., &amp; Speer, P.W. (2007). Community organizational learning: Case studies illustrating a three-dimensional model of levels and orders of change. </w:t>
      </w:r>
      <w:r>
        <w:rPr>
          <w:rFonts w:ascii="Times New Roman" w:hAnsi="Times New Roman"/>
          <w:i/>
          <w:iCs/>
          <w:sz w:val="24"/>
          <w:szCs w:val="24"/>
        </w:rPr>
        <w:t>Journal of Community Psychology, 35</w:t>
      </w:r>
      <w:r>
        <w:rPr>
          <w:rFonts w:ascii="Times New Roman" w:hAnsi="Times New Roman"/>
          <w:sz w:val="24"/>
          <w:szCs w:val="24"/>
        </w:rPr>
        <w:t>(3), 303-328.</w:t>
      </w:r>
    </w:p>
    <w:p w14:paraId="1279D1EE" w14:textId="67CC7393" w:rsidR="00521F9F" w:rsidRDefault="00521F9F" w:rsidP="00602314">
      <w:pPr>
        <w:autoSpaceDE w:val="0"/>
        <w:autoSpaceDN w:val="0"/>
        <w:adjustRightInd w:val="0"/>
        <w:spacing w:after="0"/>
        <w:ind w:left="720" w:hanging="720"/>
        <w:contextualSpacing/>
        <w:rPr>
          <w:rFonts w:ascii="Times New Roman" w:hAnsi="Times New Roman"/>
          <w:sz w:val="24"/>
          <w:szCs w:val="24"/>
        </w:rPr>
      </w:pPr>
      <w:r w:rsidRPr="009D4235">
        <w:rPr>
          <w:rFonts w:ascii="Times New Roman" w:hAnsi="Times New Roman"/>
          <w:sz w:val="24"/>
          <w:szCs w:val="24"/>
        </w:rPr>
        <w:t>Schmid, H., Bar, M., &amp;</w:t>
      </w:r>
      <w:r>
        <w:rPr>
          <w:rFonts w:ascii="Times New Roman" w:hAnsi="Times New Roman"/>
          <w:sz w:val="24"/>
          <w:szCs w:val="24"/>
        </w:rPr>
        <w:t xml:space="preserve"> </w:t>
      </w:r>
      <w:proofErr w:type="spellStart"/>
      <w:r w:rsidRPr="009D4235">
        <w:rPr>
          <w:rFonts w:ascii="Times New Roman" w:hAnsi="Times New Roman"/>
          <w:sz w:val="24"/>
          <w:szCs w:val="24"/>
        </w:rPr>
        <w:t>Nirel</w:t>
      </w:r>
      <w:proofErr w:type="spellEnd"/>
      <w:r w:rsidRPr="009D4235">
        <w:rPr>
          <w:rFonts w:ascii="Times New Roman" w:hAnsi="Times New Roman"/>
          <w:sz w:val="24"/>
          <w:szCs w:val="24"/>
        </w:rPr>
        <w:t>, R. (2008)</w:t>
      </w:r>
      <w:r>
        <w:rPr>
          <w:rFonts w:ascii="Times New Roman" w:hAnsi="Times New Roman"/>
          <w:sz w:val="24"/>
          <w:szCs w:val="24"/>
        </w:rPr>
        <w:t>.</w:t>
      </w:r>
      <w:r w:rsidRPr="009D4235">
        <w:rPr>
          <w:rFonts w:ascii="Times New Roman" w:hAnsi="Times New Roman"/>
          <w:sz w:val="24"/>
          <w:szCs w:val="24"/>
        </w:rPr>
        <w:t xml:space="preserve"> Advocacy activities in nonprofit human service organizations.</w:t>
      </w:r>
      <w:r>
        <w:rPr>
          <w:rFonts w:ascii="Times New Roman" w:hAnsi="Times New Roman"/>
          <w:sz w:val="24"/>
          <w:szCs w:val="24"/>
        </w:rPr>
        <w:t xml:space="preserve"> </w:t>
      </w:r>
      <w:r w:rsidRPr="009D4235">
        <w:rPr>
          <w:rFonts w:ascii="Times New Roman" w:hAnsi="Times New Roman"/>
          <w:i/>
          <w:sz w:val="24"/>
          <w:szCs w:val="24"/>
        </w:rPr>
        <w:t>Nonprofit and Voluntary Sector Quarterly, 37,</w:t>
      </w:r>
      <w:r w:rsidRPr="009D4235">
        <w:rPr>
          <w:rFonts w:ascii="Times New Roman" w:hAnsi="Times New Roman"/>
          <w:sz w:val="24"/>
          <w:szCs w:val="24"/>
        </w:rPr>
        <w:t xml:space="preserve"> 581-602.</w:t>
      </w:r>
    </w:p>
    <w:p w14:paraId="7C8AD630" w14:textId="2ABAE26A" w:rsidR="009D37D3" w:rsidRPr="009D37D3" w:rsidRDefault="009D37D3" w:rsidP="009D37D3">
      <w:pPr>
        <w:autoSpaceDE w:val="0"/>
        <w:autoSpaceDN w:val="0"/>
        <w:adjustRightInd w:val="0"/>
        <w:spacing w:after="0"/>
        <w:ind w:left="720" w:hanging="720"/>
        <w:contextualSpacing/>
        <w:rPr>
          <w:rFonts w:ascii="Times New Roman" w:hAnsi="Times New Roman"/>
          <w:sz w:val="24"/>
          <w:szCs w:val="24"/>
        </w:rPr>
      </w:pPr>
      <w:r w:rsidRPr="009D37D3">
        <w:rPr>
          <w:rFonts w:ascii="Times New Roman" w:hAnsi="Times New Roman"/>
          <w:sz w:val="24"/>
          <w:szCs w:val="24"/>
        </w:rPr>
        <w:t xml:space="preserve">Taylor, R.D., </w:t>
      </w:r>
      <w:proofErr w:type="spellStart"/>
      <w:r w:rsidRPr="009D37D3">
        <w:rPr>
          <w:rFonts w:ascii="Times New Roman" w:hAnsi="Times New Roman"/>
          <w:sz w:val="24"/>
          <w:szCs w:val="24"/>
        </w:rPr>
        <w:t>Oberle</w:t>
      </w:r>
      <w:proofErr w:type="spellEnd"/>
      <w:r w:rsidRPr="009D37D3">
        <w:rPr>
          <w:rFonts w:ascii="Times New Roman" w:hAnsi="Times New Roman"/>
          <w:sz w:val="24"/>
          <w:szCs w:val="24"/>
        </w:rPr>
        <w:t xml:space="preserve">, E., </w:t>
      </w:r>
      <w:proofErr w:type="spellStart"/>
      <w:r w:rsidRPr="009D37D3">
        <w:rPr>
          <w:rFonts w:ascii="Times New Roman" w:hAnsi="Times New Roman"/>
          <w:sz w:val="24"/>
          <w:szCs w:val="24"/>
        </w:rPr>
        <w:t>Durlak</w:t>
      </w:r>
      <w:proofErr w:type="spellEnd"/>
      <w:r w:rsidRPr="009D37D3">
        <w:rPr>
          <w:rFonts w:ascii="Times New Roman" w:hAnsi="Times New Roman"/>
          <w:sz w:val="24"/>
          <w:szCs w:val="24"/>
        </w:rPr>
        <w:t xml:space="preserve">, J.A., &amp; Weissberg, R.P. (2017). Promoting Positive Youth Development Through School-Based Social and Emotional Learning Interventions: A Meta-Analysis of Follow-Up Effects. </w:t>
      </w:r>
      <w:r w:rsidRPr="009D37D3">
        <w:rPr>
          <w:rFonts w:ascii="Times New Roman" w:hAnsi="Times New Roman"/>
          <w:i/>
          <w:iCs/>
          <w:sz w:val="24"/>
          <w:szCs w:val="24"/>
        </w:rPr>
        <w:t>Child Development</w:t>
      </w:r>
      <w:r w:rsidRPr="009D37D3">
        <w:rPr>
          <w:rFonts w:ascii="Times New Roman" w:hAnsi="Times New Roman"/>
          <w:sz w:val="24"/>
          <w:szCs w:val="24"/>
        </w:rPr>
        <w:t xml:space="preserve">, </w:t>
      </w:r>
      <w:r w:rsidRPr="009D37D3">
        <w:rPr>
          <w:rFonts w:ascii="Times New Roman" w:hAnsi="Times New Roman"/>
          <w:i/>
          <w:iCs/>
          <w:sz w:val="24"/>
          <w:szCs w:val="24"/>
        </w:rPr>
        <w:t>88</w:t>
      </w:r>
      <w:r w:rsidRPr="009D37D3">
        <w:rPr>
          <w:rFonts w:ascii="Times New Roman" w:hAnsi="Times New Roman"/>
          <w:sz w:val="24"/>
          <w:szCs w:val="24"/>
        </w:rPr>
        <w:t xml:space="preserve">, 1156–1171. </w:t>
      </w:r>
    </w:p>
    <w:p w14:paraId="297AAB17" w14:textId="22CC6AE7" w:rsidR="009024D2" w:rsidRDefault="009024D2" w:rsidP="00602314">
      <w:pPr>
        <w:autoSpaceDE w:val="0"/>
        <w:autoSpaceDN w:val="0"/>
        <w:adjustRightInd w:val="0"/>
        <w:spacing w:after="0"/>
        <w:ind w:left="720" w:hanging="720"/>
        <w:contextualSpacing/>
        <w:rPr>
          <w:rFonts w:ascii="Times New Roman" w:hAnsi="Times New Roman"/>
          <w:sz w:val="24"/>
          <w:szCs w:val="24"/>
        </w:rPr>
      </w:pPr>
      <w:r w:rsidRPr="009B12A1">
        <w:rPr>
          <w:rFonts w:ascii="Times New Roman" w:hAnsi="Times New Roman"/>
          <w:sz w:val="24"/>
          <w:szCs w:val="24"/>
        </w:rPr>
        <w:t xml:space="preserve">Tolan, P.H., Henry, D.B., </w:t>
      </w:r>
      <w:proofErr w:type="spellStart"/>
      <w:r w:rsidRPr="009B12A1">
        <w:rPr>
          <w:rFonts w:ascii="Times New Roman" w:hAnsi="Times New Roman"/>
          <w:sz w:val="24"/>
          <w:szCs w:val="24"/>
        </w:rPr>
        <w:t>Schoeny</w:t>
      </w:r>
      <w:proofErr w:type="spellEnd"/>
      <w:r w:rsidRPr="009B12A1">
        <w:rPr>
          <w:rFonts w:ascii="Times New Roman" w:hAnsi="Times New Roman"/>
          <w:sz w:val="24"/>
          <w:szCs w:val="24"/>
        </w:rPr>
        <w:t xml:space="preserve">, M.S., Lovegrove, P., &amp; Nichols, E. (2014). Mentoring programs to affect delinquency and associated outcomes of youth at risk: A comprehensive meta-analytic review. </w:t>
      </w:r>
      <w:r w:rsidRPr="009B12A1">
        <w:rPr>
          <w:rFonts w:ascii="Times New Roman" w:hAnsi="Times New Roman"/>
          <w:i/>
          <w:iCs/>
          <w:sz w:val="24"/>
          <w:szCs w:val="24"/>
        </w:rPr>
        <w:t>Journal of Experimental Criminology, 10</w:t>
      </w:r>
      <w:r w:rsidRPr="009B12A1">
        <w:rPr>
          <w:rFonts w:ascii="Times New Roman" w:hAnsi="Times New Roman"/>
          <w:sz w:val="24"/>
          <w:szCs w:val="24"/>
        </w:rPr>
        <w:t>, 179-206.</w:t>
      </w:r>
    </w:p>
    <w:p w14:paraId="66774C22" w14:textId="5C6ED276" w:rsidR="00521F9F" w:rsidRPr="0041525A" w:rsidRDefault="00521F9F" w:rsidP="00602314">
      <w:pPr>
        <w:autoSpaceDE w:val="0"/>
        <w:autoSpaceDN w:val="0"/>
        <w:adjustRightInd w:val="0"/>
        <w:spacing w:after="0"/>
        <w:ind w:left="720" w:hanging="720"/>
        <w:contextualSpacing/>
        <w:rPr>
          <w:rFonts w:ascii="Times New Roman" w:hAnsi="Times New Roman"/>
          <w:sz w:val="24"/>
          <w:szCs w:val="24"/>
        </w:rPr>
      </w:pPr>
      <w:r w:rsidRPr="0041525A">
        <w:rPr>
          <w:rFonts w:ascii="Times New Roman" w:hAnsi="Times New Roman"/>
          <w:sz w:val="24"/>
          <w:szCs w:val="24"/>
        </w:rPr>
        <w:t>U.S. Centers for Disease Control and Prevention (</w:t>
      </w:r>
      <w:r w:rsidR="00787119" w:rsidRPr="0041525A">
        <w:rPr>
          <w:rFonts w:ascii="Times New Roman" w:hAnsi="Times New Roman"/>
          <w:sz w:val="24"/>
          <w:szCs w:val="24"/>
        </w:rPr>
        <w:t>201</w:t>
      </w:r>
      <w:r w:rsidR="00787119" w:rsidRPr="00EE2FCB">
        <w:rPr>
          <w:rFonts w:ascii="Times New Roman" w:hAnsi="Times New Roman"/>
          <w:sz w:val="24"/>
          <w:szCs w:val="24"/>
        </w:rPr>
        <w:t>9</w:t>
      </w:r>
      <w:r w:rsidRPr="0041525A">
        <w:rPr>
          <w:rFonts w:ascii="Times New Roman" w:hAnsi="Times New Roman"/>
          <w:sz w:val="24"/>
          <w:szCs w:val="24"/>
        </w:rPr>
        <w:t xml:space="preserve">). </w:t>
      </w:r>
      <w:r w:rsidR="00787119" w:rsidRPr="00EE2FCB">
        <w:rPr>
          <w:rFonts w:ascii="Times New Roman" w:hAnsi="Times New Roman"/>
          <w:sz w:val="24"/>
          <w:szCs w:val="24"/>
        </w:rPr>
        <w:t>Preventing y</w:t>
      </w:r>
      <w:r w:rsidRPr="0041525A">
        <w:rPr>
          <w:rFonts w:ascii="Times New Roman" w:hAnsi="Times New Roman"/>
          <w:sz w:val="24"/>
          <w:szCs w:val="24"/>
        </w:rPr>
        <w:t>outh violence</w:t>
      </w:r>
      <w:r w:rsidR="00F94242" w:rsidRPr="00EE2FCB">
        <w:rPr>
          <w:rFonts w:ascii="Times New Roman" w:hAnsi="Times New Roman"/>
          <w:sz w:val="24"/>
          <w:szCs w:val="24"/>
        </w:rPr>
        <w:t>.</w:t>
      </w:r>
      <w:r w:rsidR="00787119" w:rsidRPr="0041525A">
        <w:t xml:space="preserve"> </w:t>
      </w:r>
      <w:r w:rsidR="00787119" w:rsidRPr="00362489">
        <w:rPr>
          <w:rFonts w:ascii="Times New Roman" w:hAnsi="Times New Roman"/>
          <w:sz w:val="24"/>
          <w:szCs w:val="24"/>
        </w:rPr>
        <w:t>https://www.cdc.gov/violenceprevention/pdf/yv-factsheet508.pdf</w:t>
      </w:r>
      <w:r w:rsidRPr="0041525A">
        <w:rPr>
          <w:rFonts w:ascii="Times New Roman" w:hAnsi="Times New Roman"/>
          <w:sz w:val="24"/>
          <w:szCs w:val="24"/>
        </w:rPr>
        <w:t xml:space="preserve"> (accessed on </w:t>
      </w:r>
      <w:r w:rsidR="00787119" w:rsidRPr="00EE2FCB">
        <w:rPr>
          <w:rFonts w:ascii="Times New Roman" w:hAnsi="Times New Roman"/>
          <w:sz w:val="24"/>
          <w:szCs w:val="24"/>
        </w:rPr>
        <w:t>March</w:t>
      </w:r>
      <w:r w:rsidR="00787119" w:rsidRPr="0041525A">
        <w:rPr>
          <w:rFonts w:ascii="Times New Roman" w:hAnsi="Times New Roman"/>
          <w:sz w:val="24"/>
          <w:szCs w:val="24"/>
        </w:rPr>
        <w:t xml:space="preserve"> </w:t>
      </w:r>
      <w:r w:rsidR="00787119" w:rsidRPr="00362489">
        <w:rPr>
          <w:rFonts w:ascii="Times New Roman" w:hAnsi="Times New Roman"/>
          <w:sz w:val="24"/>
          <w:szCs w:val="24"/>
        </w:rPr>
        <w:t>1</w:t>
      </w:r>
      <w:r w:rsidR="00787119" w:rsidRPr="00EE2FCB">
        <w:rPr>
          <w:rFonts w:ascii="Times New Roman" w:hAnsi="Times New Roman"/>
          <w:sz w:val="24"/>
          <w:szCs w:val="24"/>
        </w:rPr>
        <w:t>8</w:t>
      </w:r>
      <w:r w:rsidRPr="0041525A">
        <w:rPr>
          <w:rFonts w:ascii="Times New Roman" w:hAnsi="Times New Roman"/>
          <w:sz w:val="24"/>
          <w:szCs w:val="24"/>
        </w:rPr>
        <w:t xml:space="preserve">, </w:t>
      </w:r>
      <w:r w:rsidR="00787119" w:rsidRPr="00362489">
        <w:rPr>
          <w:rFonts w:ascii="Times New Roman" w:hAnsi="Times New Roman"/>
          <w:sz w:val="24"/>
          <w:szCs w:val="24"/>
        </w:rPr>
        <w:t>20</w:t>
      </w:r>
      <w:r w:rsidR="00787119" w:rsidRPr="00EE2FCB">
        <w:rPr>
          <w:rFonts w:ascii="Times New Roman" w:hAnsi="Times New Roman"/>
          <w:sz w:val="24"/>
          <w:szCs w:val="24"/>
        </w:rPr>
        <w:t>20</w:t>
      </w:r>
      <w:r w:rsidRPr="0041525A">
        <w:rPr>
          <w:rFonts w:ascii="Times New Roman" w:hAnsi="Times New Roman"/>
          <w:sz w:val="24"/>
          <w:szCs w:val="24"/>
        </w:rPr>
        <w:t>)</w:t>
      </w:r>
    </w:p>
    <w:p w14:paraId="544C8C97" w14:textId="10C5A4EC" w:rsidR="009D37D3" w:rsidRPr="009D37D3" w:rsidRDefault="009D37D3" w:rsidP="009D37D3">
      <w:pPr>
        <w:autoSpaceDE w:val="0"/>
        <w:autoSpaceDN w:val="0"/>
        <w:adjustRightInd w:val="0"/>
        <w:spacing w:after="0"/>
        <w:ind w:left="720" w:hanging="720"/>
        <w:contextualSpacing/>
        <w:rPr>
          <w:rFonts w:ascii="Times New Roman" w:hAnsi="Times New Roman"/>
          <w:sz w:val="24"/>
          <w:szCs w:val="24"/>
        </w:rPr>
      </w:pPr>
      <w:proofErr w:type="spellStart"/>
      <w:r w:rsidRPr="009D37D3">
        <w:rPr>
          <w:rFonts w:ascii="Times New Roman" w:hAnsi="Times New Roman"/>
          <w:sz w:val="24"/>
          <w:szCs w:val="24"/>
        </w:rPr>
        <w:t>Waschbusch</w:t>
      </w:r>
      <w:proofErr w:type="spellEnd"/>
      <w:r w:rsidRPr="009D37D3">
        <w:rPr>
          <w:rFonts w:ascii="Times New Roman" w:hAnsi="Times New Roman"/>
          <w:sz w:val="24"/>
          <w:szCs w:val="24"/>
        </w:rPr>
        <w:t xml:space="preserve">, D.A., Breaux, R.P., &amp; Babinski, D.E. (2019). School-Based Interventions for Aggression and Defiance in Youth: A Framework for Evidence-Based Practice. </w:t>
      </w:r>
      <w:r w:rsidRPr="009D37D3">
        <w:rPr>
          <w:rFonts w:ascii="Times New Roman" w:hAnsi="Times New Roman"/>
          <w:i/>
          <w:iCs/>
          <w:sz w:val="24"/>
          <w:szCs w:val="24"/>
        </w:rPr>
        <w:t>School Mental Health</w:t>
      </w:r>
      <w:r w:rsidRPr="009D37D3">
        <w:rPr>
          <w:rFonts w:ascii="Times New Roman" w:hAnsi="Times New Roman"/>
          <w:sz w:val="24"/>
          <w:szCs w:val="24"/>
        </w:rPr>
        <w:t xml:space="preserve">, </w:t>
      </w:r>
      <w:r w:rsidRPr="009D37D3">
        <w:rPr>
          <w:rFonts w:ascii="Times New Roman" w:hAnsi="Times New Roman"/>
          <w:i/>
          <w:iCs/>
          <w:sz w:val="24"/>
          <w:szCs w:val="24"/>
        </w:rPr>
        <w:t>11</w:t>
      </w:r>
      <w:r w:rsidRPr="009D37D3">
        <w:rPr>
          <w:rFonts w:ascii="Times New Roman" w:hAnsi="Times New Roman"/>
          <w:sz w:val="24"/>
          <w:szCs w:val="24"/>
        </w:rPr>
        <w:t xml:space="preserve">(1), 92–105. </w:t>
      </w:r>
      <w:hyperlink r:id="rId10" w:history="1">
        <w:r w:rsidRPr="009D37D3">
          <w:rPr>
            <w:rStyle w:val="Hyperlink"/>
            <w:rFonts w:ascii="Times New Roman" w:hAnsi="Times New Roman"/>
            <w:sz w:val="24"/>
            <w:szCs w:val="24"/>
          </w:rPr>
          <w:t>https://doi.org/10.1007/s12310-018-9269-0</w:t>
        </w:r>
      </w:hyperlink>
    </w:p>
    <w:p w14:paraId="09B0A8CB" w14:textId="67C02A0D" w:rsidR="00521F9F" w:rsidRPr="009D4235" w:rsidRDefault="00521F9F" w:rsidP="00602314">
      <w:pPr>
        <w:autoSpaceDE w:val="0"/>
        <w:autoSpaceDN w:val="0"/>
        <w:adjustRightInd w:val="0"/>
        <w:spacing w:after="0"/>
        <w:ind w:left="720" w:hanging="720"/>
        <w:contextualSpacing/>
        <w:rPr>
          <w:rFonts w:ascii="Times New Roman" w:hAnsi="Times New Roman"/>
          <w:sz w:val="24"/>
          <w:szCs w:val="24"/>
        </w:rPr>
      </w:pPr>
      <w:r w:rsidRPr="009D4235">
        <w:rPr>
          <w:rFonts w:ascii="Times New Roman" w:hAnsi="Times New Roman"/>
          <w:sz w:val="24"/>
          <w:szCs w:val="24"/>
        </w:rPr>
        <w:t xml:space="preserve">Williams, K., Rivera, L., </w:t>
      </w:r>
      <w:proofErr w:type="spellStart"/>
      <w:r w:rsidRPr="009D4235">
        <w:rPr>
          <w:rFonts w:ascii="Times New Roman" w:hAnsi="Times New Roman"/>
          <w:sz w:val="24"/>
          <w:szCs w:val="24"/>
        </w:rPr>
        <w:t>Neighbours</w:t>
      </w:r>
      <w:proofErr w:type="spellEnd"/>
      <w:r w:rsidRPr="009D4235">
        <w:rPr>
          <w:rFonts w:ascii="Times New Roman" w:hAnsi="Times New Roman"/>
          <w:sz w:val="24"/>
          <w:szCs w:val="24"/>
        </w:rPr>
        <w:t>, R., &amp;</w:t>
      </w:r>
      <w:r>
        <w:rPr>
          <w:rFonts w:ascii="Times New Roman" w:hAnsi="Times New Roman"/>
          <w:sz w:val="24"/>
          <w:szCs w:val="24"/>
        </w:rPr>
        <w:t xml:space="preserve"> </w:t>
      </w:r>
      <w:r w:rsidRPr="009D4235">
        <w:rPr>
          <w:rFonts w:ascii="Times New Roman" w:hAnsi="Times New Roman"/>
          <w:sz w:val="24"/>
          <w:szCs w:val="24"/>
        </w:rPr>
        <w:t xml:space="preserve">Reznik, V. (2007). Youth violence prevention comes of age: Research, training and future directions. </w:t>
      </w:r>
      <w:r w:rsidRPr="009D4235">
        <w:rPr>
          <w:rFonts w:ascii="Times New Roman" w:hAnsi="Times New Roman"/>
          <w:i/>
          <w:sz w:val="24"/>
          <w:szCs w:val="24"/>
        </w:rPr>
        <w:t xml:space="preserve">Annual Review of Public Health, 28, </w:t>
      </w:r>
      <w:r w:rsidRPr="009D4235">
        <w:rPr>
          <w:rFonts w:ascii="Times New Roman" w:hAnsi="Times New Roman"/>
          <w:sz w:val="24"/>
          <w:szCs w:val="24"/>
        </w:rPr>
        <w:t xml:space="preserve">195-211. </w:t>
      </w:r>
    </w:p>
    <w:p w14:paraId="59483190" w14:textId="77777777" w:rsidR="00521F9F" w:rsidRDefault="00521F9F" w:rsidP="00B86A50">
      <w:pPr>
        <w:spacing w:line="240" w:lineRule="auto"/>
        <w:rPr>
          <w:rFonts w:ascii="Times New Roman" w:hAnsi="Times New Roman"/>
          <w:sz w:val="24"/>
        </w:rPr>
        <w:sectPr w:rsidR="00521F9F" w:rsidSect="005A377A">
          <w:pgSz w:w="12240" w:h="15840"/>
          <w:pgMar w:top="1440" w:right="1440" w:bottom="1440" w:left="1440" w:header="720" w:footer="720" w:gutter="0"/>
          <w:cols w:space="720"/>
          <w:titlePg/>
          <w:docGrid w:linePitch="360"/>
        </w:sectPr>
      </w:pPr>
    </w:p>
    <w:p w14:paraId="3C8BC740" w14:textId="77777777" w:rsidR="00EB05DA" w:rsidRPr="001A45BD" w:rsidRDefault="00EB05DA" w:rsidP="00EB05DA">
      <w:pPr>
        <w:autoSpaceDE w:val="0"/>
        <w:autoSpaceDN w:val="0"/>
        <w:adjustRightInd w:val="0"/>
        <w:spacing w:after="0"/>
        <w:ind w:left="720" w:hanging="720"/>
        <w:contextualSpacing/>
        <w:rPr>
          <w:rFonts w:ascii="Times New Roman" w:eastAsia="Times New Roman" w:hAnsi="Times New Roman"/>
        </w:rPr>
      </w:pPr>
      <w:r w:rsidRPr="001A45BD">
        <w:rPr>
          <w:rFonts w:ascii="Times New Roman" w:eastAsia="Times New Roman" w:hAnsi="Times New Roman"/>
        </w:rPr>
        <w:lastRenderedPageBreak/>
        <w:t>Table 1.</w:t>
      </w:r>
    </w:p>
    <w:p w14:paraId="5967B040" w14:textId="095F6E74" w:rsidR="00EB05DA" w:rsidRPr="001A45BD" w:rsidRDefault="00EB05DA" w:rsidP="00EB05DA">
      <w:pPr>
        <w:spacing w:line="240" w:lineRule="auto"/>
        <w:rPr>
          <w:rFonts w:ascii="Times New Roman" w:eastAsia="Times New Roman" w:hAnsi="Times New Roman"/>
          <w:i/>
        </w:rPr>
      </w:pPr>
      <w:r w:rsidRPr="001A45BD">
        <w:rPr>
          <w:rFonts w:ascii="Times New Roman" w:eastAsia="Times New Roman" w:hAnsi="Times New Roman"/>
          <w:i/>
        </w:rPr>
        <w:t xml:space="preserve">Types of Organizations engaged in Youth Violence Prevention in a Coalition and Overall </w:t>
      </w:r>
    </w:p>
    <w:tbl>
      <w:tblPr>
        <w:tblStyle w:val="TableGrid2"/>
        <w:tblW w:w="13248" w:type="dxa"/>
        <w:tblLayout w:type="fixed"/>
        <w:tblCellMar>
          <w:left w:w="72" w:type="dxa"/>
          <w:right w:w="72" w:type="dxa"/>
        </w:tblCellMar>
        <w:tblLook w:val="00A0" w:firstRow="1" w:lastRow="0" w:firstColumn="1" w:lastColumn="0" w:noHBand="0" w:noVBand="0"/>
      </w:tblPr>
      <w:tblGrid>
        <w:gridCol w:w="2817"/>
        <w:gridCol w:w="1125"/>
        <w:gridCol w:w="990"/>
        <w:gridCol w:w="990"/>
        <w:gridCol w:w="990"/>
        <w:gridCol w:w="990"/>
        <w:gridCol w:w="1170"/>
        <w:gridCol w:w="1080"/>
        <w:gridCol w:w="1080"/>
        <w:gridCol w:w="990"/>
        <w:gridCol w:w="1026"/>
      </w:tblGrid>
      <w:tr w:rsidR="00EB05DA" w:rsidRPr="001A45BD" w14:paraId="79D0120B" w14:textId="77777777" w:rsidTr="00CB7E5F">
        <w:tc>
          <w:tcPr>
            <w:tcW w:w="2817" w:type="dxa"/>
          </w:tcPr>
          <w:p w14:paraId="79E16475" w14:textId="77777777" w:rsidR="00EB05DA" w:rsidRPr="001A45BD" w:rsidRDefault="00EB05DA" w:rsidP="00CB7E5F">
            <w:pPr>
              <w:spacing w:after="0"/>
              <w:rPr>
                <w:rFonts w:ascii="Times New Roman" w:hAnsi="Times New Roman"/>
              </w:rPr>
            </w:pPr>
          </w:p>
        </w:tc>
        <w:tc>
          <w:tcPr>
            <w:tcW w:w="5085" w:type="dxa"/>
            <w:gridSpan w:val="5"/>
          </w:tcPr>
          <w:p w14:paraId="56D7DB35" w14:textId="1324A523" w:rsidR="00EB05DA" w:rsidRPr="001A45BD" w:rsidRDefault="00EB05DA" w:rsidP="00CB7E5F">
            <w:pPr>
              <w:spacing w:after="0"/>
              <w:rPr>
                <w:rFonts w:ascii="Times New Roman" w:hAnsi="Times New Roman"/>
              </w:rPr>
            </w:pPr>
            <w:r w:rsidRPr="001A45BD">
              <w:rPr>
                <w:rFonts w:ascii="Times New Roman" w:hAnsi="Times New Roman"/>
              </w:rPr>
              <w:t>Coalition Participants</w:t>
            </w:r>
          </w:p>
        </w:tc>
        <w:tc>
          <w:tcPr>
            <w:tcW w:w="5346" w:type="dxa"/>
            <w:gridSpan w:val="5"/>
          </w:tcPr>
          <w:p w14:paraId="32016017" w14:textId="77777777" w:rsidR="00EB05DA" w:rsidRPr="001A45BD" w:rsidRDefault="00EB05DA" w:rsidP="00CB7E5F">
            <w:pPr>
              <w:spacing w:after="0"/>
              <w:rPr>
                <w:rFonts w:ascii="Times New Roman" w:hAnsi="Times New Roman"/>
              </w:rPr>
            </w:pPr>
            <w:r w:rsidRPr="001A45BD">
              <w:rPr>
                <w:rFonts w:ascii="Times New Roman" w:hAnsi="Times New Roman"/>
              </w:rPr>
              <w:t>Total Respondents</w:t>
            </w:r>
          </w:p>
        </w:tc>
      </w:tr>
      <w:tr w:rsidR="00EB05DA" w:rsidRPr="001A45BD" w14:paraId="7D22C45F" w14:textId="77777777" w:rsidTr="00CB7E5F">
        <w:tc>
          <w:tcPr>
            <w:tcW w:w="2817" w:type="dxa"/>
          </w:tcPr>
          <w:p w14:paraId="3E5118F9" w14:textId="57F5FBE4" w:rsidR="00EB05DA" w:rsidRPr="001A45BD" w:rsidRDefault="000C65E7" w:rsidP="00CB7E5F">
            <w:pPr>
              <w:spacing w:after="0"/>
              <w:rPr>
                <w:rFonts w:ascii="Times New Roman" w:hAnsi="Times New Roman"/>
              </w:rPr>
            </w:pPr>
            <w:r>
              <w:rPr>
                <w:rFonts w:ascii="Times New Roman" w:hAnsi="Times New Roman"/>
              </w:rPr>
              <w:t>Organizational Type:</w:t>
            </w:r>
          </w:p>
        </w:tc>
        <w:tc>
          <w:tcPr>
            <w:tcW w:w="1125" w:type="dxa"/>
          </w:tcPr>
          <w:p w14:paraId="4837CE5D" w14:textId="77777777" w:rsidR="00EB05DA" w:rsidRPr="001A45BD" w:rsidRDefault="00EB05DA" w:rsidP="00CB7E5F">
            <w:pPr>
              <w:spacing w:after="0"/>
              <w:rPr>
                <w:rFonts w:ascii="Times New Roman" w:hAnsi="Times New Roman"/>
              </w:rPr>
            </w:pPr>
            <w:r w:rsidRPr="001A45BD">
              <w:rPr>
                <w:rFonts w:ascii="Times New Roman" w:hAnsi="Times New Roman"/>
              </w:rPr>
              <w:t>Year 1 (%)</w:t>
            </w:r>
          </w:p>
        </w:tc>
        <w:tc>
          <w:tcPr>
            <w:tcW w:w="990" w:type="dxa"/>
          </w:tcPr>
          <w:p w14:paraId="1FF4B1AF" w14:textId="77777777" w:rsidR="00EB05DA" w:rsidRPr="001A45BD" w:rsidRDefault="00EB05DA" w:rsidP="00CB7E5F">
            <w:pPr>
              <w:spacing w:after="0"/>
              <w:rPr>
                <w:rFonts w:ascii="Times New Roman" w:hAnsi="Times New Roman"/>
              </w:rPr>
            </w:pPr>
            <w:r w:rsidRPr="001A45BD">
              <w:rPr>
                <w:rFonts w:ascii="Times New Roman" w:hAnsi="Times New Roman"/>
              </w:rPr>
              <w:t>Y2 (%)</w:t>
            </w:r>
          </w:p>
        </w:tc>
        <w:tc>
          <w:tcPr>
            <w:tcW w:w="990" w:type="dxa"/>
          </w:tcPr>
          <w:p w14:paraId="09514FA2" w14:textId="77777777" w:rsidR="00EB05DA" w:rsidRPr="001A45BD" w:rsidRDefault="00EB05DA" w:rsidP="00CB7E5F">
            <w:pPr>
              <w:spacing w:after="0"/>
              <w:rPr>
                <w:rFonts w:ascii="Times New Roman" w:hAnsi="Times New Roman"/>
              </w:rPr>
            </w:pPr>
            <w:r w:rsidRPr="001A45BD">
              <w:rPr>
                <w:rFonts w:ascii="Times New Roman" w:hAnsi="Times New Roman"/>
              </w:rPr>
              <w:t>Y3 (%)</w:t>
            </w:r>
          </w:p>
        </w:tc>
        <w:tc>
          <w:tcPr>
            <w:tcW w:w="990" w:type="dxa"/>
          </w:tcPr>
          <w:p w14:paraId="0F68B127" w14:textId="77777777" w:rsidR="00EB05DA" w:rsidRPr="001A45BD" w:rsidRDefault="00EB05DA" w:rsidP="00CB7E5F">
            <w:pPr>
              <w:spacing w:after="0"/>
              <w:rPr>
                <w:rFonts w:ascii="Times New Roman" w:hAnsi="Times New Roman"/>
              </w:rPr>
            </w:pPr>
            <w:r w:rsidRPr="001A45BD">
              <w:rPr>
                <w:rFonts w:ascii="Times New Roman" w:hAnsi="Times New Roman"/>
              </w:rPr>
              <w:t>Y4 (%)</w:t>
            </w:r>
          </w:p>
        </w:tc>
        <w:tc>
          <w:tcPr>
            <w:tcW w:w="990" w:type="dxa"/>
          </w:tcPr>
          <w:p w14:paraId="3E60DA98" w14:textId="77777777" w:rsidR="00EB05DA" w:rsidRPr="001A45BD" w:rsidRDefault="00EB05DA" w:rsidP="00CB7E5F">
            <w:pPr>
              <w:spacing w:after="0"/>
              <w:rPr>
                <w:rFonts w:ascii="Times New Roman" w:hAnsi="Times New Roman"/>
              </w:rPr>
            </w:pPr>
            <w:r w:rsidRPr="001A45BD">
              <w:rPr>
                <w:rFonts w:ascii="Times New Roman" w:hAnsi="Times New Roman"/>
              </w:rPr>
              <w:t>Y5 (%)</w:t>
            </w:r>
          </w:p>
        </w:tc>
        <w:tc>
          <w:tcPr>
            <w:tcW w:w="1170" w:type="dxa"/>
          </w:tcPr>
          <w:p w14:paraId="24AEC041" w14:textId="77777777" w:rsidR="00EB05DA" w:rsidRPr="001A45BD" w:rsidRDefault="00EB05DA" w:rsidP="00CB7E5F">
            <w:pPr>
              <w:spacing w:after="0"/>
              <w:rPr>
                <w:rFonts w:ascii="Times New Roman" w:hAnsi="Times New Roman"/>
              </w:rPr>
            </w:pPr>
            <w:r w:rsidRPr="001A45BD">
              <w:rPr>
                <w:rFonts w:ascii="Times New Roman" w:hAnsi="Times New Roman"/>
              </w:rPr>
              <w:t>Year 1 (%)</w:t>
            </w:r>
          </w:p>
        </w:tc>
        <w:tc>
          <w:tcPr>
            <w:tcW w:w="1080" w:type="dxa"/>
          </w:tcPr>
          <w:p w14:paraId="5F123895" w14:textId="77777777" w:rsidR="00EB05DA" w:rsidRPr="001A45BD" w:rsidRDefault="00EB05DA" w:rsidP="00CB7E5F">
            <w:pPr>
              <w:spacing w:after="0"/>
              <w:rPr>
                <w:rFonts w:ascii="Times New Roman" w:hAnsi="Times New Roman"/>
              </w:rPr>
            </w:pPr>
            <w:r w:rsidRPr="001A45BD">
              <w:rPr>
                <w:rFonts w:ascii="Times New Roman" w:hAnsi="Times New Roman"/>
              </w:rPr>
              <w:t>Y2 (%)</w:t>
            </w:r>
          </w:p>
        </w:tc>
        <w:tc>
          <w:tcPr>
            <w:tcW w:w="1080" w:type="dxa"/>
          </w:tcPr>
          <w:p w14:paraId="59118418" w14:textId="77777777" w:rsidR="00EB05DA" w:rsidRPr="001A45BD" w:rsidRDefault="00EB05DA" w:rsidP="00CB7E5F">
            <w:pPr>
              <w:spacing w:after="0"/>
              <w:rPr>
                <w:rFonts w:ascii="Times New Roman" w:hAnsi="Times New Roman"/>
              </w:rPr>
            </w:pPr>
            <w:r w:rsidRPr="001A45BD">
              <w:rPr>
                <w:rFonts w:ascii="Times New Roman" w:hAnsi="Times New Roman"/>
              </w:rPr>
              <w:t>Y3 (%)</w:t>
            </w:r>
          </w:p>
        </w:tc>
        <w:tc>
          <w:tcPr>
            <w:tcW w:w="990" w:type="dxa"/>
          </w:tcPr>
          <w:p w14:paraId="10057001" w14:textId="77777777" w:rsidR="00EB05DA" w:rsidRPr="001A45BD" w:rsidRDefault="00EB05DA" w:rsidP="00CB7E5F">
            <w:pPr>
              <w:spacing w:after="0"/>
              <w:rPr>
                <w:rFonts w:ascii="Times New Roman" w:hAnsi="Times New Roman"/>
              </w:rPr>
            </w:pPr>
            <w:r w:rsidRPr="001A45BD">
              <w:rPr>
                <w:rFonts w:ascii="Times New Roman" w:hAnsi="Times New Roman"/>
              </w:rPr>
              <w:t>Y4 (%)</w:t>
            </w:r>
          </w:p>
        </w:tc>
        <w:tc>
          <w:tcPr>
            <w:tcW w:w="1026" w:type="dxa"/>
          </w:tcPr>
          <w:p w14:paraId="3BA67D54" w14:textId="77777777" w:rsidR="00EB05DA" w:rsidRPr="001A45BD" w:rsidRDefault="00EB05DA" w:rsidP="00CB7E5F">
            <w:pPr>
              <w:spacing w:after="0"/>
              <w:rPr>
                <w:rFonts w:ascii="Times New Roman" w:hAnsi="Times New Roman"/>
              </w:rPr>
            </w:pPr>
            <w:r w:rsidRPr="001A45BD">
              <w:rPr>
                <w:rFonts w:ascii="Times New Roman" w:hAnsi="Times New Roman"/>
              </w:rPr>
              <w:t>Y5 (%)</w:t>
            </w:r>
          </w:p>
        </w:tc>
      </w:tr>
      <w:tr w:rsidR="00EB05DA" w:rsidRPr="001A45BD" w14:paraId="3ACCA0DF" w14:textId="77777777" w:rsidTr="00CB7E5F">
        <w:tc>
          <w:tcPr>
            <w:tcW w:w="2817" w:type="dxa"/>
          </w:tcPr>
          <w:p w14:paraId="39D46DF1" w14:textId="2D1D04CD" w:rsidR="00EB05DA" w:rsidRPr="001A45BD" w:rsidRDefault="00EB05DA" w:rsidP="000C65E7">
            <w:pPr>
              <w:spacing w:after="0"/>
              <w:rPr>
                <w:rFonts w:ascii="Times New Roman" w:hAnsi="Times New Roman"/>
              </w:rPr>
            </w:pPr>
            <w:r w:rsidRPr="001A45BD">
              <w:rPr>
                <w:rFonts w:ascii="Times New Roman" w:hAnsi="Times New Roman"/>
              </w:rPr>
              <w:t>Youth</w:t>
            </w:r>
            <w:r w:rsidR="000C65E7">
              <w:rPr>
                <w:rFonts w:ascii="Times New Roman" w:hAnsi="Times New Roman"/>
              </w:rPr>
              <w:t>-focused</w:t>
            </w:r>
          </w:p>
        </w:tc>
        <w:tc>
          <w:tcPr>
            <w:tcW w:w="1125" w:type="dxa"/>
          </w:tcPr>
          <w:p w14:paraId="258A9317" w14:textId="77777777" w:rsidR="00EB05DA" w:rsidRPr="001A45BD" w:rsidRDefault="00EB05DA" w:rsidP="00CB7E5F">
            <w:pPr>
              <w:spacing w:after="0"/>
              <w:rPr>
                <w:rFonts w:ascii="Times New Roman" w:hAnsi="Times New Roman"/>
                <w:color w:val="000000"/>
              </w:rPr>
            </w:pPr>
            <w:r w:rsidRPr="001A45BD">
              <w:rPr>
                <w:rFonts w:ascii="Times New Roman" w:hAnsi="Times New Roman"/>
              </w:rPr>
              <w:t>4 (</w:t>
            </w:r>
            <w:r w:rsidRPr="001A45BD">
              <w:rPr>
                <w:rFonts w:ascii="Times New Roman" w:hAnsi="Times New Roman"/>
                <w:color w:val="000000"/>
              </w:rPr>
              <w:t>17.4</w:t>
            </w:r>
            <w:r w:rsidRPr="001A45BD">
              <w:rPr>
                <w:rFonts w:ascii="Times New Roman" w:hAnsi="Times New Roman"/>
              </w:rPr>
              <w:t>)</w:t>
            </w:r>
            <w:r w:rsidRPr="00CB7E5F">
              <w:rPr>
                <w:rFonts w:ascii="Times New Roman" w:hAnsi="Times New Roman"/>
                <w:vertAlign w:val="superscript"/>
              </w:rPr>
              <w:t>a</w:t>
            </w:r>
          </w:p>
        </w:tc>
        <w:tc>
          <w:tcPr>
            <w:tcW w:w="990" w:type="dxa"/>
          </w:tcPr>
          <w:p w14:paraId="50399958" w14:textId="77777777" w:rsidR="00EB05DA" w:rsidRPr="001A45BD" w:rsidRDefault="00EB05DA" w:rsidP="00CB7E5F">
            <w:pPr>
              <w:spacing w:after="0"/>
              <w:rPr>
                <w:rFonts w:ascii="Times New Roman" w:hAnsi="Times New Roman"/>
                <w:color w:val="000000"/>
              </w:rPr>
            </w:pPr>
            <w:r w:rsidRPr="001A45BD">
              <w:rPr>
                <w:rFonts w:ascii="Times New Roman" w:hAnsi="Times New Roman"/>
              </w:rPr>
              <w:t>5 (</w:t>
            </w:r>
            <w:r w:rsidRPr="001A45BD">
              <w:rPr>
                <w:rFonts w:ascii="Times New Roman" w:hAnsi="Times New Roman"/>
                <w:color w:val="000000"/>
              </w:rPr>
              <w:t>19.2</w:t>
            </w:r>
            <w:r w:rsidRPr="001A45BD">
              <w:rPr>
                <w:rFonts w:ascii="Times New Roman" w:hAnsi="Times New Roman"/>
              </w:rPr>
              <w:t>)</w:t>
            </w:r>
          </w:p>
        </w:tc>
        <w:tc>
          <w:tcPr>
            <w:tcW w:w="990" w:type="dxa"/>
          </w:tcPr>
          <w:p w14:paraId="4CBCA374" w14:textId="77777777" w:rsidR="00EB05DA" w:rsidRPr="001A45BD" w:rsidRDefault="00EB05DA" w:rsidP="00CB7E5F">
            <w:pPr>
              <w:spacing w:after="0"/>
              <w:rPr>
                <w:rFonts w:ascii="Times New Roman" w:hAnsi="Times New Roman"/>
              </w:rPr>
            </w:pPr>
            <w:r w:rsidRPr="001A45BD">
              <w:rPr>
                <w:rFonts w:ascii="Times New Roman" w:hAnsi="Times New Roman"/>
              </w:rPr>
              <w:t>2 (1</w:t>
            </w:r>
            <w:r w:rsidRPr="001A45BD">
              <w:rPr>
                <w:rFonts w:ascii="Times New Roman" w:hAnsi="Times New Roman" w:hint="eastAsia"/>
                <w:lang w:eastAsia="zh-CN"/>
              </w:rPr>
              <w:t>4.3</w:t>
            </w:r>
            <w:r w:rsidRPr="001A45BD">
              <w:rPr>
                <w:rFonts w:ascii="Times New Roman" w:hAnsi="Times New Roman"/>
              </w:rPr>
              <w:t>)</w:t>
            </w:r>
          </w:p>
        </w:tc>
        <w:tc>
          <w:tcPr>
            <w:tcW w:w="990" w:type="dxa"/>
          </w:tcPr>
          <w:p w14:paraId="7BD774D9"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hint="eastAsia"/>
                <w:lang w:eastAsia="zh-CN"/>
              </w:rPr>
              <w:t>13.3</w:t>
            </w:r>
            <w:r w:rsidRPr="001A45BD">
              <w:rPr>
                <w:rFonts w:ascii="Times New Roman" w:hAnsi="Times New Roman"/>
              </w:rPr>
              <w:t>)</w:t>
            </w:r>
          </w:p>
        </w:tc>
        <w:tc>
          <w:tcPr>
            <w:tcW w:w="990" w:type="dxa"/>
          </w:tcPr>
          <w:p w14:paraId="13AAB5A0" w14:textId="77777777" w:rsidR="00EB05DA" w:rsidRPr="001A45BD" w:rsidRDefault="00EB05DA" w:rsidP="00CB7E5F">
            <w:pPr>
              <w:spacing w:after="0"/>
              <w:rPr>
                <w:rFonts w:ascii="Times New Roman" w:hAnsi="Times New Roman"/>
              </w:rPr>
            </w:pPr>
            <w:r w:rsidRPr="001A45BD">
              <w:rPr>
                <w:rFonts w:ascii="Times New Roman" w:hAnsi="Times New Roman"/>
              </w:rPr>
              <w:t>4 (30.8)</w:t>
            </w:r>
          </w:p>
        </w:tc>
        <w:tc>
          <w:tcPr>
            <w:tcW w:w="1170" w:type="dxa"/>
          </w:tcPr>
          <w:p w14:paraId="17067A4B" w14:textId="77777777" w:rsidR="00EB05DA" w:rsidRPr="001A45BD" w:rsidRDefault="00EB05DA" w:rsidP="00CB7E5F">
            <w:pPr>
              <w:spacing w:after="0"/>
              <w:rPr>
                <w:rFonts w:ascii="Times New Roman" w:hAnsi="Times New Roman"/>
              </w:rPr>
            </w:pPr>
            <w:r w:rsidRPr="001A45BD">
              <w:rPr>
                <w:rFonts w:ascii="Times New Roman" w:hAnsi="Times New Roman"/>
              </w:rPr>
              <w:t>16 (24.2)</w:t>
            </w:r>
          </w:p>
        </w:tc>
        <w:tc>
          <w:tcPr>
            <w:tcW w:w="1080" w:type="dxa"/>
          </w:tcPr>
          <w:p w14:paraId="6E8E4771" w14:textId="77777777" w:rsidR="00EB05DA" w:rsidRPr="001A45BD" w:rsidRDefault="00EB05DA" w:rsidP="00CB7E5F">
            <w:pPr>
              <w:spacing w:after="0"/>
              <w:rPr>
                <w:rFonts w:ascii="Times New Roman" w:hAnsi="Times New Roman"/>
              </w:rPr>
            </w:pPr>
            <w:r w:rsidRPr="001A45BD">
              <w:rPr>
                <w:rFonts w:ascii="Times New Roman" w:hAnsi="Times New Roman"/>
              </w:rPr>
              <w:t>16 (22.5)</w:t>
            </w:r>
          </w:p>
        </w:tc>
        <w:tc>
          <w:tcPr>
            <w:tcW w:w="1080" w:type="dxa"/>
          </w:tcPr>
          <w:p w14:paraId="63579CBB" w14:textId="77777777" w:rsidR="00EB05DA" w:rsidRPr="001A45BD" w:rsidRDefault="00EB05DA" w:rsidP="00CB7E5F">
            <w:pPr>
              <w:spacing w:after="0"/>
              <w:rPr>
                <w:rFonts w:ascii="Times New Roman" w:hAnsi="Times New Roman"/>
              </w:rPr>
            </w:pPr>
            <w:r w:rsidRPr="001A45BD">
              <w:rPr>
                <w:rFonts w:ascii="Times New Roman" w:hAnsi="Times New Roman"/>
              </w:rPr>
              <w:t>11 (15.9)</w:t>
            </w:r>
          </w:p>
        </w:tc>
        <w:tc>
          <w:tcPr>
            <w:tcW w:w="990" w:type="dxa"/>
          </w:tcPr>
          <w:p w14:paraId="33249451" w14:textId="77777777" w:rsidR="00EB05DA" w:rsidRPr="001A45BD" w:rsidRDefault="00EB05DA" w:rsidP="00CB7E5F">
            <w:pPr>
              <w:spacing w:after="0"/>
              <w:rPr>
                <w:rFonts w:ascii="Times New Roman" w:hAnsi="Times New Roman"/>
              </w:rPr>
            </w:pPr>
            <w:r w:rsidRPr="001A45BD">
              <w:rPr>
                <w:rFonts w:ascii="Times New Roman" w:hAnsi="Times New Roman"/>
              </w:rPr>
              <w:t>14 (19.7)</w:t>
            </w:r>
          </w:p>
        </w:tc>
        <w:tc>
          <w:tcPr>
            <w:tcW w:w="1026" w:type="dxa"/>
          </w:tcPr>
          <w:p w14:paraId="1D5AADDC" w14:textId="77777777" w:rsidR="00EB05DA" w:rsidRPr="001A45BD" w:rsidRDefault="00EB05DA" w:rsidP="00CB7E5F">
            <w:pPr>
              <w:spacing w:after="0"/>
              <w:rPr>
                <w:rFonts w:ascii="Times New Roman" w:hAnsi="Times New Roman"/>
              </w:rPr>
            </w:pPr>
            <w:r w:rsidRPr="001A45BD">
              <w:rPr>
                <w:rFonts w:ascii="Times New Roman" w:hAnsi="Times New Roman"/>
              </w:rPr>
              <w:t>14 (22.6)</w:t>
            </w:r>
          </w:p>
        </w:tc>
      </w:tr>
      <w:tr w:rsidR="00EB05DA" w:rsidRPr="001A45BD" w14:paraId="352BE516" w14:textId="77777777" w:rsidTr="00CB7E5F">
        <w:tc>
          <w:tcPr>
            <w:tcW w:w="2817" w:type="dxa"/>
          </w:tcPr>
          <w:p w14:paraId="57445D95" w14:textId="77777777" w:rsidR="00EB05DA" w:rsidRPr="001A45BD" w:rsidRDefault="00EB05DA" w:rsidP="00CB7E5F">
            <w:pPr>
              <w:spacing w:after="0"/>
              <w:rPr>
                <w:rFonts w:ascii="Times New Roman" w:hAnsi="Times New Roman"/>
              </w:rPr>
            </w:pPr>
            <w:r w:rsidRPr="001A45BD">
              <w:rPr>
                <w:rFonts w:ascii="Times New Roman" w:hAnsi="Times New Roman"/>
              </w:rPr>
              <w:t>Human Services</w:t>
            </w:r>
          </w:p>
        </w:tc>
        <w:tc>
          <w:tcPr>
            <w:tcW w:w="1125" w:type="dxa"/>
          </w:tcPr>
          <w:p w14:paraId="74C6FD69" w14:textId="77777777" w:rsidR="00EB05DA" w:rsidRPr="001A45BD" w:rsidRDefault="00EB05DA" w:rsidP="00CB7E5F">
            <w:pPr>
              <w:spacing w:after="0"/>
              <w:rPr>
                <w:rFonts w:ascii="Times New Roman" w:hAnsi="Times New Roman"/>
                <w:color w:val="000000"/>
              </w:rPr>
            </w:pPr>
            <w:r w:rsidRPr="001A45BD">
              <w:rPr>
                <w:rFonts w:ascii="Times New Roman" w:hAnsi="Times New Roman"/>
              </w:rPr>
              <w:t>8 (</w:t>
            </w:r>
            <w:r w:rsidRPr="001A45BD">
              <w:rPr>
                <w:rFonts w:ascii="Times New Roman" w:hAnsi="Times New Roman"/>
                <w:color w:val="000000"/>
              </w:rPr>
              <w:t>34.8</w:t>
            </w:r>
            <w:r w:rsidRPr="001A45BD">
              <w:rPr>
                <w:rFonts w:ascii="Times New Roman" w:hAnsi="Times New Roman"/>
              </w:rPr>
              <w:t>)</w:t>
            </w:r>
          </w:p>
        </w:tc>
        <w:tc>
          <w:tcPr>
            <w:tcW w:w="990" w:type="dxa"/>
          </w:tcPr>
          <w:p w14:paraId="10F48EA6" w14:textId="77777777" w:rsidR="00EB05DA" w:rsidRPr="001A45BD" w:rsidRDefault="00EB05DA" w:rsidP="00CB7E5F">
            <w:pPr>
              <w:spacing w:after="0"/>
              <w:rPr>
                <w:rFonts w:ascii="Times New Roman" w:hAnsi="Times New Roman"/>
              </w:rPr>
            </w:pPr>
            <w:r w:rsidRPr="001A45BD">
              <w:rPr>
                <w:rFonts w:ascii="Times New Roman" w:hAnsi="Times New Roman"/>
              </w:rPr>
              <w:t>6 (23.1)</w:t>
            </w:r>
          </w:p>
        </w:tc>
        <w:tc>
          <w:tcPr>
            <w:tcW w:w="990" w:type="dxa"/>
          </w:tcPr>
          <w:p w14:paraId="11112031" w14:textId="77777777" w:rsidR="00EB05DA" w:rsidRPr="001A45BD" w:rsidRDefault="00EB05DA" w:rsidP="00CB7E5F">
            <w:pPr>
              <w:spacing w:after="0"/>
              <w:rPr>
                <w:rFonts w:ascii="Times New Roman" w:hAnsi="Times New Roman"/>
              </w:rPr>
            </w:pPr>
            <w:r w:rsidRPr="001A45BD">
              <w:rPr>
                <w:rFonts w:ascii="Times New Roman" w:hAnsi="Times New Roman"/>
              </w:rPr>
              <w:t>4 (28.6)</w:t>
            </w:r>
          </w:p>
        </w:tc>
        <w:tc>
          <w:tcPr>
            <w:tcW w:w="990" w:type="dxa"/>
          </w:tcPr>
          <w:p w14:paraId="590CBFE1" w14:textId="77777777" w:rsidR="00EB05DA" w:rsidRPr="001A45BD" w:rsidRDefault="00EB05DA" w:rsidP="00CB7E5F">
            <w:pPr>
              <w:spacing w:after="0"/>
              <w:rPr>
                <w:rFonts w:ascii="Times New Roman" w:hAnsi="Times New Roman"/>
              </w:rPr>
            </w:pPr>
            <w:r w:rsidRPr="001A45BD">
              <w:rPr>
                <w:rFonts w:ascii="Times New Roman" w:hAnsi="Times New Roman"/>
              </w:rPr>
              <w:t>2 (13.3)</w:t>
            </w:r>
          </w:p>
        </w:tc>
        <w:tc>
          <w:tcPr>
            <w:tcW w:w="990" w:type="dxa"/>
          </w:tcPr>
          <w:p w14:paraId="592A10E6" w14:textId="77777777" w:rsidR="00EB05DA" w:rsidRPr="001A45BD" w:rsidRDefault="00EB05DA" w:rsidP="00CB7E5F">
            <w:pPr>
              <w:spacing w:after="0"/>
              <w:rPr>
                <w:rFonts w:ascii="Times New Roman" w:hAnsi="Times New Roman"/>
              </w:rPr>
            </w:pPr>
            <w:r w:rsidRPr="001A45BD">
              <w:rPr>
                <w:rFonts w:ascii="Times New Roman" w:hAnsi="Times New Roman"/>
              </w:rPr>
              <w:t>2 (15.4)</w:t>
            </w:r>
          </w:p>
        </w:tc>
        <w:tc>
          <w:tcPr>
            <w:tcW w:w="1170" w:type="dxa"/>
          </w:tcPr>
          <w:p w14:paraId="3DD7328E" w14:textId="77777777" w:rsidR="00EB05DA" w:rsidRPr="001A45BD" w:rsidRDefault="00EB05DA" w:rsidP="00CB7E5F">
            <w:pPr>
              <w:spacing w:after="0"/>
              <w:rPr>
                <w:rFonts w:ascii="Times New Roman" w:hAnsi="Times New Roman"/>
              </w:rPr>
            </w:pPr>
            <w:r w:rsidRPr="001A45BD">
              <w:rPr>
                <w:rFonts w:ascii="Times New Roman" w:hAnsi="Times New Roman"/>
              </w:rPr>
              <w:t>15 (22.7)</w:t>
            </w:r>
          </w:p>
        </w:tc>
        <w:tc>
          <w:tcPr>
            <w:tcW w:w="1080" w:type="dxa"/>
          </w:tcPr>
          <w:p w14:paraId="03BB33C0" w14:textId="77777777" w:rsidR="00EB05DA" w:rsidRPr="001A45BD" w:rsidRDefault="00EB05DA" w:rsidP="00CB7E5F">
            <w:pPr>
              <w:spacing w:after="0"/>
              <w:rPr>
                <w:rFonts w:ascii="Times New Roman" w:hAnsi="Times New Roman"/>
              </w:rPr>
            </w:pPr>
            <w:r w:rsidRPr="001A45BD">
              <w:rPr>
                <w:rFonts w:ascii="Times New Roman" w:hAnsi="Times New Roman"/>
              </w:rPr>
              <w:t>13 (18</w:t>
            </w:r>
            <w:r w:rsidRPr="001A45BD">
              <w:rPr>
                <w:rFonts w:ascii="Times New Roman" w:hAnsi="Times New Roman" w:hint="eastAsia"/>
                <w:lang w:eastAsia="zh-CN"/>
              </w:rPr>
              <w:t>.3</w:t>
            </w:r>
            <w:r w:rsidRPr="001A45BD">
              <w:rPr>
                <w:rFonts w:ascii="Times New Roman" w:hAnsi="Times New Roman"/>
              </w:rPr>
              <w:t>)</w:t>
            </w:r>
          </w:p>
        </w:tc>
        <w:tc>
          <w:tcPr>
            <w:tcW w:w="1080" w:type="dxa"/>
          </w:tcPr>
          <w:p w14:paraId="3FBD0F23" w14:textId="77777777" w:rsidR="00EB05DA" w:rsidRPr="001A45BD" w:rsidRDefault="00EB05DA" w:rsidP="00CB7E5F">
            <w:pPr>
              <w:spacing w:after="0"/>
              <w:rPr>
                <w:rFonts w:ascii="Times New Roman" w:hAnsi="Times New Roman"/>
              </w:rPr>
            </w:pPr>
            <w:r w:rsidRPr="001A45BD">
              <w:rPr>
                <w:rFonts w:ascii="Times New Roman" w:hAnsi="Times New Roman"/>
              </w:rPr>
              <w:t>18 (26.1)</w:t>
            </w:r>
          </w:p>
        </w:tc>
        <w:tc>
          <w:tcPr>
            <w:tcW w:w="990" w:type="dxa"/>
          </w:tcPr>
          <w:p w14:paraId="52FA8901" w14:textId="77777777" w:rsidR="00EB05DA" w:rsidRPr="001A45BD" w:rsidRDefault="00EB05DA" w:rsidP="00CB7E5F">
            <w:pPr>
              <w:spacing w:after="0"/>
              <w:rPr>
                <w:rFonts w:ascii="Times New Roman" w:hAnsi="Times New Roman"/>
              </w:rPr>
            </w:pPr>
            <w:r w:rsidRPr="001A45BD">
              <w:rPr>
                <w:rFonts w:ascii="Times New Roman" w:hAnsi="Times New Roman"/>
              </w:rPr>
              <w:t>16 (22.5)</w:t>
            </w:r>
          </w:p>
        </w:tc>
        <w:tc>
          <w:tcPr>
            <w:tcW w:w="1026" w:type="dxa"/>
          </w:tcPr>
          <w:p w14:paraId="7066DCA7" w14:textId="77777777" w:rsidR="00EB05DA" w:rsidRPr="001A45BD" w:rsidRDefault="00EB05DA" w:rsidP="00CB7E5F">
            <w:pPr>
              <w:spacing w:after="0"/>
              <w:rPr>
                <w:rFonts w:ascii="Times New Roman" w:hAnsi="Times New Roman"/>
              </w:rPr>
            </w:pPr>
            <w:r w:rsidRPr="001A45BD">
              <w:rPr>
                <w:rFonts w:ascii="Times New Roman" w:hAnsi="Times New Roman"/>
              </w:rPr>
              <w:t>15 (24.2)</w:t>
            </w:r>
          </w:p>
        </w:tc>
      </w:tr>
      <w:tr w:rsidR="00EB05DA" w:rsidRPr="001A45BD" w14:paraId="6C6289B9" w14:textId="77777777" w:rsidTr="00CB7E5F">
        <w:tc>
          <w:tcPr>
            <w:tcW w:w="2817" w:type="dxa"/>
          </w:tcPr>
          <w:p w14:paraId="70003E8D" w14:textId="4D4DE9D7" w:rsidR="00EB05DA" w:rsidRPr="001A45BD" w:rsidRDefault="00EB05DA" w:rsidP="000C65E7">
            <w:pPr>
              <w:spacing w:after="0" w:line="240" w:lineRule="auto"/>
              <w:rPr>
                <w:rFonts w:ascii="Times New Roman" w:hAnsi="Times New Roman"/>
              </w:rPr>
            </w:pPr>
            <w:r w:rsidRPr="001A45BD">
              <w:rPr>
                <w:rFonts w:ascii="Times New Roman" w:hAnsi="Times New Roman"/>
              </w:rPr>
              <w:t xml:space="preserve">Community/Neighborhood </w:t>
            </w:r>
          </w:p>
        </w:tc>
        <w:tc>
          <w:tcPr>
            <w:tcW w:w="1125" w:type="dxa"/>
          </w:tcPr>
          <w:p w14:paraId="546CA4F4" w14:textId="77777777" w:rsidR="00EB05DA" w:rsidRPr="001A45BD" w:rsidRDefault="00EB05DA" w:rsidP="00CB7E5F">
            <w:pPr>
              <w:spacing w:after="0"/>
              <w:rPr>
                <w:rFonts w:ascii="Times New Roman" w:hAnsi="Times New Roman"/>
              </w:rPr>
            </w:pPr>
            <w:r w:rsidRPr="001A45BD">
              <w:rPr>
                <w:rFonts w:ascii="Times New Roman" w:hAnsi="Times New Roman"/>
              </w:rPr>
              <w:t>3 (</w:t>
            </w:r>
            <w:r w:rsidRPr="001A45BD">
              <w:rPr>
                <w:rFonts w:ascii="Times New Roman" w:hAnsi="Times New Roman" w:hint="eastAsia"/>
                <w:lang w:eastAsia="zh-CN"/>
              </w:rPr>
              <w:t>13.0</w:t>
            </w:r>
            <w:r w:rsidRPr="001A45BD">
              <w:rPr>
                <w:rFonts w:ascii="Times New Roman" w:hAnsi="Times New Roman"/>
              </w:rPr>
              <w:t>)</w:t>
            </w:r>
          </w:p>
        </w:tc>
        <w:tc>
          <w:tcPr>
            <w:tcW w:w="990" w:type="dxa"/>
          </w:tcPr>
          <w:p w14:paraId="6700F6AF"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lang w:eastAsia="zh-CN"/>
              </w:rPr>
              <w:t>7.7</w:t>
            </w:r>
            <w:r w:rsidRPr="001A45BD">
              <w:rPr>
                <w:rFonts w:ascii="Times New Roman" w:hAnsi="Times New Roman"/>
              </w:rPr>
              <w:t>)</w:t>
            </w:r>
          </w:p>
        </w:tc>
        <w:tc>
          <w:tcPr>
            <w:tcW w:w="990" w:type="dxa"/>
          </w:tcPr>
          <w:p w14:paraId="2B0493CF"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69A725D1" w14:textId="77777777" w:rsidR="00EB05DA" w:rsidRPr="001A45BD" w:rsidRDefault="00EB05DA" w:rsidP="00CB7E5F">
            <w:pPr>
              <w:spacing w:after="0"/>
              <w:rPr>
                <w:rFonts w:ascii="Times New Roman" w:hAnsi="Times New Roman"/>
              </w:rPr>
            </w:pPr>
            <w:r w:rsidRPr="001A45BD">
              <w:rPr>
                <w:rFonts w:ascii="Times New Roman" w:hAnsi="Times New Roman"/>
              </w:rPr>
              <w:t>3 (20.0)</w:t>
            </w:r>
          </w:p>
        </w:tc>
        <w:tc>
          <w:tcPr>
            <w:tcW w:w="990" w:type="dxa"/>
          </w:tcPr>
          <w:p w14:paraId="4C62B6EA" w14:textId="77777777" w:rsidR="00EB05DA" w:rsidRPr="001A45BD" w:rsidRDefault="00EB05DA" w:rsidP="00CB7E5F">
            <w:pPr>
              <w:spacing w:after="0"/>
              <w:rPr>
                <w:rFonts w:ascii="Times New Roman" w:hAnsi="Times New Roman"/>
              </w:rPr>
            </w:pPr>
            <w:r w:rsidRPr="001A45BD">
              <w:rPr>
                <w:rFonts w:ascii="Times New Roman" w:hAnsi="Times New Roman"/>
              </w:rPr>
              <w:t>2 (15.4)</w:t>
            </w:r>
          </w:p>
        </w:tc>
        <w:tc>
          <w:tcPr>
            <w:tcW w:w="1170" w:type="dxa"/>
          </w:tcPr>
          <w:p w14:paraId="02100FBF" w14:textId="77777777" w:rsidR="00EB05DA" w:rsidRPr="001A45BD" w:rsidRDefault="00EB05DA" w:rsidP="00CB7E5F">
            <w:pPr>
              <w:spacing w:after="0"/>
              <w:rPr>
                <w:rFonts w:ascii="Times New Roman" w:hAnsi="Times New Roman"/>
              </w:rPr>
            </w:pPr>
            <w:r w:rsidRPr="001A45BD">
              <w:rPr>
                <w:rFonts w:ascii="Times New Roman" w:hAnsi="Times New Roman"/>
              </w:rPr>
              <w:t>10 (1</w:t>
            </w:r>
            <w:r w:rsidRPr="001A45BD">
              <w:rPr>
                <w:rFonts w:ascii="Times New Roman" w:hAnsi="Times New Roman" w:hint="eastAsia"/>
                <w:lang w:eastAsia="zh-CN"/>
              </w:rPr>
              <w:t>5.2</w:t>
            </w:r>
            <w:r w:rsidRPr="001A45BD">
              <w:rPr>
                <w:rFonts w:ascii="Times New Roman" w:hAnsi="Times New Roman"/>
              </w:rPr>
              <w:t>)</w:t>
            </w:r>
          </w:p>
        </w:tc>
        <w:tc>
          <w:tcPr>
            <w:tcW w:w="1080" w:type="dxa"/>
          </w:tcPr>
          <w:p w14:paraId="3D38B29B" w14:textId="77777777" w:rsidR="00EB05DA" w:rsidRPr="001A45BD" w:rsidRDefault="00EB05DA" w:rsidP="00CB7E5F">
            <w:pPr>
              <w:spacing w:after="0"/>
              <w:rPr>
                <w:rFonts w:ascii="Times New Roman" w:hAnsi="Times New Roman"/>
              </w:rPr>
            </w:pPr>
            <w:r w:rsidRPr="001A45BD">
              <w:rPr>
                <w:rFonts w:ascii="Times New Roman" w:hAnsi="Times New Roman"/>
              </w:rPr>
              <w:t>8 (11.</w:t>
            </w:r>
            <w:r w:rsidRPr="001A45BD">
              <w:rPr>
                <w:rFonts w:ascii="Times New Roman" w:hAnsi="Times New Roman" w:hint="eastAsia"/>
                <w:lang w:eastAsia="zh-CN"/>
              </w:rPr>
              <w:t>3</w:t>
            </w:r>
            <w:r w:rsidRPr="001A45BD">
              <w:rPr>
                <w:rFonts w:ascii="Times New Roman" w:hAnsi="Times New Roman"/>
              </w:rPr>
              <w:t>)</w:t>
            </w:r>
          </w:p>
        </w:tc>
        <w:tc>
          <w:tcPr>
            <w:tcW w:w="1080" w:type="dxa"/>
          </w:tcPr>
          <w:p w14:paraId="4328C232" w14:textId="77777777" w:rsidR="00EB05DA" w:rsidRPr="001A45BD" w:rsidRDefault="00EB05DA" w:rsidP="00CB7E5F">
            <w:pPr>
              <w:spacing w:after="0"/>
              <w:rPr>
                <w:rFonts w:ascii="Times New Roman" w:hAnsi="Times New Roman"/>
              </w:rPr>
            </w:pPr>
            <w:r w:rsidRPr="001A45BD">
              <w:rPr>
                <w:rFonts w:ascii="Times New Roman" w:hAnsi="Times New Roman"/>
              </w:rPr>
              <w:t>8 (11.</w:t>
            </w:r>
            <w:r w:rsidRPr="001A45BD">
              <w:rPr>
                <w:rFonts w:ascii="Times New Roman" w:hAnsi="Times New Roman" w:hint="eastAsia"/>
                <w:lang w:eastAsia="zh-CN"/>
              </w:rPr>
              <w:t>6</w:t>
            </w:r>
            <w:r w:rsidRPr="001A45BD">
              <w:rPr>
                <w:rFonts w:ascii="Times New Roman" w:hAnsi="Times New Roman"/>
              </w:rPr>
              <w:t>)</w:t>
            </w:r>
          </w:p>
        </w:tc>
        <w:tc>
          <w:tcPr>
            <w:tcW w:w="990" w:type="dxa"/>
          </w:tcPr>
          <w:p w14:paraId="0DAED980" w14:textId="77777777" w:rsidR="00EB05DA" w:rsidRPr="001A45BD" w:rsidRDefault="00EB05DA" w:rsidP="00CB7E5F">
            <w:pPr>
              <w:spacing w:after="0"/>
              <w:rPr>
                <w:rFonts w:ascii="Times New Roman" w:hAnsi="Times New Roman"/>
              </w:rPr>
            </w:pPr>
            <w:r w:rsidRPr="001A45BD">
              <w:rPr>
                <w:rFonts w:ascii="Times New Roman" w:hAnsi="Times New Roman"/>
              </w:rPr>
              <w:t>10 (14.1)</w:t>
            </w:r>
          </w:p>
        </w:tc>
        <w:tc>
          <w:tcPr>
            <w:tcW w:w="1026" w:type="dxa"/>
          </w:tcPr>
          <w:p w14:paraId="07DAB51B" w14:textId="77777777" w:rsidR="00EB05DA" w:rsidRPr="001A45BD" w:rsidRDefault="00EB05DA" w:rsidP="00CB7E5F">
            <w:pPr>
              <w:spacing w:after="0"/>
              <w:rPr>
                <w:rFonts w:ascii="Times New Roman" w:hAnsi="Times New Roman"/>
              </w:rPr>
            </w:pPr>
            <w:r w:rsidRPr="001A45BD">
              <w:rPr>
                <w:rFonts w:ascii="Times New Roman" w:hAnsi="Times New Roman"/>
              </w:rPr>
              <w:t>8 (12.9)</w:t>
            </w:r>
          </w:p>
        </w:tc>
      </w:tr>
      <w:tr w:rsidR="00EB05DA" w:rsidRPr="001A45BD" w14:paraId="7A7ED7D1" w14:textId="77777777" w:rsidTr="00CB7E5F">
        <w:tc>
          <w:tcPr>
            <w:tcW w:w="2817" w:type="dxa"/>
          </w:tcPr>
          <w:p w14:paraId="1B4A71E6" w14:textId="77777777" w:rsidR="00EB05DA" w:rsidRPr="001A45BD" w:rsidRDefault="00EB05DA" w:rsidP="00CB7E5F">
            <w:pPr>
              <w:spacing w:after="0"/>
              <w:rPr>
                <w:rFonts w:ascii="Times New Roman" w:hAnsi="Times New Roman"/>
              </w:rPr>
            </w:pPr>
            <w:r w:rsidRPr="001A45BD">
              <w:rPr>
                <w:rFonts w:ascii="Times New Roman" w:hAnsi="Times New Roman"/>
              </w:rPr>
              <w:t>Education-Schools &amp; Admin.</w:t>
            </w:r>
          </w:p>
        </w:tc>
        <w:tc>
          <w:tcPr>
            <w:tcW w:w="1125" w:type="dxa"/>
          </w:tcPr>
          <w:p w14:paraId="1200496B" w14:textId="77777777" w:rsidR="00EB05DA" w:rsidRPr="001A45BD" w:rsidRDefault="00EB05DA" w:rsidP="00CB7E5F">
            <w:pPr>
              <w:spacing w:after="0"/>
              <w:rPr>
                <w:rFonts w:ascii="Times New Roman" w:hAnsi="Times New Roman"/>
                <w:color w:val="000000"/>
              </w:rPr>
            </w:pPr>
            <w:r w:rsidRPr="001A45BD">
              <w:rPr>
                <w:rFonts w:ascii="Times New Roman" w:hAnsi="Times New Roman"/>
                <w:lang w:eastAsia="zh-CN"/>
              </w:rPr>
              <w:t xml:space="preserve">3 </w:t>
            </w:r>
            <w:r w:rsidRPr="001A45BD">
              <w:rPr>
                <w:rFonts w:ascii="Times New Roman" w:hAnsi="Times New Roman"/>
              </w:rPr>
              <w:t>(</w:t>
            </w:r>
            <w:r w:rsidRPr="001A45BD">
              <w:rPr>
                <w:rFonts w:ascii="Times New Roman" w:hAnsi="Times New Roman"/>
                <w:color w:val="000000"/>
              </w:rPr>
              <w:t>13.0</w:t>
            </w:r>
            <w:r w:rsidRPr="001A45BD">
              <w:rPr>
                <w:rFonts w:ascii="Times New Roman" w:hAnsi="Times New Roman"/>
              </w:rPr>
              <w:t>)</w:t>
            </w:r>
          </w:p>
        </w:tc>
        <w:tc>
          <w:tcPr>
            <w:tcW w:w="990" w:type="dxa"/>
          </w:tcPr>
          <w:p w14:paraId="300D3E93" w14:textId="77777777" w:rsidR="00EB05DA" w:rsidRPr="001A45BD" w:rsidRDefault="00EB05DA" w:rsidP="00CB7E5F">
            <w:pPr>
              <w:spacing w:after="0"/>
              <w:rPr>
                <w:rFonts w:ascii="Times New Roman" w:hAnsi="Times New Roman"/>
              </w:rPr>
            </w:pPr>
            <w:r w:rsidRPr="001A45BD">
              <w:rPr>
                <w:rFonts w:ascii="Times New Roman" w:hAnsi="Times New Roman"/>
              </w:rPr>
              <w:t>3 (</w:t>
            </w:r>
            <w:r w:rsidRPr="001A45BD">
              <w:rPr>
                <w:rFonts w:ascii="Times New Roman" w:hAnsi="Times New Roman"/>
                <w:lang w:eastAsia="zh-CN"/>
              </w:rPr>
              <w:t>11.5</w:t>
            </w:r>
            <w:r w:rsidRPr="001A45BD">
              <w:rPr>
                <w:rFonts w:ascii="Times New Roman" w:hAnsi="Times New Roman"/>
              </w:rPr>
              <w:t>)</w:t>
            </w:r>
          </w:p>
        </w:tc>
        <w:tc>
          <w:tcPr>
            <w:tcW w:w="990" w:type="dxa"/>
          </w:tcPr>
          <w:p w14:paraId="072669CB"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5</w:t>
            </w:r>
            <w:r w:rsidRPr="001A45BD">
              <w:rPr>
                <w:rFonts w:ascii="Times New Roman" w:hAnsi="Times New Roman"/>
                <w:lang w:eastAsia="zh-CN"/>
              </w:rPr>
              <w:t xml:space="preserve"> </w:t>
            </w:r>
            <w:r w:rsidRPr="001A45BD">
              <w:rPr>
                <w:rFonts w:ascii="Times New Roman" w:hAnsi="Times New Roman"/>
              </w:rPr>
              <w:t>(</w:t>
            </w:r>
            <w:r w:rsidRPr="001A45BD">
              <w:rPr>
                <w:rFonts w:ascii="Times New Roman" w:hAnsi="Times New Roman" w:hint="eastAsia"/>
                <w:lang w:eastAsia="zh-CN"/>
              </w:rPr>
              <w:t>35.7</w:t>
            </w:r>
            <w:r w:rsidRPr="001A45BD">
              <w:rPr>
                <w:rFonts w:ascii="Times New Roman" w:hAnsi="Times New Roman"/>
              </w:rPr>
              <w:t>)</w:t>
            </w:r>
          </w:p>
        </w:tc>
        <w:tc>
          <w:tcPr>
            <w:tcW w:w="990" w:type="dxa"/>
          </w:tcPr>
          <w:p w14:paraId="67B542CC"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5</w:t>
            </w:r>
            <w:r w:rsidRPr="001A45BD">
              <w:rPr>
                <w:rFonts w:ascii="Times New Roman" w:hAnsi="Times New Roman"/>
                <w:lang w:eastAsia="zh-CN"/>
              </w:rPr>
              <w:t xml:space="preserve"> </w:t>
            </w:r>
            <w:r w:rsidRPr="001A45BD">
              <w:rPr>
                <w:rFonts w:ascii="Times New Roman" w:hAnsi="Times New Roman"/>
              </w:rPr>
              <w:t>(</w:t>
            </w:r>
            <w:r w:rsidRPr="001A45BD">
              <w:rPr>
                <w:rFonts w:ascii="Times New Roman" w:hAnsi="Times New Roman" w:hint="eastAsia"/>
                <w:lang w:eastAsia="zh-CN"/>
              </w:rPr>
              <w:t>33.3</w:t>
            </w:r>
            <w:r w:rsidRPr="001A45BD">
              <w:rPr>
                <w:rFonts w:ascii="Times New Roman" w:hAnsi="Times New Roman"/>
              </w:rPr>
              <w:t>)</w:t>
            </w:r>
          </w:p>
        </w:tc>
        <w:tc>
          <w:tcPr>
            <w:tcW w:w="990" w:type="dxa"/>
          </w:tcPr>
          <w:p w14:paraId="2FD072D6"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4</w:t>
            </w:r>
            <w:r w:rsidRPr="001A45BD">
              <w:rPr>
                <w:rFonts w:ascii="Times New Roman" w:hAnsi="Times New Roman"/>
                <w:lang w:eastAsia="zh-CN"/>
              </w:rPr>
              <w:t xml:space="preserve"> </w:t>
            </w:r>
            <w:r w:rsidRPr="001A45BD">
              <w:rPr>
                <w:rFonts w:ascii="Times New Roman" w:hAnsi="Times New Roman"/>
              </w:rPr>
              <w:t>(</w:t>
            </w:r>
            <w:r w:rsidRPr="001A45BD">
              <w:rPr>
                <w:rFonts w:ascii="Times New Roman" w:hAnsi="Times New Roman" w:hint="eastAsia"/>
                <w:lang w:eastAsia="zh-CN"/>
              </w:rPr>
              <w:t>30.8</w:t>
            </w:r>
            <w:r w:rsidRPr="001A45BD">
              <w:rPr>
                <w:rFonts w:ascii="Times New Roman" w:hAnsi="Times New Roman"/>
              </w:rPr>
              <w:t>)</w:t>
            </w:r>
          </w:p>
        </w:tc>
        <w:tc>
          <w:tcPr>
            <w:tcW w:w="1170" w:type="dxa"/>
          </w:tcPr>
          <w:p w14:paraId="6AD256B4"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10</w:t>
            </w:r>
            <w:r w:rsidRPr="001A45BD">
              <w:rPr>
                <w:rFonts w:ascii="Times New Roman" w:hAnsi="Times New Roman"/>
                <w:lang w:eastAsia="zh-CN"/>
              </w:rPr>
              <w:t xml:space="preserve"> </w:t>
            </w:r>
            <w:r w:rsidRPr="001A45BD">
              <w:rPr>
                <w:rFonts w:ascii="Times New Roman" w:hAnsi="Times New Roman"/>
              </w:rPr>
              <w:t>(</w:t>
            </w:r>
            <w:r w:rsidRPr="001A45BD">
              <w:rPr>
                <w:rFonts w:ascii="Times New Roman" w:hAnsi="Times New Roman" w:hint="eastAsia"/>
                <w:lang w:eastAsia="zh-CN"/>
              </w:rPr>
              <w:t>15.2</w:t>
            </w:r>
            <w:r w:rsidRPr="001A45BD">
              <w:rPr>
                <w:rFonts w:ascii="Times New Roman" w:hAnsi="Times New Roman"/>
              </w:rPr>
              <w:t>)</w:t>
            </w:r>
          </w:p>
        </w:tc>
        <w:tc>
          <w:tcPr>
            <w:tcW w:w="1080" w:type="dxa"/>
          </w:tcPr>
          <w:p w14:paraId="225524DD"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1</w:t>
            </w:r>
            <w:r w:rsidRPr="001A45BD">
              <w:rPr>
                <w:rFonts w:ascii="Times New Roman" w:hAnsi="Times New Roman"/>
                <w:lang w:eastAsia="zh-CN"/>
              </w:rPr>
              <w:t xml:space="preserve">3 </w:t>
            </w:r>
            <w:r w:rsidRPr="001A45BD">
              <w:rPr>
                <w:rFonts w:ascii="Times New Roman" w:hAnsi="Times New Roman"/>
              </w:rPr>
              <w:t>(</w:t>
            </w:r>
            <w:r w:rsidRPr="001A45BD">
              <w:rPr>
                <w:rFonts w:ascii="Times New Roman" w:hAnsi="Times New Roman" w:hint="eastAsia"/>
                <w:lang w:eastAsia="zh-CN"/>
              </w:rPr>
              <w:t>18.3</w:t>
            </w:r>
            <w:r w:rsidRPr="001A45BD">
              <w:rPr>
                <w:rFonts w:ascii="Times New Roman" w:hAnsi="Times New Roman"/>
              </w:rPr>
              <w:t>)</w:t>
            </w:r>
          </w:p>
        </w:tc>
        <w:tc>
          <w:tcPr>
            <w:tcW w:w="1080" w:type="dxa"/>
          </w:tcPr>
          <w:p w14:paraId="3773F44C"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1</w:t>
            </w:r>
            <w:r w:rsidRPr="001A45BD">
              <w:rPr>
                <w:rFonts w:ascii="Times New Roman" w:hAnsi="Times New Roman"/>
                <w:lang w:eastAsia="zh-CN"/>
              </w:rPr>
              <w:t xml:space="preserve">5 </w:t>
            </w:r>
            <w:r w:rsidRPr="001A45BD">
              <w:rPr>
                <w:rFonts w:ascii="Times New Roman" w:hAnsi="Times New Roman"/>
              </w:rPr>
              <w:t>(</w:t>
            </w:r>
            <w:r w:rsidRPr="001A45BD">
              <w:rPr>
                <w:rFonts w:ascii="Times New Roman" w:hAnsi="Times New Roman" w:hint="eastAsia"/>
                <w:lang w:eastAsia="zh-CN"/>
              </w:rPr>
              <w:t>21.7</w:t>
            </w:r>
            <w:r w:rsidRPr="001A45BD">
              <w:rPr>
                <w:rFonts w:ascii="Times New Roman" w:hAnsi="Times New Roman"/>
              </w:rPr>
              <w:t>)</w:t>
            </w:r>
          </w:p>
        </w:tc>
        <w:tc>
          <w:tcPr>
            <w:tcW w:w="990" w:type="dxa"/>
          </w:tcPr>
          <w:p w14:paraId="766FE26B"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1</w:t>
            </w:r>
            <w:r w:rsidRPr="001A45BD">
              <w:rPr>
                <w:rFonts w:ascii="Times New Roman" w:hAnsi="Times New Roman"/>
                <w:lang w:eastAsia="zh-CN"/>
              </w:rPr>
              <w:t xml:space="preserve">4 </w:t>
            </w:r>
            <w:r w:rsidRPr="001A45BD">
              <w:rPr>
                <w:rFonts w:ascii="Times New Roman" w:hAnsi="Times New Roman"/>
              </w:rPr>
              <w:t>(19.7)</w:t>
            </w:r>
          </w:p>
        </w:tc>
        <w:tc>
          <w:tcPr>
            <w:tcW w:w="1026" w:type="dxa"/>
          </w:tcPr>
          <w:p w14:paraId="3D4E28C5" w14:textId="77777777" w:rsidR="00EB05DA" w:rsidRPr="001A45BD" w:rsidRDefault="00EB05DA" w:rsidP="00CB7E5F">
            <w:pPr>
              <w:spacing w:after="0"/>
              <w:rPr>
                <w:rFonts w:ascii="Times New Roman" w:hAnsi="Times New Roman"/>
              </w:rPr>
            </w:pPr>
            <w:r w:rsidRPr="001A45BD">
              <w:rPr>
                <w:rFonts w:ascii="Times New Roman" w:hAnsi="Times New Roman" w:hint="eastAsia"/>
                <w:lang w:eastAsia="zh-CN"/>
              </w:rPr>
              <w:t>1</w:t>
            </w:r>
            <w:r w:rsidRPr="001A45BD">
              <w:rPr>
                <w:rFonts w:ascii="Times New Roman" w:hAnsi="Times New Roman"/>
                <w:lang w:eastAsia="zh-CN"/>
              </w:rPr>
              <w:t xml:space="preserve">2 </w:t>
            </w:r>
            <w:r w:rsidRPr="001A45BD">
              <w:rPr>
                <w:rFonts w:ascii="Times New Roman" w:hAnsi="Times New Roman"/>
              </w:rPr>
              <w:t>(19.4)</w:t>
            </w:r>
          </w:p>
        </w:tc>
      </w:tr>
      <w:tr w:rsidR="00EB05DA" w:rsidRPr="001A45BD" w14:paraId="1FB12EA3" w14:textId="77777777" w:rsidTr="00CB7E5F">
        <w:tc>
          <w:tcPr>
            <w:tcW w:w="2817" w:type="dxa"/>
          </w:tcPr>
          <w:p w14:paraId="6F2A6D5A" w14:textId="77777777" w:rsidR="00EB05DA" w:rsidRPr="001A45BD" w:rsidRDefault="00EB05DA" w:rsidP="00CB7E5F">
            <w:pPr>
              <w:spacing w:after="0"/>
              <w:rPr>
                <w:rFonts w:ascii="Times New Roman" w:hAnsi="Times New Roman"/>
              </w:rPr>
            </w:pPr>
            <w:r w:rsidRPr="001A45BD">
              <w:rPr>
                <w:rFonts w:ascii="Times New Roman" w:hAnsi="Times New Roman"/>
              </w:rPr>
              <w:t>Municipal Administration</w:t>
            </w:r>
          </w:p>
        </w:tc>
        <w:tc>
          <w:tcPr>
            <w:tcW w:w="1125" w:type="dxa"/>
          </w:tcPr>
          <w:p w14:paraId="49B1FC6C" w14:textId="77777777" w:rsidR="00EB05DA" w:rsidRPr="001A45BD" w:rsidRDefault="00EB05DA" w:rsidP="00CB7E5F">
            <w:pPr>
              <w:spacing w:after="0"/>
              <w:rPr>
                <w:rFonts w:ascii="Times New Roman" w:hAnsi="Times New Roman"/>
              </w:rPr>
            </w:pPr>
            <w:r w:rsidRPr="001A45BD">
              <w:rPr>
                <w:rFonts w:ascii="Times New Roman" w:hAnsi="Times New Roman"/>
              </w:rPr>
              <w:t>1 (4.3)</w:t>
            </w:r>
          </w:p>
        </w:tc>
        <w:tc>
          <w:tcPr>
            <w:tcW w:w="990" w:type="dxa"/>
          </w:tcPr>
          <w:p w14:paraId="4C2D9646" w14:textId="77777777" w:rsidR="00EB05DA" w:rsidRPr="001A45BD" w:rsidRDefault="00EB05DA" w:rsidP="00CB7E5F">
            <w:pPr>
              <w:spacing w:after="0"/>
              <w:rPr>
                <w:rFonts w:ascii="Times New Roman" w:hAnsi="Times New Roman"/>
              </w:rPr>
            </w:pPr>
            <w:r w:rsidRPr="001A45BD">
              <w:rPr>
                <w:rFonts w:ascii="Times New Roman" w:hAnsi="Times New Roman"/>
              </w:rPr>
              <w:t>1 (3.8)</w:t>
            </w:r>
          </w:p>
        </w:tc>
        <w:tc>
          <w:tcPr>
            <w:tcW w:w="990" w:type="dxa"/>
          </w:tcPr>
          <w:p w14:paraId="0BEAC982" w14:textId="77777777" w:rsidR="00EB05DA" w:rsidRPr="001A45BD" w:rsidRDefault="00EB05DA" w:rsidP="00CB7E5F">
            <w:pPr>
              <w:spacing w:after="0"/>
              <w:rPr>
                <w:rFonts w:ascii="Times New Roman" w:hAnsi="Times New Roman"/>
              </w:rPr>
            </w:pPr>
            <w:r w:rsidRPr="001A45BD">
              <w:rPr>
                <w:rFonts w:ascii="Times New Roman" w:hAnsi="Times New Roman"/>
              </w:rPr>
              <w:t>1 (</w:t>
            </w:r>
            <w:r w:rsidRPr="001A45BD">
              <w:rPr>
                <w:rFonts w:ascii="Times New Roman" w:hAnsi="Times New Roman"/>
                <w:lang w:eastAsia="zh-CN"/>
              </w:rPr>
              <w:t>7.1</w:t>
            </w:r>
            <w:r w:rsidRPr="001A45BD">
              <w:rPr>
                <w:rFonts w:ascii="Times New Roman" w:hAnsi="Times New Roman"/>
              </w:rPr>
              <w:t>)</w:t>
            </w:r>
          </w:p>
        </w:tc>
        <w:tc>
          <w:tcPr>
            <w:tcW w:w="990" w:type="dxa"/>
          </w:tcPr>
          <w:p w14:paraId="49413E0B" w14:textId="77777777" w:rsidR="00EB05DA" w:rsidRPr="001A45BD" w:rsidRDefault="00EB05DA" w:rsidP="00CB7E5F">
            <w:pPr>
              <w:spacing w:after="0"/>
              <w:rPr>
                <w:rFonts w:ascii="Times New Roman" w:hAnsi="Times New Roman"/>
              </w:rPr>
            </w:pPr>
            <w:r w:rsidRPr="001A45BD">
              <w:rPr>
                <w:rFonts w:ascii="Times New Roman" w:hAnsi="Times New Roman"/>
              </w:rPr>
              <w:t>1 (6.7)</w:t>
            </w:r>
          </w:p>
        </w:tc>
        <w:tc>
          <w:tcPr>
            <w:tcW w:w="990" w:type="dxa"/>
          </w:tcPr>
          <w:p w14:paraId="66F60037"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1170" w:type="dxa"/>
          </w:tcPr>
          <w:p w14:paraId="06731E1E"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lang w:eastAsia="zh-CN"/>
              </w:rPr>
              <w:t>3.0</w:t>
            </w:r>
            <w:r w:rsidRPr="001A45BD">
              <w:rPr>
                <w:rFonts w:ascii="Times New Roman" w:hAnsi="Times New Roman"/>
              </w:rPr>
              <w:t>)</w:t>
            </w:r>
          </w:p>
        </w:tc>
        <w:tc>
          <w:tcPr>
            <w:tcW w:w="1080" w:type="dxa"/>
          </w:tcPr>
          <w:p w14:paraId="09571A1A" w14:textId="77777777" w:rsidR="00EB05DA" w:rsidRPr="001A45BD" w:rsidRDefault="00EB05DA" w:rsidP="00CB7E5F">
            <w:pPr>
              <w:spacing w:after="0"/>
              <w:rPr>
                <w:rFonts w:ascii="Times New Roman" w:hAnsi="Times New Roman"/>
              </w:rPr>
            </w:pPr>
            <w:r w:rsidRPr="001A45BD">
              <w:rPr>
                <w:rFonts w:ascii="Times New Roman" w:hAnsi="Times New Roman"/>
              </w:rPr>
              <w:t>3 (</w:t>
            </w:r>
            <w:r w:rsidRPr="001A45BD">
              <w:rPr>
                <w:rFonts w:ascii="Times New Roman" w:hAnsi="Times New Roman"/>
                <w:lang w:eastAsia="zh-CN"/>
              </w:rPr>
              <w:t>4.2</w:t>
            </w:r>
            <w:r w:rsidRPr="001A45BD">
              <w:rPr>
                <w:rFonts w:ascii="Times New Roman" w:hAnsi="Times New Roman"/>
              </w:rPr>
              <w:t>)</w:t>
            </w:r>
          </w:p>
        </w:tc>
        <w:tc>
          <w:tcPr>
            <w:tcW w:w="1080" w:type="dxa"/>
          </w:tcPr>
          <w:p w14:paraId="6D910992" w14:textId="77777777" w:rsidR="00EB05DA" w:rsidRPr="001A45BD" w:rsidRDefault="00EB05DA" w:rsidP="00CB7E5F">
            <w:pPr>
              <w:spacing w:after="0"/>
              <w:rPr>
                <w:rFonts w:ascii="Times New Roman" w:hAnsi="Times New Roman"/>
              </w:rPr>
            </w:pPr>
            <w:r w:rsidRPr="001A45BD">
              <w:rPr>
                <w:rFonts w:ascii="Times New Roman" w:hAnsi="Times New Roman"/>
              </w:rPr>
              <w:t>2 (2.9)</w:t>
            </w:r>
          </w:p>
        </w:tc>
        <w:tc>
          <w:tcPr>
            <w:tcW w:w="990" w:type="dxa"/>
          </w:tcPr>
          <w:p w14:paraId="702913BB" w14:textId="77777777" w:rsidR="00EB05DA" w:rsidRPr="001A45BD" w:rsidRDefault="00EB05DA" w:rsidP="00CB7E5F">
            <w:pPr>
              <w:spacing w:after="0"/>
              <w:rPr>
                <w:rFonts w:ascii="Times New Roman" w:hAnsi="Times New Roman"/>
              </w:rPr>
            </w:pPr>
            <w:r w:rsidRPr="001A45BD">
              <w:rPr>
                <w:rFonts w:ascii="Times New Roman" w:hAnsi="Times New Roman"/>
              </w:rPr>
              <w:t>3 (4.2)</w:t>
            </w:r>
          </w:p>
        </w:tc>
        <w:tc>
          <w:tcPr>
            <w:tcW w:w="1026" w:type="dxa"/>
          </w:tcPr>
          <w:p w14:paraId="72E6EA23" w14:textId="77777777" w:rsidR="00EB05DA" w:rsidRPr="001A45BD" w:rsidRDefault="00EB05DA" w:rsidP="00CB7E5F">
            <w:pPr>
              <w:spacing w:after="0"/>
              <w:rPr>
                <w:rFonts w:ascii="Times New Roman" w:hAnsi="Times New Roman"/>
              </w:rPr>
            </w:pPr>
            <w:r w:rsidRPr="001A45BD">
              <w:rPr>
                <w:rFonts w:ascii="Times New Roman" w:hAnsi="Times New Roman"/>
              </w:rPr>
              <w:t>4 (6.5)</w:t>
            </w:r>
          </w:p>
        </w:tc>
      </w:tr>
      <w:tr w:rsidR="00EB05DA" w:rsidRPr="001A45BD" w14:paraId="7E6814AA" w14:textId="77777777" w:rsidTr="00CB7E5F">
        <w:tc>
          <w:tcPr>
            <w:tcW w:w="2817" w:type="dxa"/>
          </w:tcPr>
          <w:p w14:paraId="6B56E8AC" w14:textId="4110ADE1" w:rsidR="00EB05DA" w:rsidRPr="001A45BD" w:rsidRDefault="00EB05DA" w:rsidP="00CB7E5F">
            <w:pPr>
              <w:spacing w:after="0"/>
              <w:rPr>
                <w:rFonts w:ascii="Times New Roman" w:hAnsi="Times New Roman"/>
              </w:rPr>
            </w:pPr>
            <w:r w:rsidRPr="001A45BD">
              <w:rPr>
                <w:rFonts w:ascii="Times New Roman" w:hAnsi="Times New Roman"/>
              </w:rPr>
              <w:t>Health/Mental Health</w:t>
            </w:r>
          </w:p>
        </w:tc>
        <w:tc>
          <w:tcPr>
            <w:tcW w:w="1125" w:type="dxa"/>
          </w:tcPr>
          <w:p w14:paraId="0028F6F0" w14:textId="77777777" w:rsidR="00EB05DA" w:rsidRPr="001A45BD" w:rsidRDefault="00EB05DA" w:rsidP="00CB7E5F">
            <w:pPr>
              <w:spacing w:after="0"/>
              <w:rPr>
                <w:rFonts w:ascii="Times New Roman" w:hAnsi="Times New Roman"/>
              </w:rPr>
            </w:pPr>
            <w:r w:rsidRPr="001A45BD">
              <w:rPr>
                <w:rFonts w:ascii="Times New Roman" w:hAnsi="Times New Roman"/>
              </w:rPr>
              <w:t>1 (</w:t>
            </w:r>
            <w:r w:rsidRPr="001A45BD">
              <w:rPr>
                <w:rFonts w:ascii="Times New Roman" w:hAnsi="Times New Roman"/>
                <w:lang w:eastAsia="zh-CN"/>
              </w:rPr>
              <w:t>4.3</w:t>
            </w:r>
            <w:r w:rsidRPr="001A45BD">
              <w:rPr>
                <w:rFonts w:ascii="Times New Roman" w:hAnsi="Times New Roman"/>
              </w:rPr>
              <w:t>)</w:t>
            </w:r>
          </w:p>
        </w:tc>
        <w:tc>
          <w:tcPr>
            <w:tcW w:w="990" w:type="dxa"/>
          </w:tcPr>
          <w:p w14:paraId="3E9610C2"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lang w:eastAsia="zh-CN"/>
              </w:rPr>
              <w:t>7.7</w:t>
            </w:r>
            <w:r w:rsidRPr="001A45BD">
              <w:rPr>
                <w:rFonts w:ascii="Times New Roman" w:hAnsi="Times New Roman"/>
              </w:rPr>
              <w:t>)</w:t>
            </w:r>
          </w:p>
        </w:tc>
        <w:tc>
          <w:tcPr>
            <w:tcW w:w="990" w:type="dxa"/>
          </w:tcPr>
          <w:p w14:paraId="1E0DA577"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lang w:eastAsia="zh-CN"/>
              </w:rPr>
              <w:t>14.3</w:t>
            </w:r>
            <w:r w:rsidRPr="001A45BD">
              <w:rPr>
                <w:rFonts w:ascii="Times New Roman" w:hAnsi="Times New Roman"/>
              </w:rPr>
              <w:t>)</w:t>
            </w:r>
          </w:p>
        </w:tc>
        <w:tc>
          <w:tcPr>
            <w:tcW w:w="990" w:type="dxa"/>
          </w:tcPr>
          <w:p w14:paraId="0C9196EF" w14:textId="77777777" w:rsidR="00EB05DA" w:rsidRPr="001A45BD" w:rsidRDefault="00EB05DA" w:rsidP="00CB7E5F">
            <w:pPr>
              <w:spacing w:after="0"/>
              <w:rPr>
                <w:rFonts w:ascii="Times New Roman" w:hAnsi="Times New Roman"/>
              </w:rPr>
            </w:pPr>
            <w:r w:rsidRPr="001A45BD">
              <w:rPr>
                <w:rFonts w:ascii="Times New Roman" w:hAnsi="Times New Roman"/>
              </w:rPr>
              <w:t>2 (13.3)</w:t>
            </w:r>
          </w:p>
        </w:tc>
        <w:tc>
          <w:tcPr>
            <w:tcW w:w="990" w:type="dxa"/>
          </w:tcPr>
          <w:p w14:paraId="4857F3FD" w14:textId="77777777" w:rsidR="00EB05DA" w:rsidRPr="001A45BD" w:rsidRDefault="00EB05DA" w:rsidP="00CB7E5F">
            <w:pPr>
              <w:spacing w:after="0"/>
              <w:rPr>
                <w:rFonts w:ascii="Times New Roman" w:hAnsi="Times New Roman"/>
              </w:rPr>
            </w:pPr>
            <w:r w:rsidRPr="001A45BD">
              <w:rPr>
                <w:rFonts w:ascii="Times New Roman" w:hAnsi="Times New Roman"/>
              </w:rPr>
              <w:t>1 (7.7)</w:t>
            </w:r>
          </w:p>
        </w:tc>
        <w:tc>
          <w:tcPr>
            <w:tcW w:w="1170" w:type="dxa"/>
          </w:tcPr>
          <w:p w14:paraId="71380E58" w14:textId="77777777" w:rsidR="00EB05DA" w:rsidRPr="001A45BD" w:rsidRDefault="00EB05DA" w:rsidP="00CB7E5F">
            <w:pPr>
              <w:spacing w:after="0"/>
              <w:rPr>
                <w:rFonts w:ascii="Times New Roman" w:hAnsi="Times New Roman"/>
              </w:rPr>
            </w:pPr>
            <w:r w:rsidRPr="001A45BD">
              <w:rPr>
                <w:rFonts w:ascii="Times New Roman" w:hAnsi="Times New Roman"/>
              </w:rPr>
              <w:t>7 (</w:t>
            </w:r>
            <w:r w:rsidRPr="001A45BD">
              <w:rPr>
                <w:rFonts w:ascii="Times New Roman" w:hAnsi="Times New Roman"/>
                <w:lang w:eastAsia="zh-CN"/>
              </w:rPr>
              <w:t>10.6</w:t>
            </w:r>
            <w:r w:rsidRPr="001A45BD">
              <w:rPr>
                <w:rFonts w:ascii="Times New Roman" w:hAnsi="Times New Roman"/>
              </w:rPr>
              <w:t>)</w:t>
            </w:r>
          </w:p>
        </w:tc>
        <w:tc>
          <w:tcPr>
            <w:tcW w:w="1080" w:type="dxa"/>
          </w:tcPr>
          <w:p w14:paraId="0E8B3338" w14:textId="77777777" w:rsidR="00EB05DA" w:rsidRPr="001A45BD" w:rsidRDefault="00EB05DA" w:rsidP="00CB7E5F">
            <w:pPr>
              <w:spacing w:after="0"/>
              <w:rPr>
                <w:rFonts w:ascii="Times New Roman" w:hAnsi="Times New Roman"/>
              </w:rPr>
            </w:pPr>
            <w:r w:rsidRPr="001A45BD">
              <w:rPr>
                <w:rFonts w:ascii="Times New Roman" w:hAnsi="Times New Roman"/>
              </w:rPr>
              <w:t>8 (</w:t>
            </w:r>
            <w:r w:rsidRPr="001A45BD">
              <w:rPr>
                <w:rFonts w:ascii="Times New Roman" w:hAnsi="Times New Roman"/>
                <w:lang w:eastAsia="zh-CN"/>
              </w:rPr>
              <w:t>11.3</w:t>
            </w:r>
            <w:r w:rsidRPr="001A45BD">
              <w:rPr>
                <w:rFonts w:ascii="Times New Roman" w:hAnsi="Times New Roman"/>
              </w:rPr>
              <w:t>)</w:t>
            </w:r>
          </w:p>
        </w:tc>
        <w:tc>
          <w:tcPr>
            <w:tcW w:w="1080" w:type="dxa"/>
          </w:tcPr>
          <w:p w14:paraId="0D389887" w14:textId="77777777" w:rsidR="00EB05DA" w:rsidRPr="001A45BD" w:rsidRDefault="00EB05DA" w:rsidP="00CB7E5F">
            <w:pPr>
              <w:spacing w:after="0"/>
              <w:rPr>
                <w:rFonts w:ascii="Times New Roman" w:hAnsi="Times New Roman"/>
              </w:rPr>
            </w:pPr>
            <w:r w:rsidRPr="001A45BD">
              <w:rPr>
                <w:rFonts w:ascii="Times New Roman" w:hAnsi="Times New Roman"/>
              </w:rPr>
              <w:t>6 (</w:t>
            </w:r>
            <w:r w:rsidRPr="001A45BD">
              <w:rPr>
                <w:rFonts w:ascii="Times New Roman" w:hAnsi="Times New Roman"/>
                <w:lang w:eastAsia="zh-CN"/>
              </w:rPr>
              <w:t>8.7</w:t>
            </w:r>
            <w:r w:rsidRPr="001A45BD">
              <w:rPr>
                <w:rFonts w:ascii="Times New Roman" w:hAnsi="Times New Roman"/>
              </w:rPr>
              <w:t>)</w:t>
            </w:r>
          </w:p>
        </w:tc>
        <w:tc>
          <w:tcPr>
            <w:tcW w:w="990" w:type="dxa"/>
          </w:tcPr>
          <w:p w14:paraId="4F403AD3" w14:textId="77777777" w:rsidR="00EB05DA" w:rsidRPr="001A45BD" w:rsidRDefault="00EB05DA" w:rsidP="00CB7E5F">
            <w:pPr>
              <w:spacing w:after="0"/>
              <w:rPr>
                <w:rFonts w:ascii="Times New Roman" w:hAnsi="Times New Roman"/>
              </w:rPr>
            </w:pPr>
            <w:r w:rsidRPr="001A45BD">
              <w:rPr>
                <w:rFonts w:ascii="Times New Roman" w:hAnsi="Times New Roman"/>
              </w:rPr>
              <w:t>6 (</w:t>
            </w:r>
            <w:r w:rsidRPr="001A45BD">
              <w:rPr>
                <w:rFonts w:ascii="Times New Roman" w:hAnsi="Times New Roman"/>
                <w:lang w:eastAsia="zh-CN"/>
              </w:rPr>
              <w:t>8.5</w:t>
            </w:r>
            <w:r w:rsidRPr="001A45BD">
              <w:rPr>
                <w:rFonts w:ascii="Times New Roman" w:hAnsi="Times New Roman"/>
              </w:rPr>
              <w:t>)</w:t>
            </w:r>
          </w:p>
        </w:tc>
        <w:tc>
          <w:tcPr>
            <w:tcW w:w="1026" w:type="dxa"/>
          </w:tcPr>
          <w:p w14:paraId="6E1D8AF0" w14:textId="77777777" w:rsidR="00EB05DA" w:rsidRPr="001A45BD" w:rsidRDefault="00EB05DA" w:rsidP="00CB7E5F">
            <w:pPr>
              <w:spacing w:after="0"/>
              <w:rPr>
                <w:rFonts w:ascii="Times New Roman" w:hAnsi="Times New Roman"/>
              </w:rPr>
            </w:pPr>
            <w:r w:rsidRPr="001A45BD">
              <w:rPr>
                <w:rFonts w:ascii="Times New Roman" w:hAnsi="Times New Roman"/>
              </w:rPr>
              <w:t>4 (</w:t>
            </w:r>
            <w:r w:rsidRPr="001A45BD">
              <w:rPr>
                <w:rFonts w:ascii="Times New Roman" w:hAnsi="Times New Roman"/>
                <w:lang w:eastAsia="zh-CN"/>
              </w:rPr>
              <w:t>6.5</w:t>
            </w:r>
            <w:r w:rsidRPr="001A45BD">
              <w:rPr>
                <w:rFonts w:ascii="Times New Roman" w:hAnsi="Times New Roman"/>
              </w:rPr>
              <w:t>)</w:t>
            </w:r>
          </w:p>
        </w:tc>
      </w:tr>
      <w:tr w:rsidR="00EB05DA" w:rsidRPr="001A45BD" w14:paraId="28E5FAF7" w14:textId="77777777" w:rsidTr="00CB7E5F">
        <w:tc>
          <w:tcPr>
            <w:tcW w:w="2817" w:type="dxa"/>
          </w:tcPr>
          <w:p w14:paraId="79EDCB25" w14:textId="37EB633C" w:rsidR="00EB05DA" w:rsidRPr="001A45BD" w:rsidRDefault="00EB05DA" w:rsidP="000C65E7">
            <w:pPr>
              <w:spacing w:after="0"/>
              <w:rPr>
                <w:rFonts w:ascii="Times New Roman" w:hAnsi="Times New Roman"/>
              </w:rPr>
            </w:pPr>
            <w:r w:rsidRPr="001A45BD">
              <w:rPr>
                <w:rFonts w:ascii="Times New Roman" w:hAnsi="Times New Roman"/>
              </w:rPr>
              <w:t>Immigrant</w:t>
            </w:r>
          </w:p>
        </w:tc>
        <w:tc>
          <w:tcPr>
            <w:tcW w:w="1125" w:type="dxa"/>
          </w:tcPr>
          <w:p w14:paraId="3297415B"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6FB2FDB9" w14:textId="77777777" w:rsidR="00EB05DA" w:rsidRPr="001A45BD" w:rsidRDefault="00EB05DA" w:rsidP="00CB7E5F">
            <w:pPr>
              <w:spacing w:after="0"/>
              <w:rPr>
                <w:rFonts w:ascii="Times New Roman" w:hAnsi="Times New Roman"/>
              </w:rPr>
            </w:pPr>
            <w:r w:rsidRPr="001A45BD">
              <w:rPr>
                <w:rFonts w:ascii="Times New Roman" w:hAnsi="Times New Roman"/>
              </w:rPr>
              <w:t>1 (3.</w:t>
            </w:r>
            <w:r w:rsidRPr="001A45BD">
              <w:rPr>
                <w:rFonts w:ascii="Times New Roman" w:hAnsi="Times New Roman" w:hint="eastAsia"/>
                <w:lang w:eastAsia="zh-CN"/>
              </w:rPr>
              <w:t>8</w:t>
            </w:r>
            <w:r w:rsidRPr="001A45BD">
              <w:rPr>
                <w:rFonts w:ascii="Times New Roman" w:hAnsi="Times New Roman"/>
              </w:rPr>
              <w:t>)</w:t>
            </w:r>
          </w:p>
        </w:tc>
        <w:tc>
          <w:tcPr>
            <w:tcW w:w="990" w:type="dxa"/>
          </w:tcPr>
          <w:p w14:paraId="40BC8EDA"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1CC129B9"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396A6098"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1170" w:type="dxa"/>
          </w:tcPr>
          <w:p w14:paraId="41087E83" w14:textId="77777777" w:rsidR="00EB05DA" w:rsidRPr="001A45BD" w:rsidRDefault="00EB05DA" w:rsidP="00CB7E5F">
            <w:pPr>
              <w:spacing w:after="0"/>
              <w:rPr>
                <w:rFonts w:ascii="Times New Roman" w:hAnsi="Times New Roman"/>
              </w:rPr>
            </w:pPr>
            <w:r w:rsidRPr="001A45BD">
              <w:rPr>
                <w:rFonts w:ascii="Times New Roman" w:hAnsi="Times New Roman"/>
              </w:rPr>
              <w:t>4 (</w:t>
            </w:r>
            <w:r w:rsidRPr="001A45BD">
              <w:rPr>
                <w:rFonts w:ascii="Times New Roman" w:hAnsi="Times New Roman" w:hint="eastAsia"/>
                <w:lang w:eastAsia="zh-CN"/>
              </w:rPr>
              <w:t>6.1</w:t>
            </w:r>
            <w:r w:rsidRPr="001A45BD">
              <w:rPr>
                <w:rFonts w:ascii="Times New Roman" w:hAnsi="Times New Roman"/>
              </w:rPr>
              <w:t>)</w:t>
            </w:r>
          </w:p>
        </w:tc>
        <w:tc>
          <w:tcPr>
            <w:tcW w:w="1080" w:type="dxa"/>
          </w:tcPr>
          <w:p w14:paraId="7DEA3284" w14:textId="77777777" w:rsidR="00EB05DA" w:rsidRPr="001A45BD" w:rsidRDefault="00EB05DA" w:rsidP="00CB7E5F">
            <w:pPr>
              <w:spacing w:after="0"/>
              <w:rPr>
                <w:rFonts w:ascii="Times New Roman" w:hAnsi="Times New Roman"/>
              </w:rPr>
            </w:pPr>
            <w:r w:rsidRPr="001A45BD">
              <w:rPr>
                <w:rFonts w:ascii="Times New Roman" w:hAnsi="Times New Roman"/>
              </w:rPr>
              <w:t>4 (</w:t>
            </w:r>
            <w:r w:rsidRPr="001A45BD">
              <w:rPr>
                <w:rFonts w:ascii="Times New Roman" w:hAnsi="Times New Roman" w:hint="eastAsia"/>
                <w:lang w:eastAsia="zh-CN"/>
              </w:rPr>
              <w:t>5.6</w:t>
            </w:r>
            <w:r w:rsidRPr="001A45BD">
              <w:rPr>
                <w:rFonts w:ascii="Times New Roman" w:hAnsi="Times New Roman"/>
              </w:rPr>
              <w:t>)</w:t>
            </w:r>
          </w:p>
        </w:tc>
        <w:tc>
          <w:tcPr>
            <w:tcW w:w="1080" w:type="dxa"/>
          </w:tcPr>
          <w:p w14:paraId="1CA0E45F" w14:textId="77777777" w:rsidR="00EB05DA" w:rsidRPr="001A45BD" w:rsidRDefault="00EB05DA" w:rsidP="00CB7E5F">
            <w:pPr>
              <w:spacing w:after="0"/>
              <w:rPr>
                <w:rFonts w:ascii="Times New Roman" w:hAnsi="Times New Roman"/>
              </w:rPr>
            </w:pPr>
            <w:r w:rsidRPr="001A45BD">
              <w:rPr>
                <w:rFonts w:ascii="Times New Roman" w:hAnsi="Times New Roman"/>
              </w:rPr>
              <w:t>4 (5.</w:t>
            </w:r>
            <w:r w:rsidRPr="001A45BD">
              <w:rPr>
                <w:rFonts w:ascii="Times New Roman" w:hAnsi="Times New Roman" w:hint="eastAsia"/>
                <w:lang w:eastAsia="zh-CN"/>
              </w:rPr>
              <w:t>8</w:t>
            </w:r>
            <w:r w:rsidRPr="001A45BD">
              <w:rPr>
                <w:rFonts w:ascii="Times New Roman" w:hAnsi="Times New Roman"/>
              </w:rPr>
              <w:t>)</w:t>
            </w:r>
          </w:p>
        </w:tc>
        <w:tc>
          <w:tcPr>
            <w:tcW w:w="990" w:type="dxa"/>
          </w:tcPr>
          <w:p w14:paraId="6365D212" w14:textId="77777777" w:rsidR="00EB05DA" w:rsidRPr="001A45BD" w:rsidRDefault="00EB05DA" w:rsidP="00CB7E5F">
            <w:pPr>
              <w:spacing w:after="0"/>
              <w:rPr>
                <w:rFonts w:ascii="Times New Roman" w:hAnsi="Times New Roman"/>
              </w:rPr>
            </w:pPr>
            <w:r w:rsidRPr="001A45BD">
              <w:rPr>
                <w:rFonts w:ascii="Times New Roman" w:hAnsi="Times New Roman"/>
              </w:rPr>
              <w:t>4 (</w:t>
            </w:r>
            <w:r w:rsidRPr="001A45BD">
              <w:rPr>
                <w:rFonts w:ascii="Times New Roman" w:hAnsi="Times New Roman"/>
                <w:lang w:eastAsia="zh-CN"/>
              </w:rPr>
              <w:t>5.6</w:t>
            </w:r>
            <w:r w:rsidRPr="001A45BD">
              <w:rPr>
                <w:rFonts w:ascii="Times New Roman" w:hAnsi="Times New Roman"/>
              </w:rPr>
              <w:t>)</w:t>
            </w:r>
          </w:p>
        </w:tc>
        <w:tc>
          <w:tcPr>
            <w:tcW w:w="1026" w:type="dxa"/>
          </w:tcPr>
          <w:p w14:paraId="5438FA45" w14:textId="77777777" w:rsidR="00EB05DA" w:rsidRPr="001A45BD" w:rsidRDefault="00EB05DA" w:rsidP="00CB7E5F">
            <w:pPr>
              <w:spacing w:after="0"/>
              <w:rPr>
                <w:rFonts w:ascii="Times New Roman" w:hAnsi="Times New Roman"/>
              </w:rPr>
            </w:pPr>
            <w:r w:rsidRPr="001A45BD">
              <w:rPr>
                <w:rFonts w:ascii="Times New Roman" w:hAnsi="Times New Roman"/>
              </w:rPr>
              <w:t>3 (4.8)</w:t>
            </w:r>
          </w:p>
        </w:tc>
      </w:tr>
      <w:tr w:rsidR="00EB05DA" w:rsidRPr="001A45BD" w14:paraId="62EAED5C" w14:textId="77777777" w:rsidTr="00CB7E5F">
        <w:tc>
          <w:tcPr>
            <w:tcW w:w="2817" w:type="dxa"/>
          </w:tcPr>
          <w:p w14:paraId="19D99DAA" w14:textId="5C4ACE1C" w:rsidR="00EB05DA" w:rsidRPr="001A45BD" w:rsidRDefault="000C65E7" w:rsidP="00CB7E5F">
            <w:pPr>
              <w:spacing w:after="0"/>
              <w:rPr>
                <w:rFonts w:ascii="Times New Roman" w:hAnsi="Times New Roman"/>
              </w:rPr>
            </w:pPr>
            <w:r>
              <w:rPr>
                <w:rFonts w:ascii="Times New Roman" w:hAnsi="Times New Roman"/>
              </w:rPr>
              <w:t>Religious congregations</w:t>
            </w:r>
          </w:p>
        </w:tc>
        <w:tc>
          <w:tcPr>
            <w:tcW w:w="1125" w:type="dxa"/>
          </w:tcPr>
          <w:p w14:paraId="4C82449F"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3C8F54A4"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61AED8FD"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0BC751B5"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990" w:type="dxa"/>
          </w:tcPr>
          <w:p w14:paraId="78964087" w14:textId="77777777" w:rsidR="00EB05DA" w:rsidRPr="001A45BD" w:rsidRDefault="00EB05DA" w:rsidP="00CB7E5F">
            <w:pPr>
              <w:spacing w:after="0"/>
              <w:rPr>
                <w:rFonts w:ascii="Times New Roman" w:hAnsi="Times New Roman"/>
              </w:rPr>
            </w:pPr>
            <w:r w:rsidRPr="001A45BD">
              <w:rPr>
                <w:rFonts w:ascii="Times New Roman" w:hAnsi="Times New Roman"/>
              </w:rPr>
              <w:t>0 (0)</w:t>
            </w:r>
          </w:p>
        </w:tc>
        <w:tc>
          <w:tcPr>
            <w:tcW w:w="1170" w:type="dxa"/>
          </w:tcPr>
          <w:p w14:paraId="37366897" w14:textId="77777777" w:rsidR="00EB05DA" w:rsidRPr="001A45BD" w:rsidRDefault="00EB05DA" w:rsidP="00CB7E5F">
            <w:pPr>
              <w:spacing w:after="0"/>
              <w:rPr>
                <w:rFonts w:ascii="Times New Roman" w:hAnsi="Times New Roman"/>
              </w:rPr>
            </w:pPr>
            <w:r w:rsidRPr="001A45BD">
              <w:rPr>
                <w:rFonts w:ascii="Times New Roman" w:hAnsi="Times New Roman"/>
              </w:rPr>
              <w:t>2 (</w:t>
            </w:r>
            <w:r w:rsidRPr="001A45BD">
              <w:rPr>
                <w:rFonts w:ascii="Times New Roman" w:hAnsi="Times New Roman" w:hint="eastAsia"/>
                <w:lang w:eastAsia="zh-CN"/>
              </w:rPr>
              <w:t>3.0</w:t>
            </w:r>
            <w:r w:rsidRPr="001A45BD">
              <w:rPr>
                <w:rFonts w:ascii="Times New Roman" w:hAnsi="Times New Roman"/>
              </w:rPr>
              <w:t>)</w:t>
            </w:r>
          </w:p>
        </w:tc>
        <w:tc>
          <w:tcPr>
            <w:tcW w:w="1080" w:type="dxa"/>
          </w:tcPr>
          <w:p w14:paraId="3D5731E9" w14:textId="77777777" w:rsidR="00EB05DA" w:rsidRPr="001A45BD" w:rsidRDefault="00EB05DA" w:rsidP="00CB7E5F">
            <w:pPr>
              <w:spacing w:after="0"/>
              <w:rPr>
                <w:rFonts w:ascii="Times New Roman" w:hAnsi="Times New Roman"/>
              </w:rPr>
            </w:pPr>
            <w:r w:rsidRPr="001A45BD">
              <w:rPr>
                <w:rFonts w:ascii="Times New Roman" w:hAnsi="Times New Roman"/>
              </w:rPr>
              <w:t>6 (8.</w:t>
            </w:r>
            <w:r w:rsidRPr="001A45BD">
              <w:rPr>
                <w:rFonts w:ascii="Times New Roman" w:hAnsi="Times New Roman" w:hint="eastAsia"/>
                <w:lang w:eastAsia="zh-CN"/>
              </w:rPr>
              <w:t>5</w:t>
            </w:r>
            <w:r w:rsidRPr="001A45BD">
              <w:rPr>
                <w:rFonts w:ascii="Times New Roman" w:hAnsi="Times New Roman"/>
              </w:rPr>
              <w:t>)</w:t>
            </w:r>
          </w:p>
        </w:tc>
        <w:tc>
          <w:tcPr>
            <w:tcW w:w="1080" w:type="dxa"/>
          </w:tcPr>
          <w:p w14:paraId="5522954E" w14:textId="77777777" w:rsidR="00EB05DA" w:rsidRPr="001A45BD" w:rsidRDefault="00EB05DA" w:rsidP="00CB7E5F">
            <w:pPr>
              <w:spacing w:after="0"/>
              <w:rPr>
                <w:rFonts w:ascii="Times New Roman" w:hAnsi="Times New Roman"/>
              </w:rPr>
            </w:pPr>
            <w:r w:rsidRPr="001A45BD">
              <w:rPr>
                <w:rFonts w:ascii="Times New Roman" w:hAnsi="Times New Roman"/>
              </w:rPr>
              <w:t>5 (7.</w:t>
            </w:r>
            <w:r w:rsidRPr="001A45BD">
              <w:rPr>
                <w:rFonts w:ascii="Times New Roman" w:hAnsi="Times New Roman" w:hint="eastAsia"/>
                <w:lang w:eastAsia="zh-CN"/>
              </w:rPr>
              <w:t>2</w:t>
            </w:r>
            <w:r w:rsidRPr="001A45BD">
              <w:rPr>
                <w:rFonts w:ascii="Times New Roman" w:hAnsi="Times New Roman"/>
              </w:rPr>
              <w:t>)</w:t>
            </w:r>
          </w:p>
        </w:tc>
        <w:tc>
          <w:tcPr>
            <w:tcW w:w="990" w:type="dxa"/>
          </w:tcPr>
          <w:p w14:paraId="2AC6AD20" w14:textId="77777777" w:rsidR="00EB05DA" w:rsidRPr="001A45BD" w:rsidRDefault="00EB05DA" w:rsidP="00CB7E5F">
            <w:pPr>
              <w:spacing w:after="0"/>
              <w:rPr>
                <w:rFonts w:ascii="Times New Roman" w:hAnsi="Times New Roman"/>
              </w:rPr>
            </w:pPr>
            <w:r w:rsidRPr="001A45BD">
              <w:rPr>
                <w:rFonts w:ascii="Times New Roman" w:hAnsi="Times New Roman"/>
              </w:rPr>
              <w:t>3 (4.2)</w:t>
            </w:r>
          </w:p>
        </w:tc>
        <w:tc>
          <w:tcPr>
            <w:tcW w:w="1026" w:type="dxa"/>
          </w:tcPr>
          <w:p w14:paraId="22EC6BA9" w14:textId="77777777" w:rsidR="00EB05DA" w:rsidRPr="001A45BD" w:rsidRDefault="00EB05DA" w:rsidP="00CB7E5F">
            <w:pPr>
              <w:spacing w:after="0"/>
              <w:rPr>
                <w:rFonts w:ascii="Times New Roman" w:hAnsi="Times New Roman"/>
              </w:rPr>
            </w:pPr>
            <w:r w:rsidRPr="001A45BD">
              <w:rPr>
                <w:rFonts w:ascii="Times New Roman" w:hAnsi="Times New Roman"/>
              </w:rPr>
              <w:t>2 (3.2)</w:t>
            </w:r>
          </w:p>
        </w:tc>
      </w:tr>
      <w:tr w:rsidR="00EB05DA" w:rsidRPr="001A45BD" w14:paraId="330FF078" w14:textId="77777777" w:rsidTr="00CB7E5F">
        <w:tc>
          <w:tcPr>
            <w:tcW w:w="2817" w:type="dxa"/>
          </w:tcPr>
          <w:p w14:paraId="69A0E0C0" w14:textId="77777777" w:rsidR="00EB05DA" w:rsidRPr="001A45BD" w:rsidRDefault="00EB05DA" w:rsidP="00CB7E5F">
            <w:pPr>
              <w:spacing w:after="0"/>
              <w:rPr>
                <w:rFonts w:ascii="Times New Roman" w:hAnsi="Times New Roman"/>
              </w:rPr>
            </w:pPr>
            <w:r w:rsidRPr="001A45BD">
              <w:rPr>
                <w:rFonts w:ascii="Times New Roman" w:hAnsi="Times New Roman"/>
              </w:rPr>
              <w:t>Total</w:t>
            </w:r>
          </w:p>
        </w:tc>
        <w:tc>
          <w:tcPr>
            <w:tcW w:w="1125" w:type="dxa"/>
          </w:tcPr>
          <w:p w14:paraId="5BDB0907"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2</w:t>
            </w:r>
            <w:r w:rsidRPr="001A45BD">
              <w:rPr>
                <w:rFonts w:ascii="Times New Roman" w:hAnsi="Times New Roman"/>
                <w:lang w:eastAsia="zh-CN"/>
              </w:rPr>
              <w:t>3</w:t>
            </w:r>
          </w:p>
        </w:tc>
        <w:tc>
          <w:tcPr>
            <w:tcW w:w="990" w:type="dxa"/>
          </w:tcPr>
          <w:p w14:paraId="7CF6453B"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2</w:t>
            </w:r>
            <w:r w:rsidRPr="001A45BD">
              <w:rPr>
                <w:rFonts w:ascii="Times New Roman" w:hAnsi="Times New Roman"/>
                <w:lang w:eastAsia="zh-CN"/>
              </w:rPr>
              <w:t>6</w:t>
            </w:r>
          </w:p>
        </w:tc>
        <w:tc>
          <w:tcPr>
            <w:tcW w:w="990" w:type="dxa"/>
          </w:tcPr>
          <w:p w14:paraId="0ECAD3A9"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1</w:t>
            </w:r>
            <w:r w:rsidRPr="001A45BD">
              <w:rPr>
                <w:rFonts w:ascii="Times New Roman" w:hAnsi="Times New Roman"/>
                <w:lang w:eastAsia="zh-CN"/>
              </w:rPr>
              <w:t>4</w:t>
            </w:r>
          </w:p>
        </w:tc>
        <w:tc>
          <w:tcPr>
            <w:tcW w:w="990" w:type="dxa"/>
          </w:tcPr>
          <w:p w14:paraId="1626AB2D" w14:textId="77777777" w:rsidR="00EB05DA" w:rsidRPr="001A45BD" w:rsidRDefault="00EB05DA" w:rsidP="00CB7E5F">
            <w:pPr>
              <w:spacing w:after="0"/>
              <w:rPr>
                <w:rFonts w:ascii="Times New Roman" w:hAnsi="Times New Roman"/>
              </w:rPr>
            </w:pPr>
            <w:r w:rsidRPr="001A45BD">
              <w:rPr>
                <w:rFonts w:ascii="Times New Roman" w:hAnsi="Times New Roman"/>
              </w:rPr>
              <w:t>15</w:t>
            </w:r>
          </w:p>
        </w:tc>
        <w:tc>
          <w:tcPr>
            <w:tcW w:w="990" w:type="dxa"/>
          </w:tcPr>
          <w:p w14:paraId="64819A56" w14:textId="77777777" w:rsidR="00EB05DA" w:rsidRPr="001A45BD" w:rsidRDefault="00EB05DA" w:rsidP="00CB7E5F">
            <w:pPr>
              <w:spacing w:after="0"/>
              <w:rPr>
                <w:rFonts w:ascii="Times New Roman" w:hAnsi="Times New Roman"/>
              </w:rPr>
            </w:pPr>
            <w:r w:rsidRPr="001A45BD">
              <w:rPr>
                <w:rFonts w:ascii="Times New Roman" w:hAnsi="Times New Roman"/>
              </w:rPr>
              <w:t>13</w:t>
            </w:r>
          </w:p>
        </w:tc>
        <w:tc>
          <w:tcPr>
            <w:tcW w:w="1170" w:type="dxa"/>
          </w:tcPr>
          <w:p w14:paraId="5B0ACFE6"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6</w:t>
            </w:r>
            <w:r w:rsidRPr="001A45BD">
              <w:rPr>
                <w:rFonts w:ascii="Times New Roman" w:hAnsi="Times New Roman"/>
                <w:lang w:eastAsia="zh-CN"/>
              </w:rPr>
              <w:t>6</w:t>
            </w:r>
          </w:p>
        </w:tc>
        <w:tc>
          <w:tcPr>
            <w:tcW w:w="1080" w:type="dxa"/>
          </w:tcPr>
          <w:p w14:paraId="48D691A8"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71</w:t>
            </w:r>
          </w:p>
        </w:tc>
        <w:tc>
          <w:tcPr>
            <w:tcW w:w="1080" w:type="dxa"/>
          </w:tcPr>
          <w:p w14:paraId="6A9EB178" w14:textId="77777777" w:rsidR="00EB05DA" w:rsidRPr="001A45BD" w:rsidRDefault="00EB05DA" w:rsidP="00CB7E5F">
            <w:pPr>
              <w:spacing w:after="0"/>
              <w:rPr>
                <w:rFonts w:ascii="Times New Roman" w:hAnsi="Times New Roman"/>
                <w:lang w:eastAsia="zh-CN"/>
              </w:rPr>
            </w:pPr>
            <w:r w:rsidRPr="001A45BD">
              <w:rPr>
                <w:rFonts w:ascii="Times New Roman" w:hAnsi="Times New Roman"/>
                <w:lang w:eastAsia="zh-CN"/>
              </w:rPr>
              <w:t>69</w:t>
            </w:r>
          </w:p>
        </w:tc>
        <w:tc>
          <w:tcPr>
            <w:tcW w:w="990" w:type="dxa"/>
          </w:tcPr>
          <w:p w14:paraId="650B47D2"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7</w:t>
            </w:r>
            <w:r w:rsidRPr="001A45BD">
              <w:rPr>
                <w:rFonts w:ascii="Times New Roman" w:hAnsi="Times New Roman"/>
                <w:lang w:eastAsia="zh-CN"/>
              </w:rPr>
              <w:t>1</w:t>
            </w:r>
          </w:p>
        </w:tc>
        <w:tc>
          <w:tcPr>
            <w:tcW w:w="1026" w:type="dxa"/>
          </w:tcPr>
          <w:p w14:paraId="7CCF2D76" w14:textId="77777777" w:rsidR="00EB05DA" w:rsidRPr="001A45BD" w:rsidRDefault="00EB05DA" w:rsidP="00CB7E5F">
            <w:pPr>
              <w:spacing w:after="0"/>
              <w:rPr>
                <w:rFonts w:ascii="Times New Roman" w:hAnsi="Times New Roman"/>
                <w:lang w:eastAsia="zh-CN"/>
              </w:rPr>
            </w:pPr>
            <w:r w:rsidRPr="001A45BD">
              <w:rPr>
                <w:rFonts w:ascii="Times New Roman" w:hAnsi="Times New Roman"/>
              </w:rPr>
              <w:t>6</w:t>
            </w:r>
            <w:r w:rsidRPr="001A45BD">
              <w:rPr>
                <w:rFonts w:ascii="Times New Roman" w:hAnsi="Times New Roman"/>
                <w:lang w:eastAsia="zh-CN"/>
              </w:rPr>
              <w:t>2</w:t>
            </w:r>
          </w:p>
        </w:tc>
      </w:tr>
    </w:tbl>
    <w:p w14:paraId="0588F4F4" w14:textId="41855827" w:rsidR="00EB05DA" w:rsidRPr="001A45BD" w:rsidRDefault="00EB05DA" w:rsidP="00065043">
      <w:pPr>
        <w:spacing w:line="240" w:lineRule="auto"/>
        <w:rPr>
          <w:rFonts w:ascii="Times New Roman" w:eastAsia="Times New Roman" w:hAnsi="Times New Roman"/>
        </w:rPr>
      </w:pPr>
      <w:r w:rsidRPr="00065043">
        <w:rPr>
          <w:rFonts w:ascii="Times New Roman" w:eastAsia="Times New Roman" w:hAnsi="Times New Roman"/>
          <w:vertAlign w:val="superscript"/>
        </w:rPr>
        <w:t>a</w:t>
      </w:r>
      <w:r>
        <w:rPr>
          <w:rFonts w:ascii="Times New Roman" w:eastAsia="Times New Roman" w:hAnsi="Times New Roman"/>
        </w:rPr>
        <w:t xml:space="preserve"> Percentages are among the category participants/total respondents. For example, 4 youth organizations in year 1 (fir</w:t>
      </w:r>
      <w:r w:rsidR="001F2666">
        <w:rPr>
          <w:rFonts w:ascii="Times New Roman" w:eastAsia="Times New Roman" w:hAnsi="Times New Roman"/>
        </w:rPr>
        <w:t>st row, first column) represent</w:t>
      </w:r>
      <w:r>
        <w:rPr>
          <w:rFonts w:ascii="Times New Roman" w:eastAsia="Times New Roman" w:hAnsi="Times New Roman"/>
        </w:rPr>
        <w:t xml:space="preserve"> 17.4% of the coalition participants who completed the survey for that year.</w:t>
      </w:r>
    </w:p>
    <w:p w14:paraId="7229E172" w14:textId="77777777" w:rsidR="00EB05DA" w:rsidRDefault="00EB05DA" w:rsidP="00EB05DA">
      <w:pPr>
        <w:rPr>
          <w:rFonts w:ascii="Times New Roman" w:hAnsi="Times New Roman"/>
          <w:sz w:val="24"/>
        </w:rPr>
      </w:pPr>
    </w:p>
    <w:p w14:paraId="4BBAC414" w14:textId="77777777" w:rsidR="00EB05DA" w:rsidRDefault="00EB05DA" w:rsidP="00EB05DA">
      <w:pPr>
        <w:rPr>
          <w:rFonts w:ascii="Times New Roman" w:hAnsi="Times New Roman"/>
          <w:sz w:val="24"/>
        </w:rPr>
      </w:pPr>
      <w:r>
        <w:rPr>
          <w:rFonts w:ascii="Times New Roman" w:hAnsi="Times New Roman"/>
          <w:sz w:val="24"/>
        </w:rPr>
        <w:br w:type="page"/>
      </w:r>
    </w:p>
    <w:p w14:paraId="5701223C" w14:textId="77777777" w:rsidR="00EB05DA" w:rsidRDefault="00EB05DA" w:rsidP="00EB05DA">
      <w:pPr>
        <w:spacing w:line="240" w:lineRule="auto"/>
        <w:rPr>
          <w:rFonts w:ascii="Times New Roman" w:hAnsi="Times New Roman"/>
          <w:sz w:val="24"/>
        </w:rPr>
      </w:pPr>
      <w:r>
        <w:rPr>
          <w:rFonts w:ascii="Times New Roman" w:hAnsi="Times New Roman"/>
          <w:sz w:val="24"/>
        </w:rPr>
        <w:lastRenderedPageBreak/>
        <w:t>Table 2.</w:t>
      </w:r>
    </w:p>
    <w:p w14:paraId="618B3202" w14:textId="77777777" w:rsidR="00EB05DA" w:rsidRPr="00D72133" w:rsidRDefault="00EB05DA" w:rsidP="00EB05DA">
      <w:pPr>
        <w:spacing w:line="240" w:lineRule="auto"/>
        <w:rPr>
          <w:rFonts w:ascii="Times New Roman" w:hAnsi="Times New Roman"/>
          <w:i/>
          <w:sz w:val="24"/>
        </w:rPr>
      </w:pPr>
      <w:r w:rsidRPr="005947B1">
        <w:rPr>
          <w:rFonts w:ascii="Times New Roman" w:hAnsi="Times New Roman"/>
          <w:i/>
          <w:sz w:val="24"/>
          <w:szCs w:val="20"/>
        </w:rPr>
        <w:t>Approaches</w:t>
      </w:r>
      <w:r>
        <w:rPr>
          <w:rFonts w:ascii="Times New Roman" w:hAnsi="Times New Roman"/>
          <w:i/>
          <w:sz w:val="24"/>
          <w:szCs w:val="20"/>
        </w:rPr>
        <w:t xml:space="preserve"> and Orientations</w:t>
      </w:r>
      <w:r w:rsidRPr="005947B1">
        <w:rPr>
          <w:rFonts w:ascii="Times New Roman" w:hAnsi="Times New Roman"/>
          <w:i/>
          <w:sz w:val="24"/>
          <w:szCs w:val="20"/>
        </w:rPr>
        <w:t xml:space="preserve"> to Youth Violence Prevention by n and % of Coalition Participants, Nonparticipants and Total Organizations: Years 1, 3, and 5</w:t>
      </w: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98"/>
        <w:gridCol w:w="520"/>
        <w:gridCol w:w="630"/>
        <w:gridCol w:w="540"/>
        <w:gridCol w:w="720"/>
        <w:gridCol w:w="540"/>
        <w:gridCol w:w="630"/>
        <w:gridCol w:w="540"/>
        <w:gridCol w:w="630"/>
        <w:gridCol w:w="630"/>
        <w:gridCol w:w="630"/>
        <w:gridCol w:w="630"/>
        <w:gridCol w:w="630"/>
        <w:gridCol w:w="630"/>
        <w:gridCol w:w="630"/>
        <w:gridCol w:w="630"/>
        <w:gridCol w:w="630"/>
        <w:gridCol w:w="540"/>
        <w:gridCol w:w="630"/>
      </w:tblGrid>
      <w:tr w:rsidR="00EB05DA" w:rsidRPr="009D6764" w14:paraId="6D75EB70" w14:textId="77777777" w:rsidTr="00CB7E5F">
        <w:trPr>
          <w:trHeight w:val="300"/>
        </w:trPr>
        <w:tc>
          <w:tcPr>
            <w:tcW w:w="2198" w:type="dxa"/>
            <w:tcBorders>
              <w:left w:val="nil"/>
              <w:bottom w:val="nil"/>
              <w:right w:val="nil"/>
            </w:tcBorders>
            <w:noWrap/>
          </w:tcPr>
          <w:p w14:paraId="340A6B3E" w14:textId="77777777" w:rsidR="00EB05DA" w:rsidRPr="009D6764" w:rsidRDefault="00EB05DA" w:rsidP="00CB7E5F">
            <w:pPr>
              <w:spacing w:after="0" w:line="240" w:lineRule="auto"/>
              <w:rPr>
                <w:rFonts w:eastAsia="SimSun"/>
                <w:sz w:val="20"/>
                <w:szCs w:val="20"/>
              </w:rPr>
            </w:pPr>
            <w:r w:rsidRPr="009D6764">
              <w:rPr>
                <w:rFonts w:eastAsia="SimSun"/>
                <w:sz w:val="20"/>
                <w:szCs w:val="20"/>
              </w:rPr>
              <w:t> </w:t>
            </w:r>
          </w:p>
        </w:tc>
        <w:tc>
          <w:tcPr>
            <w:tcW w:w="3580" w:type="dxa"/>
            <w:gridSpan w:val="6"/>
            <w:tcBorders>
              <w:left w:val="nil"/>
              <w:bottom w:val="nil"/>
              <w:right w:val="single" w:sz="4" w:space="0" w:color="auto"/>
            </w:tcBorders>
            <w:noWrap/>
          </w:tcPr>
          <w:p w14:paraId="0EC0EE50" w14:textId="77777777" w:rsidR="00EB05DA" w:rsidRPr="009D6764" w:rsidRDefault="00EB05DA" w:rsidP="00CB7E5F">
            <w:pPr>
              <w:spacing w:after="0" w:line="240" w:lineRule="auto"/>
              <w:jc w:val="center"/>
              <w:rPr>
                <w:rFonts w:eastAsia="SimSun"/>
                <w:bCs/>
                <w:sz w:val="20"/>
                <w:szCs w:val="20"/>
              </w:rPr>
            </w:pPr>
            <w:r w:rsidRPr="009D6764">
              <w:rPr>
                <w:rFonts w:eastAsia="SimSun"/>
                <w:bCs/>
                <w:sz w:val="20"/>
                <w:szCs w:val="20"/>
              </w:rPr>
              <w:t>Participants</w:t>
            </w:r>
          </w:p>
        </w:tc>
        <w:tc>
          <w:tcPr>
            <w:tcW w:w="3690" w:type="dxa"/>
            <w:gridSpan w:val="6"/>
            <w:tcBorders>
              <w:left w:val="single" w:sz="4" w:space="0" w:color="auto"/>
              <w:bottom w:val="nil"/>
              <w:right w:val="single" w:sz="4" w:space="0" w:color="auto"/>
            </w:tcBorders>
            <w:noWrap/>
          </w:tcPr>
          <w:p w14:paraId="1A831CCD" w14:textId="77777777" w:rsidR="00EB05DA" w:rsidRPr="009D6764" w:rsidRDefault="00EB05DA" w:rsidP="00CB7E5F">
            <w:pPr>
              <w:spacing w:after="0" w:line="240" w:lineRule="auto"/>
              <w:jc w:val="center"/>
              <w:rPr>
                <w:rFonts w:eastAsia="SimSun"/>
                <w:bCs/>
                <w:sz w:val="20"/>
                <w:szCs w:val="20"/>
              </w:rPr>
            </w:pPr>
            <w:r w:rsidRPr="009D6764">
              <w:rPr>
                <w:rFonts w:eastAsia="SimSun"/>
                <w:bCs/>
                <w:sz w:val="20"/>
                <w:szCs w:val="20"/>
              </w:rPr>
              <w:t>Nonparticipants</w:t>
            </w:r>
          </w:p>
        </w:tc>
        <w:tc>
          <w:tcPr>
            <w:tcW w:w="3690" w:type="dxa"/>
            <w:gridSpan w:val="6"/>
            <w:tcBorders>
              <w:left w:val="single" w:sz="4" w:space="0" w:color="auto"/>
              <w:bottom w:val="nil"/>
              <w:right w:val="nil"/>
            </w:tcBorders>
            <w:noWrap/>
          </w:tcPr>
          <w:p w14:paraId="32F49E9E" w14:textId="77777777" w:rsidR="00EB05DA" w:rsidRPr="009D6764" w:rsidRDefault="00EB05DA" w:rsidP="00CB7E5F">
            <w:pPr>
              <w:spacing w:after="0" w:line="240" w:lineRule="auto"/>
              <w:jc w:val="center"/>
              <w:rPr>
                <w:rFonts w:eastAsia="SimSun"/>
                <w:bCs/>
                <w:sz w:val="20"/>
                <w:szCs w:val="20"/>
              </w:rPr>
            </w:pPr>
            <w:r w:rsidRPr="009D6764">
              <w:rPr>
                <w:rFonts w:eastAsia="SimSun"/>
                <w:bCs/>
                <w:sz w:val="20"/>
                <w:szCs w:val="20"/>
              </w:rPr>
              <w:t>Total surveyed</w:t>
            </w:r>
          </w:p>
        </w:tc>
      </w:tr>
      <w:tr w:rsidR="00EB05DA" w:rsidRPr="009D6764" w14:paraId="08A9CD82" w14:textId="77777777" w:rsidTr="00CB7E5F">
        <w:trPr>
          <w:trHeight w:val="300"/>
        </w:trPr>
        <w:tc>
          <w:tcPr>
            <w:tcW w:w="2198" w:type="dxa"/>
            <w:tcBorders>
              <w:top w:val="nil"/>
              <w:left w:val="nil"/>
              <w:bottom w:val="single" w:sz="4" w:space="0" w:color="auto"/>
              <w:right w:val="nil"/>
            </w:tcBorders>
            <w:noWrap/>
          </w:tcPr>
          <w:p w14:paraId="5FD611EF" w14:textId="77777777" w:rsidR="00EB05DA" w:rsidRPr="009D6764" w:rsidRDefault="00EB05DA" w:rsidP="00CB7E5F">
            <w:pPr>
              <w:spacing w:after="0" w:line="240" w:lineRule="auto"/>
              <w:rPr>
                <w:rFonts w:eastAsia="SimSun"/>
                <w:sz w:val="20"/>
                <w:szCs w:val="20"/>
              </w:rPr>
            </w:pPr>
            <w:r w:rsidRPr="009D6764">
              <w:rPr>
                <w:rFonts w:eastAsia="SimSun"/>
                <w:sz w:val="20"/>
                <w:szCs w:val="20"/>
              </w:rPr>
              <w:t> </w:t>
            </w:r>
          </w:p>
        </w:tc>
        <w:tc>
          <w:tcPr>
            <w:tcW w:w="1150" w:type="dxa"/>
            <w:gridSpan w:val="2"/>
            <w:tcBorders>
              <w:top w:val="nil"/>
              <w:left w:val="nil"/>
              <w:bottom w:val="single" w:sz="4" w:space="0" w:color="auto"/>
              <w:right w:val="nil"/>
            </w:tcBorders>
            <w:noWrap/>
          </w:tcPr>
          <w:p w14:paraId="327AED8B" w14:textId="02C85A4E"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r>
              <w:rPr>
                <w:rFonts w:eastAsia="SimSun"/>
                <w:sz w:val="20"/>
                <w:szCs w:val="20"/>
              </w:rPr>
              <w:t xml:space="preserve"> (n=20)</w:t>
            </w:r>
          </w:p>
        </w:tc>
        <w:tc>
          <w:tcPr>
            <w:tcW w:w="1260" w:type="dxa"/>
            <w:gridSpan w:val="2"/>
            <w:tcBorders>
              <w:top w:val="nil"/>
              <w:left w:val="nil"/>
              <w:bottom w:val="single" w:sz="4" w:space="0" w:color="auto"/>
              <w:right w:val="nil"/>
            </w:tcBorders>
            <w:noWrap/>
          </w:tcPr>
          <w:p w14:paraId="30F7C0AB"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r>
              <w:rPr>
                <w:rFonts w:eastAsia="SimSun"/>
                <w:sz w:val="20"/>
                <w:szCs w:val="20"/>
              </w:rPr>
              <w:t xml:space="preserve"> (n=14)</w:t>
            </w:r>
          </w:p>
        </w:tc>
        <w:tc>
          <w:tcPr>
            <w:tcW w:w="1170" w:type="dxa"/>
            <w:gridSpan w:val="2"/>
            <w:tcBorders>
              <w:top w:val="nil"/>
              <w:left w:val="nil"/>
              <w:bottom w:val="single" w:sz="4" w:space="0" w:color="auto"/>
              <w:right w:val="single" w:sz="4" w:space="0" w:color="auto"/>
            </w:tcBorders>
            <w:noWrap/>
          </w:tcPr>
          <w:p w14:paraId="2BA72B6D"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r>
              <w:rPr>
                <w:rFonts w:eastAsia="SimSun"/>
                <w:sz w:val="20"/>
                <w:szCs w:val="20"/>
              </w:rPr>
              <w:t xml:space="preserve"> (n=13)</w:t>
            </w:r>
          </w:p>
        </w:tc>
        <w:tc>
          <w:tcPr>
            <w:tcW w:w="1170" w:type="dxa"/>
            <w:gridSpan w:val="2"/>
            <w:tcBorders>
              <w:top w:val="nil"/>
              <w:left w:val="single" w:sz="4" w:space="0" w:color="auto"/>
              <w:bottom w:val="single" w:sz="4" w:space="0" w:color="auto"/>
              <w:right w:val="nil"/>
            </w:tcBorders>
            <w:noWrap/>
          </w:tcPr>
          <w:p w14:paraId="4739BD21"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r>
              <w:rPr>
                <w:rFonts w:eastAsia="SimSun"/>
                <w:sz w:val="20"/>
                <w:szCs w:val="20"/>
              </w:rPr>
              <w:t xml:space="preserve"> (n=46)</w:t>
            </w:r>
          </w:p>
        </w:tc>
        <w:tc>
          <w:tcPr>
            <w:tcW w:w="1260" w:type="dxa"/>
            <w:gridSpan w:val="2"/>
            <w:tcBorders>
              <w:top w:val="nil"/>
              <w:left w:val="nil"/>
              <w:bottom w:val="single" w:sz="4" w:space="0" w:color="auto"/>
              <w:right w:val="nil"/>
            </w:tcBorders>
            <w:noWrap/>
          </w:tcPr>
          <w:p w14:paraId="0D196E3D"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r>
              <w:rPr>
                <w:rFonts w:eastAsia="SimSun"/>
                <w:sz w:val="20"/>
                <w:szCs w:val="20"/>
              </w:rPr>
              <w:t xml:space="preserve"> (n=55)</w:t>
            </w:r>
          </w:p>
        </w:tc>
        <w:tc>
          <w:tcPr>
            <w:tcW w:w="1260" w:type="dxa"/>
            <w:gridSpan w:val="2"/>
            <w:tcBorders>
              <w:top w:val="nil"/>
              <w:left w:val="nil"/>
              <w:bottom w:val="single" w:sz="4" w:space="0" w:color="auto"/>
              <w:right w:val="single" w:sz="4" w:space="0" w:color="auto"/>
            </w:tcBorders>
            <w:noWrap/>
          </w:tcPr>
          <w:p w14:paraId="23A6C612"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r>
              <w:rPr>
                <w:rFonts w:eastAsia="SimSun"/>
                <w:sz w:val="20"/>
                <w:szCs w:val="20"/>
              </w:rPr>
              <w:t xml:space="preserve"> (n=49)</w:t>
            </w:r>
          </w:p>
        </w:tc>
        <w:tc>
          <w:tcPr>
            <w:tcW w:w="1260" w:type="dxa"/>
            <w:gridSpan w:val="2"/>
            <w:tcBorders>
              <w:top w:val="nil"/>
              <w:left w:val="single" w:sz="4" w:space="0" w:color="auto"/>
              <w:bottom w:val="single" w:sz="4" w:space="0" w:color="auto"/>
              <w:right w:val="nil"/>
            </w:tcBorders>
            <w:noWrap/>
          </w:tcPr>
          <w:p w14:paraId="500964F3"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r>
              <w:rPr>
                <w:rFonts w:eastAsia="SimSun"/>
                <w:sz w:val="20"/>
                <w:szCs w:val="20"/>
              </w:rPr>
              <w:t xml:space="preserve"> (n=66)</w:t>
            </w:r>
          </w:p>
        </w:tc>
        <w:tc>
          <w:tcPr>
            <w:tcW w:w="1260" w:type="dxa"/>
            <w:gridSpan w:val="2"/>
            <w:tcBorders>
              <w:top w:val="nil"/>
              <w:left w:val="nil"/>
              <w:bottom w:val="single" w:sz="4" w:space="0" w:color="auto"/>
              <w:right w:val="nil"/>
            </w:tcBorders>
            <w:noWrap/>
          </w:tcPr>
          <w:p w14:paraId="137291E6"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r>
              <w:rPr>
                <w:rFonts w:eastAsia="SimSun"/>
                <w:sz w:val="20"/>
                <w:szCs w:val="20"/>
              </w:rPr>
              <w:t xml:space="preserve"> (n=69)</w:t>
            </w:r>
          </w:p>
        </w:tc>
        <w:tc>
          <w:tcPr>
            <w:tcW w:w="1170" w:type="dxa"/>
            <w:gridSpan w:val="2"/>
            <w:tcBorders>
              <w:top w:val="nil"/>
              <w:left w:val="nil"/>
              <w:bottom w:val="single" w:sz="4" w:space="0" w:color="auto"/>
              <w:right w:val="nil"/>
            </w:tcBorders>
            <w:noWrap/>
          </w:tcPr>
          <w:p w14:paraId="2D53F34E"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r>
              <w:rPr>
                <w:rFonts w:eastAsia="SimSun"/>
                <w:sz w:val="20"/>
                <w:szCs w:val="20"/>
              </w:rPr>
              <w:t xml:space="preserve"> (n=62)</w:t>
            </w:r>
          </w:p>
        </w:tc>
      </w:tr>
      <w:tr w:rsidR="00EB05DA" w:rsidRPr="009D6764" w14:paraId="4064EBA9" w14:textId="77777777" w:rsidTr="00CB7E5F">
        <w:trPr>
          <w:trHeight w:val="300"/>
        </w:trPr>
        <w:tc>
          <w:tcPr>
            <w:tcW w:w="2198" w:type="dxa"/>
            <w:tcBorders>
              <w:left w:val="nil"/>
              <w:bottom w:val="nil"/>
              <w:right w:val="nil"/>
            </w:tcBorders>
            <w:noWrap/>
          </w:tcPr>
          <w:p w14:paraId="753DA35B" w14:textId="77777777" w:rsidR="00EB05DA" w:rsidRPr="009D6764" w:rsidRDefault="00EB05DA" w:rsidP="00CB7E5F">
            <w:pPr>
              <w:spacing w:after="0" w:line="240" w:lineRule="auto"/>
              <w:rPr>
                <w:rFonts w:eastAsia="SimSun"/>
                <w:sz w:val="20"/>
                <w:szCs w:val="20"/>
              </w:rPr>
            </w:pPr>
            <w:r>
              <w:rPr>
                <w:rFonts w:eastAsia="SimSun"/>
                <w:sz w:val="20"/>
                <w:szCs w:val="20"/>
              </w:rPr>
              <w:t>YVP Approaches:</w:t>
            </w:r>
          </w:p>
        </w:tc>
        <w:tc>
          <w:tcPr>
            <w:tcW w:w="520" w:type="dxa"/>
            <w:tcBorders>
              <w:left w:val="nil"/>
              <w:bottom w:val="nil"/>
              <w:right w:val="nil"/>
            </w:tcBorders>
            <w:noWrap/>
          </w:tcPr>
          <w:p w14:paraId="58B0BD90"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0F651F8C"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r w:rsidRPr="00224D92">
              <w:rPr>
                <w:rFonts w:eastAsia="SimSun"/>
                <w:sz w:val="24"/>
                <w:szCs w:val="24"/>
                <w:vertAlign w:val="superscript"/>
              </w:rPr>
              <w:t>a</w:t>
            </w:r>
          </w:p>
        </w:tc>
        <w:tc>
          <w:tcPr>
            <w:tcW w:w="540" w:type="dxa"/>
            <w:tcBorders>
              <w:left w:val="nil"/>
              <w:bottom w:val="nil"/>
              <w:right w:val="nil"/>
            </w:tcBorders>
            <w:noWrap/>
          </w:tcPr>
          <w:p w14:paraId="3577F65B"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720" w:type="dxa"/>
            <w:tcBorders>
              <w:left w:val="nil"/>
              <w:bottom w:val="nil"/>
              <w:right w:val="nil"/>
            </w:tcBorders>
            <w:noWrap/>
          </w:tcPr>
          <w:p w14:paraId="5632D940"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540" w:type="dxa"/>
            <w:tcBorders>
              <w:left w:val="nil"/>
              <w:bottom w:val="nil"/>
              <w:right w:val="nil"/>
            </w:tcBorders>
            <w:noWrap/>
          </w:tcPr>
          <w:p w14:paraId="77C53E12"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single" w:sz="4" w:space="0" w:color="auto"/>
            </w:tcBorders>
            <w:noWrap/>
          </w:tcPr>
          <w:p w14:paraId="64EB1FDD"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540" w:type="dxa"/>
            <w:tcBorders>
              <w:left w:val="single" w:sz="4" w:space="0" w:color="auto"/>
              <w:bottom w:val="nil"/>
              <w:right w:val="nil"/>
            </w:tcBorders>
            <w:noWrap/>
          </w:tcPr>
          <w:p w14:paraId="2B324DB5"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43DBEC39"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630" w:type="dxa"/>
            <w:tcBorders>
              <w:left w:val="nil"/>
              <w:bottom w:val="nil"/>
              <w:right w:val="nil"/>
            </w:tcBorders>
            <w:noWrap/>
          </w:tcPr>
          <w:p w14:paraId="67022DE2"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59A71583"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630" w:type="dxa"/>
            <w:tcBorders>
              <w:left w:val="nil"/>
              <w:bottom w:val="nil"/>
              <w:right w:val="nil"/>
            </w:tcBorders>
            <w:noWrap/>
          </w:tcPr>
          <w:p w14:paraId="79F11755"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single" w:sz="4" w:space="0" w:color="auto"/>
            </w:tcBorders>
            <w:noWrap/>
          </w:tcPr>
          <w:p w14:paraId="3119026E"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630" w:type="dxa"/>
            <w:tcBorders>
              <w:left w:val="single" w:sz="4" w:space="0" w:color="auto"/>
              <w:bottom w:val="nil"/>
              <w:right w:val="nil"/>
            </w:tcBorders>
            <w:noWrap/>
          </w:tcPr>
          <w:p w14:paraId="277EF4D4"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4C832BB4"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630" w:type="dxa"/>
            <w:tcBorders>
              <w:left w:val="nil"/>
              <w:bottom w:val="nil"/>
              <w:right w:val="nil"/>
            </w:tcBorders>
            <w:noWrap/>
          </w:tcPr>
          <w:p w14:paraId="5F306531"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5EA6E99B"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c>
          <w:tcPr>
            <w:tcW w:w="540" w:type="dxa"/>
            <w:tcBorders>
              <w:left w:val="nil"/>
              <w:bottom w:val="nil"/>
              <w:right w:val="nil"/>
            </w:tcBorders>
            <w:noWrap/>
          </w:tcPr>
          <w:p w14:paraId="445CD339" w14:textId="77777777" w:rsidR="00EB05DA" w:rsidRPr="009D6764" w:rsidRDefault="00EB05DA" w:rsidP="00CB7E5F">
            <w:pPr>
              <w:spacing w:after="0" w:line="240" w:lineRule="auto"/>
              <w:rPr>
                <w:rFonts w:eastAsia="SimSun"/>
                <w:sz w:val="20"/>
                <w:szCs w:val="20"/>
              </w:rPr>
            </w:pPr>
            <w:r w:rsidRPr="009D6764">
              <w:rPr>
                <w:rFonts w:eastAsia="SimSun"/>
                <w:sz w:val="20"/>
                <w:szCs w:val="20"/>
              </w:rPr>
              <w:t>n</w:t>
            </w:r>
          </w:p>
        </w:tc>
        <w:tc>
          <w:tcPr>
            <w:tcW w:w="630" w:type="dxa"/>
            <w:tcBorders>
              <w:left w:val="nil"/>
              <w:bottom w:val="nil"/>
              <w:right w:val="nil"/>
            </w:tcBorders>
            <w:noWrap/>
          </w:tcPr>
          <w:p w14:paraId="38200B79" w14:textId="77777777" w:rsidR="00EB05DA" w:rsidRPr="009D6764" w:rsidRDefault="00EB05DA" w:rsidP="00CB7E5F">
            <w:pPr>
              <w:spacing w:after="0" w:line="240" w:lineRule="auto"/>
              <w:rPr>
                <w:rFonts w:eastAsia="SimSun"/>
                <w:sz w:val="20"/>
                <w:szCs w:val="20"/>
              </w:rPr>
            </w:pPr>
            <w:r w:rsidRPr="009D6764">
              <w:rPr>
                <w:rFonts w:eastAsia="SimSun"/>
                <w:sz w:val="20"/>
                <w:szCs w:val="20"/>
              </w:rPr>
              <w:t>%</w:t>
            </w:r>
          </w:p>
        </w:tc>
      </w:tr>
      <w:tr w:rsidR="00EB05DA" w:rsidRPr="009D6764" w14:paraId="4DC1BF6F" w14:textId="77777777" w:rsidTr="00CB7E5F">
        <w:trPr>
          <w:trHeight w:val="300"/>
        </w:trPr>
        <w:tc>
          <w:tcPr>
            <w:tcW w:w="2198" w:type="dxa"/>
            <w:tcBorders>
              <w:top w:val="nil"/>
              <w:left w:val="nil"/>
              <w:bottom w:val="nil"/>
              <w:right w:val="nil"/>
            </w:tcBorders>
            <w:noWrap/>
          </w:tcPr>
          <w:p w14:paraId="7AB18FE7" w14:textId="77777777" w:rsidR="00EB05DA" w:rsidRPr="009D6764" w:rsidRDefault="00EB05DA" w:rsidP="00CB7E5F">
            <w:pPr>
              <w:spacing w:after="0" w:line="240" w:lineRule="auto"/>
              <w:ind w:left="284" w:hanging="104"/>
              <w:rPr>
                <w:rFonts w:eastAsia="SimSun"/>
                <w:sz w:val="20"/>
                <w:szCs w:val="20"/>
              </w:rPr>
            </w:pPr>
            <w:r w:rsidRPr="009D6764">
              <w:rPr>
                <w:rFonts w:eastAsia="SimSun"/>
                <w:sz w:val="20"/>
                <w:szCs w:val="20"/>
              </w:rPr>
              <w:t>Youth development work</w:t>
            </w:r>
          </w:p>
        </w:tc>
        <w:tc>
          <w:tcPr>
            <w:tcW w:w="520" w:type="dxa"/>
            <w:tcBorders>
              <w:top w:val="nil"/>
              <w:left w:val="nil"/>
              <w:bottom w:val="nil"/>
              <w:right w:val="nil"/>
            </w:tcBorders>
            <w:noWrap/>
          </w:tcPr>
          <w:p w14:paraId="08EA8523" w14:textId="77777777" w:rsidR="00EB05DA" w:rsidRDefault="00EB05DA" w:rsidP="00CB7E5F">
            <w:pPr>
              <w:spacing w:after="0" w:line="240" w:lineRule="auto"/>
              <w:rPr>
                <w:sz w:val="20"/>
                <w:szCs w:val="20"/>
              </w:rPr>
            </w:pPr>
            <w:r>
              <w:rPr>
                <w:sz w:val="20"/>
                <w:szCs w:val="20"/>
              </w:rPr>
              <w:t>7</w:t>
            </w:r>
          </w:p>
        </w:tc>
        <w:tc>
          <w:tcPr>
            <w:tcW w:w="630" w:type="dxa"/>
            <w:tcBorders>
              <w:top w:val="nil"/>
              <w:left w:val="nil"/>
              <w:bottom w:val="nil"/>
              <w:right w:val="nil"/>
            </w:tcBorders>
            <w:noWrap/>
          </w:tcPr>
          <w:p w14:paraId="280238B4" w14:textId="77777777" w:rsidR="00EB05DA" w:rsidRDefault="00EB05DA" w:rsidP="00CB7E5F">
            <w:pPr>
              <w:spacing w:after="0" w:line="240" w:lineRule="auto"/>
              <w:rPr>
                <w:sz w:val="20"/>
                <w:szCs w:val="20"/>
              </w:rPr>
            </w:pPr>
            <w:r>
              <w:rPr>
                <w:sz w:val="20"/>
                <w:szCs w:val="20"/>
              </w:rPr>
              <w:t>35.0</w:t>
            </w:r>
          </w:p>
        </w:tc>
        <w:tc>
          <w:tcPr>
            <w:tcW w:w="540" w:type="dxa"/>
            <w:tcBorders>
              <w:top w:val="nil"/>
              <w:left w:val="nil"/>
              <w:bottom w:val="nil"/>
              <w:right w:val="nil"/>
            </w:tcBorders>
            <w:noWrap/>
          </w:tcPr>
          <w:p w14:paraId="78461293" w14:textId="77777777" w:rsidR="00EB05DA" w:rsidRDefault="00EB05DA" w:rsidP="00CB7E5F">
            <w:pPr>
              <w:spacing w:after="0" w:line="240" w:lineRule="auto"/>
              <w:rPr>
                <w:sz w:val="20"/>
                <w:szCs w:val="20"/>
              </w:rPr>
            </w:pPr>
            <w:r>
              <w:rPr>
                <w:sz w:val="20"/>
                <w:szCs w:val="20"/>
              </w:rPr>
              <w:t>6</w:t>
            </w:r>
          </w:p>
        </w:tc>
        <w:tc>
          <w:tcPr>
            <w:tcW w:w="720" w:type="dxa"/>
            <w:tcBorders>
              <w:top w:val="nil"/>
              <w:left w:val="nil"/>
              <w:bottom w:val="nil"/>
              <w:right w:val="nil"/>
            </w:tcBorders>
            <w:noWrap/>
          </w:tcPr>
          <w:p w14:paraId="334392A8" w14:textId="77777777" w:rsidR="00EB05DA" w:rsidRDefault="00EB05DA" w:rsidP="00CB7E5F">
            <w:pPr>
              <w:spacing w:after="0" w:line="240" w:lineRule="auto"/>
              <w:rPr>
                <w:sz w:val="20"/>
                <w:szCs w:val="20"/>
              </w:rPr>
            </w:pPr>
            <w:r>
              <w:rPr>
                <w:rFonts w:cs="Calibri"/>
                <w:color w:val="000000"/>
                <w:sz w:val="20"/>
                <w:szCs w:val="20"/>
              </w:rPr>
              <w:t>42.9</w:t>
            </w:r>
          </w:p>
        </w:tc>
        <w:tc>
          <w:tcPr>
            <w:tcW w:w="540" w:type="dxa"/>
            <w:tcBorders>
              <w:top w:val="nil"/>
              <w:left w:val="nil"/>
              <w:bottom w:val="nil"/>
              <w:right w:val="nil"/>
            </w:tcBorders>
            <w:noWrap/>
          </w:tcPr>
          <w:p w14:paraId="425DF73F" w14:textId="77777777" w:rsidR="00EB05DA" w:rsidRDefault="00EB05DA" w:rsidP="00CB7E5F">
            <w:pPr>
              <w:spacing w:after="0" w:line="240" w:lineRule="auto"/>
              <w:rPr>
                <w:sz w:val="20"/>
                <w:szCs w:val="20"/>
              </w:rPr>
            </w:pPr>
            <w:r>
              <w:rPr>
                <w:sz w:val="20"/>
                <w:szCs w:val="20"/>
              </w:rPr>
              <w:t>9</w:t>
            </w:r>
          </w:p>
        </w:tc>
        <w:tc>
          <w:tcPr>
            <w:tcW w:w="630" w:type="dxa"/>
            <w:tcBorders>
              <w:top w:val="nil"/>
              <w:left w:val="nil"/>
              <w:bottom w:val="nil"/>
              <w:right w:val="single" w:sz="4" w:space="0" w:color="auto"/>
            </w:tcBorders>
            <w:noWrap/>
          </w:tcPr>
          <w:p w14:paraId="29E2F8EA" w14:textId="77777777" w:rsidR="00EB05DA" w:rsidRDefault="00EB05DA" w:rsidP="00CB7E5F">
            <w:pPr>
              <w:spacing w:after="0" w:line="240" w:lineRule="auto"/>
              <w:rPr>
                <w:sz w:val="20"/>
                <w:szCs w:val="20"/>
              </w:rPr>
            </w:pPr>
            <w:r>
              <w:rPr>
                <w:rFonts w:cs="Calibri"/>
                <w:color w:val="000000"/>
                <w:sz w:val="20"/>
                <w:szCs w:val="20"/>
              </w:rPr>
              <w:t>69.2</w:t>
            </w:r>
          </w:p>
        </w:tc>
        <w:tc>
          <w:tcPr>
            <w:tcW w:w="540" w:type="dxa"/>
            <w:tcBorders>
              <w:top w:val="nil"/>
              <w:left w:val="single" w:sz="4" w:space="0" w:color="auto"/>
              <w:bottom w:val="nil"/>
              <w:right w:val="nil"/>
            </w:tcBorders>
            <w:noWrap/>
          </w:tcPr>
          <w:p w14:paraId="0373F85C" w14:textId="77777777" w:rsidR="00EB05DA" w:rsidRDefault="00EB05DA" w:rsidP="00CB7E5F">
            <w:pPr>
              <w:spacing w:after="0" w:line="240" w:lineRule="auto"/>
              <w:rPr>
                <w:sz w:val="20"/>
                <w:szCs w:val="20"/>
              </w:rPr>
            </w:pPr>
            <w:r>
              <w:rPr>
                <w:sz w:val="20"/>
                <w:szCs w:val="20"/>
              </w:rPr>
              <w:t>22</w:t>
            </w:r>
          </w:p>
        </w:tc>
        <w:tc>
          <w:tcPr>
            <w:tcW w:w="630" w:type="dxa"/>
            <w:tcBorders>
              <w:top w:val="nil"/>
              <w:left w:val="nil"/>
              <w:bottom w:val="nil"/>
              <w:right w:val="nil"/>
            </w:tcBorders>
            <w:noWrap/>
          </w:tcPr>
          <w:p w14:paraId="130BA29D" w14:textId="77777777" w:rsidR="00EB05DA" w:rsidRDefault="00EB05DA" w:rsidP="00CB7E5F">
            <w:pPr>
              <w:spacing w:after="0" w:line="240" w:lineRule="auto"/>
              <w:rPr>
                <w:sz w:val="20"/>
                <w:szCs w:val="20"/>
              </w:rPr>
            </w:pPr>
            <w:r>
              <w:rPr>
                <w:rFonts w:cs="Calibri"/>
                <w:color w:val="000000"/>
                <w:sz w:val="20"/>
                <w:szCs w:val="20"/>
              </w:rPr>
              <w:t>47.8</w:t>
            </w:r>
          </w:p>
        </w:tc>
        <w:tc>
          <w:tcPr>
            <w:tcW w:w="630" w:type="dxa"/>
            <w:tcBorders>
              <w:top w:val="nil"/>
              <w:left w:val="nil"/>
              <w:bottom w:val="nil"/>
              <w:right w:val="nil"/>
            </w:tcBorders>
            <w:noWrap/>
          </w:tcPr>
          <w:p w14:paraId="406A158F" w14:textId="77777777" w:rsidR="00EB05DA" w:rsidRDefault="00EB05DA" w:rsidP="00CB7E5F">
            <w:pPr>
              <w:spacing w:after="0" w:line="240" w:lineRule="auto"/>
              <w:rPr>
                <w:sz w:val="20"/>
                <w:szCs w:val="20"/>
              </w:rPr>
            </w:pPr>
            <w:r>
              <w:rPr>
                <w:sz w:val="20"/>
                <w:szCs w:val="20"/>
              </w:rPr>
              <w:t>31</w:t>
            </w:r>
          </w:p>
        </w:tc>
        <w:tc>
          <w:tcPr>
            <w:tcW w:w="630" w:type="dxa"/>
            <w:tcBorders>
              <w:top w:val="nil"/>
              <w:left w:val="nil"/>
              <w:bottom w:val="nil"/>
              <w:right w:val="nil"/>
            </w:tcBorders>
            <w:noWrap/>
          </w:tcPr>
          <w:p w14:paraId="40C9F574" w14:textId="77777777" w:rsidR="00EB05DA" w:rsidRDefault="00EB05DA" w:rsidP="00CB7E5F">
            <w:pPr>
              <w:spacing w:after="0" w:line="240" w:lineRule="auto"/>
              <w:rPr>
                <w:sz w:val="20"/>
                <w:szCs w:val="20"/>
              </w:rPr>
            </w:pPr>
            <w:r>
              <w:rPr>
                <w:rFonts w:cs="Calibri"/>
                <w:color w:val="000000"/>
                <w:sz w:val="20"/>
                <w:szCs w:val="20"/>
              </w:rPr>
              <w:t>56.4</w:t>
            </w:r>
          </w:p>
        </w:tc>
        <w:tc>
          <w:tcPr>
            <w:tcW w:w="630" w:type="dxa"/>
            <w:tcBorders>
              <w:top w:val="nil"/>
              <w:left w:val="nil"/>
              <w:bottom w:val="nil"/>
              <w:right w:val="nil"/>
            </w:tcBorders>
            <w:noWrap/>
          </w:tcPr>
          <w:p w14:paraId="1EDA2933" w14:textId="77777777" w:rsidR="00EB05DA" w:rsidRDefault="00EB05DA" w:rsidP="00CB7E5F">
            <w:pPr>
              <w:spacing w:after="0" w:line="240" w:lineRule="auto"/>
              <w:rPr>
                <w:sz w:val="20"/>
                <w:szCs w:val="20"/>
              </w:rPr>
            </w:pPr>
            <w:r>
              <w:rPr>
                <w:sz w:val="20"/>
                <w:szCs w:val="20"/>
              </w:rPr>
              <w:t>36</w:t>
            </w:r>
          </w:p>
        </w:tc>
        <w:tc>
          <w:tcPr>
            <w:tcW w:w="630" w:type="dxa"/>
            <w:tcBorders>
              <w:top w:val="nil"/>
              <w:left w:val="nil"/>
              <w:bottom w:val="nil"/>
              <w:right w:val="single" w:sz="4" w:space="0" w:color="auto"/>
            </w:tcBorders>
            <w:noWrap/>
          </w:tcPr>
          <w:p w14:paraId="326B5D00" w14:textId="77777777" w:rsidR="00EB05DA" w:rsidRDefault="00EB05DA" w:rsidP="00CB7E5F">
            <w:pPr>
              <w:spacing w:after="0" w:line="240" w:lineRule="auto"/>
              <w:rPr>
                <w:sz w:val="20"/>
                <w:szCs w:val="20"/>
              </w:rPr>
            </w:pPr>
            <w:r>
              <w:rPr>
                <w:rFonts w:cs="Calibri"/>
                <w:color w:val="000000"/>
                <w:sz w:val="20"/>
                <w:szCs w:val="20"/>
              </w:rPr>
              <w:t>73.5</w:t>
            </w:r>
          </w:p>
        </w:tc>
        <w:tc>
          <w:tcPr>
            <w:tcW w:w="630" w:type="dxa"/>
            <w:tcBorders>
              <w:top w:val="nil"/>
              <w:left w:val="single" w:sz="4" w:space="0" w:color="auto"/>
              <w:bottom w:val="nil"/>
              <w:right w:val="nil"/>
            </w:tcBorders>
            <w:noWrap/>
          </w:tcPr>
          <w:p w14:paraId="5BDB89D0" w14:textId="77777777" w:rsidR="00EB05DA" w:rsidRDefault="00EB05DA" w:rsidP="00CB7E5F">
            <w:pPr>
              <w:spacing w:after="0" w:line="240" w:lineRule="auto"/>
              <w:rPr>
                <w:sz w:val="20"/>
                <w:szCs w:val="20"/>
              </w:rPr>
            </w:pPr>
            <w:r>
              <w:rPr>
                <w:sz w:val="20"/>
                <w:szCs w:val="20"/>
              </w:rPr>
              <w:t>29</w:t>
            </w:r>
          </w:p>
        </w:tc>
        <w:tc>
          <w:tcPr>
            <w:tcW w:w="630" w:type="dxa"/>
            <w:tcBorders>
              <w:top w:val="nil"/>
              <w:left w:val="nil"/>
              <w:bottom w:val="nil"/>
              <w:right w:val="nil"/>
            </w:tcBorders>
            <w:noWrap/>
          </w:tcPr>
          <w:p w14:paraId="1042CEFA" w14:textId="77777777" w:rsidR="00EB05DA" w:rsidRDefault="00EB05DA" w:rsidP="00CB7E5F">
            <w:pPr>
              <w:spacing w:after="0" w:line="240" w:lineRule="auto"/>
              <w:rPr>
                <w:sz w:val="20"/>
                <w:szCs w:val="20"/>
              </w:rPr>
            </w:pPr>
            <w:r>
              <w:rPr>
                <w:rFonts w:cs="Calibri"/>
                <w:color w:val="000000"/>
                <w:sz w:val="20"/>
                <w:szCs w:val="20"/>
              </w:rPr>
              <w:t>43.9</w:t>
            </w:r>
          </w:p>
        </w:tc>
        <w:tc>
          <w:tcPr>
            <w:tcW w:w="630" w:type="dxa"/>
            <w:tcBorders>
              <w:top w:val="nil"/>
              <w:left w:val="nil"/>
              <w:bottom w:val="nil"/>
              <w:right w:val="nil"/>
            </w:tcBorders>
            <w:noWrap/>
          </w:tcPr>
          <w:p w14:paraId="6E0AFB33" w14:textId="77777777" w:rsidR="00EB05DA" w:rsidRDefault="00EB05DA" w:rsidP="00CB7E5F">
            <w:pPr>
              <w:spacing w:after="0" w:line="240" w:lineRule="auto"/>
              <w:rPr>
                <w:sz w:val="20"/>
                <w:szCs w:val="20"/>
              </w:rPr>
            </w:pPr>
            <w:r>
              <w:rPr>
                <w:sz w:val="20"/>
                <w:szCs w:val="20"/>
              </w:rPr>
              <w:t>37</w:t>
            </w:r>
          </w:p>
        </w:tc>
        <w:tc>
          <w:tcPr>
            <w:tcW w:w="630" w:type="dxa"/>
            <w:tcBorders>
              <w:top w:val="nil"/>
              <w:left w:val="nil"/>
              <w:bottom w:val="nil"/>
              <w:right w:val="nil"/>
            </w:tcBorders>
            <w:noWrap/>
          </w:tcPr>
          <w:p w14:paraId="3653BE14" w14:textId="77777777" w:rsidR="00EB05DA" w:rsidRDefault="00EB05DA" w:rsidP="00CB7E5F">
            <w:pPr>
              <w:spacing w:after="0" w:line="240" w:lineRule="auto"/>
              <w:rPr>
                <w:sz w:val="20"/>
                <w:szCs w:val="20"/>
              </w:rPr>
            </w:pPr>
            <w:r>
              <w:rPr>
                <w:rFonts w:cs="Calibri"/>
                <w:color w:val="000000"/>
                <w:sz w:val="20"/>
                <w:szCs w:val="20"/>
              </w:rPr>
              <w:t>53.6</w:t>
            </w:r>
          </w:p>
        </w:tc>
        <w:tc>
          <w:tcPr>
            <w:tcW w:w="540" w:type="dxa"/>
            <w:tcBorders>
              <w:top w:val="nil"/>
              <w:left w:val="nil"/>
              <w:bottom w:val="nil"/>
              <w:right w:val="nil"/>
            </w:tcBorders>
            <w:noWrap/>
          </w:tcPr>
          <w:p w14:paraId="45AFC421" w14:textId="77777777" w:rsidR="00EB05DA" w:rsidRDefault="00EB05DA" w:rsidP="00CB7E5F">
            <w:pPr>
              <w:spacing w:after="0" w:line="240" w:lineRule="auto"/>
              <w:rPr>
                <w:sz w:val="20"/>
                <w:szCs w:val="20"/>
              </w:rPr>
            </w:pPr>
            <w:r>
              <w:rPr>
                <w:sz w:val="20"/>
                <w:szCs w:val="20"/>
              </w:rPr>
              <w:t>45</w:t>
            </w:r>
          </w:p>
        </w:tc>
        <w:tc>
          <w:tcPr>
            <w:tcW w:w="630" w:type="dxa"/>
            <w:tcBorders>
              <w:top w:val="nil"/>
              <w:left w:val="nil"/>
              <w:bottom w:val="nil"/>
              <w:right w:val="nil"/>
            </w:tcBorders>
            <w:noWrap/>
          </w:tcPr>
          <w:p w14:paraId="03040F0B" w14:textId="77777777" w:rsidR="00EB05DA" w:rsidRDefault="00EB05DA" w:rsidP="00CB7E5F">
            <w:pPr>
              <w:spacing w:after="0" w:line="240" w:lineRule="auto"/>
              <w:rPr>
                <w:sz w:val="20"/>
                <w:szCs w:val="20"/>
              </w:rPr>
            </w:pPr>
            <w:r>
              <w:rPr>
                <w:rFonts w:cs="Calibri"/>
                <w:color w:val="000000"/>
                <w:sz w:val="20"/>
                <w:szCs w:val="20"/>
              </w:rPr>
              <w:t>72.6</w:t>
            </w:r>
          </w:p>
        </w:tc>
      </w:tr>
      <w:tr w:rsidR="00EB05DA" w:rsidRPr="009D6764" w14:paraId="1B12797A" w14:textId="77777777" w:rsidTr="00CB7E5F">
        <w:trPr>
          <w:trHeight w:val="300"/>
        </w:trPr>
        <w:tc>
          <w:tcPr>
            <w:tcW w:w="2198" w:type="dxa"/>
            <w:tcBorders>
              <w:top w:val="nil"/>
              <w:left w:val="nil"/>
              <w:bottom w:val="nil"/>
              <w:right w:val="nil"/>
            </w:tcBorders>
            <w:noWrap/>
          </w:tcPr>
          <w:p w14:paraId="1CD9E623"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Mentoring</w:t>
            </w:r>
          </w:p>
        </w:tc>
        <w:tc>
          <w:tcPr>
            <w:tcW w:w="520" w:type="dxa"/>
            <w:tcBorders>
              <w:top w:val="nil"/>
              <w:left w:val="nil"/>
              <w:bottom w:val="nil"/>
              <w:right w:val="nil"/>
            </w:tcBorders>
            <w:noWrap/>
          </w:tcPr>
          <w:p w14:paraId="6E5E8AE7" w14:textId="77777777" w:rsidR="00EB05DA" w:rsidRDefault="00EB05DA" w:rsidP="00CB7E5F">
            <w:pPr>
              <w:spacing w:after="0" w:line="240" w:lineRule="auto"/>
              <w:rPr>
                <w:sz w:val="20"/>
                <w:szCs w:val="20"/>
              </w:rPr>
            </w:pPr>
            <w:r>
              <w:rPr>
                <w:sz w:val="20"/>
                <w:szCs w:val="20"/>
              </w:rPr>
              <w:t>0</w:t>
            </w:r>
          </w:p>
        </w:tc>
        <w:tc>
          <w:tcPr>
            <w:tcW w:w="630" w:type="dxa"/>
            <w:tcBorders>
              <w:top w:val="nil"/>
              <w:left w:val="nil"/>
              <w:bottom w:val="nil"/>
              <w:right w:val="nil"/>
            </w:tcBorders>
            <w:noWrap/>
          </w:tcPr>
          <w:p w14:paraId="3C03B6FB" w14:textId="77777777" w:rsidR="00EB05DA" w:rsidRDefault="00EB05DA" w:rsidP="00CB7E5F">
            <w:pPr>
              <w:spacing w:after="0" w:line="240" w:lineRule="auto"/>
              <w:rPr>
                <w:sz w:val="20"/>
                <w:szCs w:val="20"/>
              </w:rPr>
            </w:pPr>
            <w:r>
              <w:rPr>
                <w:sz w:val="20"/>
                <w:szCs w:val="20"/>
              </w:rPr>
              <w:t>0</w:t>
            </w:r>
          </w:p>
        </w:tc>
        <w:tc>
          <w:tcPr>
            <w:tcW w:w="540" w:type="dxa"/>
            <w:tcBorders>
              <w:top w:val="nil"/>
              <w:left w:val="nil"/>
              <w:bottom w:val="nil"/>
              <w:right w:val="nil"/>
            </w:tcBorders>
            <w:noWrap/>
          </w:tcPr>
          <w:p w14:paraId="758F86C9" w14:textId="77777777" w:rsidR="00EB05DA" w:rsidRDefault="00EB05DA" w:rsidP="00CB7E5F">
            <w:pPr>
              <w:spacing w:after="0" w:line="240" w:lineRule="auto"/>
              <w:rPr>
                <w:sz w:val="20"/>
                <w:szCs w:val="20"/>
              </w:rPr>
            </w:pPr>
            <w:r>
              <w:rPr>
                <w:sz w:val="20"/>
                <w:szCs w:val="20"/>
              </w:rPr>
              <w:t>8</w:t>
            </w:r>
          </w:p>
        </w:tc>
        <w:tc>
          <w:tcPr>
            <w:tcW w:w="720" w:type="dxa"/>
            <w:tcBorders>
              <w:top w:val="nil"/>
              <w:left w:val="nil"/>
              <w:bottom w:val="nil"/>
              <w:right w:val="nil"/>
            </w:tcBorders>
            <w:noWrap/>
          </w:tcPr>
          <w:p w14:paraId="1E32B16D" w14:textId="77777777" w:rsidR="00EB05DA" w:rsidRDefault="00EB05DA" w:rsidP="00CB7E5F">
            <w:pPr>
              <w:spacing w:after="0" w:line="240" w:lineRule="auto"/>
              <w:rPr>
                <w:sz w:val="20"/>
                <w:szCs w:val="20"/>
              </w:rPr>
            </w:pPr>
            <w:r>
              <w:rPr>
                <w:rFonts w:cs="Calibri"/>
                <w:color w:val="000000"/>
                <w:sz w:val="20"/>
                <w:szCs w:val="20"/>
              </w:rPr>
              <w:t>57.1</w:t>
            </w:r>
          </w:p>
        </w:tc>
        <w:tc>
          <w:tcPr>
            <w:tcW w:w="540" w:type="dxa"/>
            <w:tcBorders>
              <w:top w:val="nil"/>
              <w:left w:val="nil"/>
              <w:bottom w:val="nil"/>
              <w:right w:val="nil"/>
            </w:tcBorders>
            <w:noWrap/>
          </w:tcPr>
          <w:p w14:paraId="19CD655D" w14:textId="77777777" w:rsidR="00EB05DA" w:rsidRDefault="00EB05DA" w:rsidP="00CB7E5F">
            <w:pPr>
              <w:spacing w:after="0" w:line="240" w:lineRule="auto"/>
              <w:rPr>
                <w:sz w:val="20"/>
                <w:szCs w:val="20"/>
              </w:rPr>
            </w:pPr>
            <w:r>
              <w:rPr>
                <w:sz w:val="20"/>
                <w:szCs w:val="20"/>
              </w:rPr>
              <w:t>7</w:t>
            </w:r>
          </w:p>
        </w:tc>
        <w:tc>
          <w:tcPr>
            <w:tcW w:w="630" w:type="dxa"/>
            <w:tcBorders>
              <w:top w:val="nil"/>
              <w:left w:val="nil"/>
              <w:bottom w:val="nil"/>
              <w:right w:val="single" w:sz="4" w:space="0" w:color="auto"/>
            </w:tcBorders>
            <w:noWrap/>
          </w:tcPr>
          <w:p w14:paraId="77B64E30" w14:textId="77777777" w:rsidR="00EB05DA" w:rsidRDefault="00EB05DA" w:rsidP="00CB7E5F">
            <w:pPr>
              <w:spacing w:after="0" w:line="240" w:lineRule="auto"/>
              <w:rPr>
                <w:sz w:val="20"/>
                <w:szCs w:val="20"/>
              </w:rPr>
            </w:pPr>
            <w:r>
              <w:rPr>
                <w:rFonts w:cs="Calibri"/>
                <w:color w:val="000000"/>
                <w:sz w:val="20"/>
                <w:szCs w:val="20"/>
              </w:rPr>
              <w:t>53.9</w:t>
            </w:r>
          </w:p>
        </w:tc>
        <w:tc>
          <w:tcPr>
            <w:tcW w:w="540" w:type="dxa"/>
            <w:tcBorders>
              <w:top w:val="nil"/>
              <w:left w:val="single" w:sz="4" w:space="0" w:color="auto"/>
              <w:bottom w:val="nil"/>
              <w:right w:val="nil"/>
            </w:tcBorders>
            <w:noWrap/>
          </w:tcPr>
          <w:p w14:paraId="27E28A7D" w14:textId="77777777" w:rsidR="00EB05DA" w:rsidRDefault="00EB05DA" w:rsidP="00CB7E5F">
            <w:pPr>
              <w:spacing w:after="0" w:line="240" w:lineRule="auto"/>
              <w:rPr>
                <w:sz w:val="20"/>
                <w:szCs w:val="20"/>
              </w:rPr>
            </w:pPr>
            <w:r>
              <w:rPr>
                <w:sz w:val="20"/>
                <w:szCs w:val="20"/>
              </w:rPr>
              <w:t>4</w:t>
            </w:r>
          </w:p>
        </w:tc>
        <w:tc>
          <w:tcPr>
            <w:tcW w:w="630" w:type="dxa"/>
            <w:tcBorders>
              <w:top w:val="nil"/>
              <w:left w:val="nil"/>
              <w:bottom w:val="nil"/>
              <w:right w:val="nil"/>
            </w:tcBorders>
            <w:noWrap/>
          </w:tcPr>
          <w:p w14:paraId="38E7AB69" w14:textId="77777777" w:rsidR="00EB05DA" w:rsidRDefault="00EB05DA" w:rsidP="00CB7E5F">
            <w:pPr>
              <w:spacing w:after="0" w:line="240" w:lineRule="auto"/>
              <w:rPr>
                <w:sz w:val="20"/>
                <w:szCs w:val="20"/>
              </w:rPr>
            </w:pPr>
            <w:r>
              <w:rPr>
                <w:rFonts w:cs="Calibri"/>
                <w:color w:val="000000"/>
                <w:sz w:val="20"/>
                <w:szCs w:val="20"/>
              </w:rPr>
              <w:t>8.7</w:t>
            </w:r>
          </w:p>
        </w:tc>
        <w:tc>
          <w:tcPr>
            <w:tcW w:w="630" w:type="dxa"/>
            <w:tcBorders>
              <w:top w:val="nil"/>
              <w:left w:val="nil"/>
              <w:bottom w:val="nil"/>
              <w:right w:val="nil"/>
            </w:tcBorders>
            <w:noWrap/>
          </w:tcPr>
          <w:p w14:paraId="2AA7B85B" w14:textId="77777777" w:rsidR="00EB05DA" w:rsidRDefault="00EB05DA" w:rsidP="00CB7E5F">
            <w:pPr>
              <w:spacing w:after="0" w:line="240" w:lineRule="auto"/>
              <w:rPr>
                <w:sz w:val="20"/>
                <w:szCs w:val="20"/>
              </w:rPr>
            </w:pPr>
            <w:r>
              <w:rPr>
                <w:sz w:val="20"/>
                <w:szCs w:val="20"/>
              </w:rPr>
              <w:t>26</w:t>
            </w:r>
          </w:p>
        </w:tc>
        <w:tc>
          <w:tcPr>
            <w:tcW w:w="630" w:type="dxa"/>
            <w:tcBorders>
              <w:top w:val="nil"/>
              <w:left w:val="nil"/>
              <w:bottom w:val="nil"/>
              <w:right w:val="nil"/>
            </w:tcBorders>
            <w:noWrap/>
          </w:tcPr>
          <w:p w14:paraId="7F585365" w14:textId="77777777" w:rsidR="00EB05DA" w:rsidRDefault="00EB05DA" w:rsidP="00CB7E5F">
            <w:pPr>
              <w:spacing w:after="0" w:line="240" w:lineRule="auto"/>
              <w:rPr>
                <w:sz w:val="20"/>
                <w:szCs w:val="20"/>
              </w:rPr>
            </w:pPr>
            <w:r>
              <w:rPr>
                <w:rFonts w:cs="Calibri"/>
                <w:color w:val="000000"/>
                <w:sz w:val="20"/>
                <w:szCs w:val="20"/>
              </w:rPr>
              <w:t>47.3</w:t>
            </w:r>
          </w:p>
        </w:tc>
        <w:tc>
          <w:tcPr>
            <w:tcW w:w="630" w:type="dxa"/>
            <w:tcBorders>
              <w:top w:val="nil"/>
              <w:left w:val="nil"/>
              <w:bottom w:val="nil"/>
              <w:right w:val="nil"/>
            </w:tcBorders>
            <w:noWrap/>
          </w:tcPr>
          <w:p w14:paraId="7A844FCF" w14:textId="77777777" w:rsidR="00EB05DA" w:rsidRDefault="00EB05DA" w:rsidP="00CB7E5F">
            <w:pPr>
              <w:spacing w:after="0" w:line="240" w:lineRule="auto"/>
              <w:rPr>
                <w:sz w:val="20"/>
                <w:szCs w:val="20"/>
              </w:rPr>
            </w:pPr>
            <w:r>
              <w:rPr>
                <w:sz w:val="20"/>
                <w:szCs w:val="20"/>
              </w:rPr>
              <w:t>26</w:t>
            </w:r>
          </w:p>
        </w:tc>
        <w:tc>
          <w:tcPr>
            <w:tcW w:w="630" w:type="dxa"/>
            <w:tcBorders>
              <w:top w:val="nil"/>
              <w:left w:val="nil"/>
              <w:bottom w:val="nil"/>
              <w:right w:val="single" w:sz="4" w:space="0" w:color="auto"/>
            </w:tcBorders>
            <w:noWrap/>
          </w:tcPr>
          <w:p w14:paraId="40F6BDCC" w14:textId="77777777" w:rsidR="00EB05DA" w:rsidRDefault="00EB05DA" w:rsidP="00CB7E5F">
            <w:pPr>
              <w:spacing w:after="0" w:line="240" w:lineRule="auto"/>
              <w:rPr>
                <w:sz w:val="20"/>
                <w:szCs w:val="20"/>
              </w:rPr>
            </w:pPr>
            <w:r>
              <w:rPr>
                <w:rFonts w:cs="Calibri"/>
                <w:color w:val="000000"/>
                <w:sz w:val="20"/>
                <w:szCs w:val="20"/>
              </w:rPr>
              <w:t>53.1</w:t>
            </w:r>
          </w:p>
        </w:tc>
        <w:tc>
          <w:tcPr>
            <w:tcW w:w="630" w:type="dxa"/>
            <w:tcBorders>
              <w:top w:val="nil"/>
              <w:left w:val="single" w:sz="4" w:space="0" w:color="auto"/>
              <w:bottom w:val="nil"/>
              <w:right w:val="nil"/>
            </w:tcBorders>
            <w:noWrap/>
          </w:tcPr>
          <w:p w14:paraId="54DC0FDA" w14:textId="77777777" w:rsidR="00EB05DA" w:rsidRDefault="00EB05DA" w:rsidP="00CB7E5F">
            <w:pPr>
              <w:spacing w:after="0" w:line="240" w:lineRule="auto"/>
              <w:rPr>
                <w:sz w:val="20"/>
                <w:szCs w:val="20"/>
              </w:rPr>
            </w:pPr>
            <w:r>
              <w:rPr>
                <w:sz w:val="20"/>
                <w:szCs w:val="20"/>
              </w:rPr>
              <w:t>4</w:t>
            </w:r>
          </w:p>
        </w:tc>
        <w:tc>
          <w:tcPr>
            <w:tcW w:w="630" w:type="dxa"/>
            <w:tcBorders>
              <w:top w:val="nil"/>
              <w:left w:val="nil"/>
              <w:bottom w:val="nil"/>
              <w:right w:val="nil"/>
            </w:tcBorders>
            <w:noWrap/>
          </w:tcPr>
          <w:p w14:paraId="195908BF" w14:textId="77777777" w:rsidR="00EB05DA" w:rsidRDefault="00EB05DA" w:rsidP="00CB7E5F">
            <w:pPr>
              <w:spacing w:after="0" w:line="240" w:lineRule="auto"/>
              <w:rPr>
                <w:sz w:val="20"/>
                <w:szCs w:val="20"/>
              </w:rPr>
            </w:pPr>
            <w:r>
              <w:rPr>
                <w:rFonts w:cs="Calibri"/>
                <w:color w:val="000000"/>
                <w:sz w:val="20"/>
                <w:szCs w:val="20"/>
              </w:rPr>
              <w:t>6.1</w:t>
            </w:r>
          </w:p>
        </w:tc>
        <w:tc>
          <w:tcPr>
            <w:tcW w:w="630" w:type="dxa"/>
            <w:tcBorders>
              <w:top w:val="nil"/>
              <w:left w:val="nil"/>
              <w:bottom w:val="nil"/>
              <w:right w:val="nil"/>
            </w:tcBorders>
            <w:noWrap/>
          </w:tcPr>
          <w:p w14:paraId="07B1461B" w14:textId="77777777" w:rsidR="00EB05DA" w:rsidRDefault="00EB05DA" w:rsidP="00CB7E5F">
            <w:pPr>
              <w:spacing w:after="0" w:line="240" w:lineRule="auto"/>
              <w:rPr>
                <w:sz w:val="20"/>
                <w:szCs w:val="20"/>
              </w:rPr>
            </w:pPr>
            <w:r>
              <w:rPr>
                <w:sz w:val="20"/>
                <w:szCs w:val="20"/>
              </w:rPr>
              <w:t>34</w:t>
            </w:r>
          </w:p>
        </w:tc>
        <w:tc>
          <w:tcPr>
            <w:tcW w:w="630" w:type="dxa"/>
            <w:tcBorders>
              <w:top w:val="nil"/>
              <w:left w:val="nil"/>
              <w:bottom w:val="nil"/>
              <w:right w:val="nil"/>
            </w:tcBorders>
            <w:noWrap/>
          </w:tcPr>
          <w:p w14:paraId="36DB2E8F" w14:textId="77777777" w:rsidR="00EB05DA" w:rsidRDefault="00EB05DA" w:rsidP="00CB7E5F">
            <w:pPr>
              <w:spacing w:after="0" w:line="240" w:lineRule="auto"/>
              <w:rPr>
                <w:sz w:val="20"/>
                <w:szCs w:val="20"/>
              </w:rPr>
            </w:pPr>
            <w:r>
              <w:rPr>
                <w:rFonts w:cs="Calibri"/>
                <w:color w:val="000000"/>
                <w:sz w:val="20"/>
                <w:szCs w:val="20"/>
              </w:rPr>
              <w:t>49.3</w:t>
            </w:r>
          </w:p>
        </w:tc>
        <w:tc>
          <w:tcPr>
            <w:tcW w:w="540" w:type="dxa"/>
            <w:tcBorders>
              <w:top w:val="nil"/>
              <w:left w:val="nil"/>
              <w:bottom w:val="nil"/>
              <w:right w:val="nil"/>
            </w:tcBorders>
            <w:noWrap/>
          </w:tcPr>
          <w:p w14:paraId="1195F8FF" w14:textId="77777777" w:rsidR="00EB05DA" w:rsidRDefault="00EB05DA" w:rsidP="00CB7E5F">
            <w:pPr>
              <w:spacing w:after="0" w:line="240" w:lineRule="auto"/>
              <w:rPr>
                <w:sz w:val="20"/>
                <w:szCs w:val="20"/>
              </w:rPr>
            </w:pPr>
            <w:r>
              <w:rPr>
                <w:sz w:val="20"/>
                <w:szCs w:val="20"/>
              </w:rPr>
              <w:t>33</w:t>
            </w:r>
          </w:p>
        </w:tc>
        <w:tc>
          <w:tcPr>
            <w:tcW w:w="630" w:type="dxa"/>
            <w:tcBorders>
              <w:top w:val="nil"/>
              <w:left w:val="nil"/>
              <w:bottom w:val="nil"/>
              <w:right w:val="nil"/>
            </w:tcBorders>
            <w:noWrap/>
          </w:tcPr>
          <w:p w14:paraId="417E0855" w14:textId="77777777" w:rsidR="00EB05DA" w:rsidRDefault="00EB05DA" w:rsidP="00CB7E5F">
            <w:pPr>
              <w:spacing w:after="0" w:line="240" w:lineRule="auto"/>
              <w:rPr>
                <w:sz w:val="20"/>
                <w:szCs w:val="20"/>
              </w:rPr>
            </w:pPr>
            <w:r>
              <w:rPr>
                <w:rFonts w:cs="Calibri"/>
                <w:color w:val="000000"/>
                <w:sz w:val="20"/>
                <w:szCs w:val="20"/>
              </w:rPr>
              <w:t>53.2</w:t>
            </w:r>
          </w:p>
        </w:tc>
      </w:tr>
      <w:tr w:rsidR="00EB05DA" w:rsidRPr="009D6764" w14:paraId="23DC977E" w14:textId="77777777" w:rsidTr="00CB7E5F">
        <w:trPr>
          <w:trHeight w:val="300"/>
        </w:trPr>
        <w:tc>
          <w:tcPr>
            <w:tcW w:w="2198" w:type="dxa"/>
            <w:tcBorders>
              <w:top w:val="nil"/>
              <w:left w:val="nil"/>
              <w:bottom w:val="nil"/>
              <w:right w:val="nil"/>
            </w:tcBorders>
            <w:noWrap/>
          </w:tcPr>
          <w:p w14:paraId="2ECAF392"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Education re violence</w:t>
            </w:r>
          </w:p>
        </w:tc>
        <w:tc>
          <w:tcPr>
            <w:tcW w:w="520" w:type="dxa"/>
            <w:tcBorders>
              <w:top w:val="nil"/>
              <w:left w:val="nil"/>
              <w:bottom w:val="nil"/>
              <w:right w:val="nil"/>
            </w:tcBorders>
            <w:noWrap/>
          </w:tcPr>
          <w:p w14:paraId="3AEEEEFF" w14:textId="77777777" w:rsidR="00EB05DA" w:rsidRDefault="00EB05DA" w:rsidP="00CB7E5F">
            <w:pPr>
              <w:spacing w:after="0" w:line="240" w:lineRule="auto"/>
              <w:rPr>
                <w:sz w:val="20"/>
                <w:szCs w:val="20"/>
              </w:rPr>
            </w:pPr>
            <w:r>
              <w:rPr>
                <w:sz w:val="20"/>
                <w:szCs w:val="20"/>
              </w:rPr>
              <w:t>4</w:t>
            </w:r>
          </w:p>
        </w:tc>
        <w:tc>
          <w:tcPr>
            <w:tcW w:w="630" w:type="dxa"/>
            <w:tcBorders>
              <w:top w:val="nil"/>
              <w:left w:val="nil"/>
              <w:bottom w:val="nil"/>
              <w:right w:val="nil"/>
            </w:tcBorders>
            <w:noWrap/>
          </w:tcPr>
          <w:p w14:paraId="7B5386FF" w14:textId="77777777" w:rsidR="00EB05DA" w:rsidRDefault="00EB05DA" w:rsidP="00CB7E5F">
            <w:pPr>
              <w:spacing w:after="0" w:line="240" w:lineRule="auto"/>
              <w:rPr>
                <w:sz w:val="20"/>
                <w:szCs w:val="20"/>
              </w:rPr>
            </w:pPr>
            <w:r>
              <w:rPr>
                <w:sz w:val="20"/>
                <w:szCs w:val="20"/>
              </w:rPr>
              <w:t>20.0</w:t>
            </w:r>
          </w:p>
        </w:tc>
        <w:tc>
          <w:tcPr>
            <w:tcW w:w="540" w:type="dxa"/>
            <w:tcBorders>
              <w:top w:val="nil"/>
              <w:left w:val="nil"/>
              <w:bottom w:val="nil"/>
              <w:right w:val="nil"/>
            </w:tcBorders>
            <w:noWrap/>
          </w:tcPr>
          <w:p w14:paraId="4E6EE716" w14:textId="77777777" w:rsidR="00EB05DA" w:rsidRDefault="00EB05DA" w:rsidP="00CB7E5F">
            <w:pPr>
              <w:spacing w:after="0" w:line="240" w:lineRule="auto"/>
              <w:rPr>
                <w:sz w:val="20"/>
                <w:szCs w:val="20"/>
              </w:rPr>
            </w:pPr>
            <w:r>
              <w:rPr>
                <w:sz w:val="20"/>
                <w:szCs w:val="20"/>
              </w:rPr>
              <w:t>5</w:t>
            </w:r>
          </w:p>
        </w:tc>
        <w:tc>
          <w:tcPr>
            <w:tcW w:w="720" w:type="dxa"/>
            <w:tcBorders>
              <w:top w:val="nil"/>
              <w:left w:val="nil"/>
              <w:bottom w:val="nil"/>
              <w:right w:val="nil"/>
            </w:tcBorders>
            <w:noWrap/>
          </w:tcPr>
          <w:p w14:paraId="0FA419FA" w14:textId="77777777" w:rsidR="00EB05DA" w:rsidRDefault="00EB05DA" w:rsidP="00CB7E5F">
            <w:pPr>
              <w:spacing w:after="0" w:line="240" w:lineRule="auto"/>
              <w:rPr>
                <w:sz w:val="20"/>
                <w:szCs w:val="20"/>
              </w:rPr>
            </w:pPr>
            <w:r>
              <w:rPr>
                <w:rFonts w:cs="Calibri"/>
                <w:color w:val="000000"/>
                <w:sz w:val="20"/>
                <w:szCs w:val="20"/>
              </w:rPr>
              <w:t>35.7</w:t>
            </w:r>
          </w:p>
        </w:tc>
        <w:tc>
          <w:tcPr>
            <w:tcW w:w="540" w:type="dxa"/>
            <w:tcBorders>
              <w:top w:val="nil"/>
              <w:left w:val="nil"/>
              <w:bottom w:val="nil"/>
              <w:right w:val="nil"/>
            </w:tcBorders>
            <w:noWrap/>
          </w:tcPr>
          <w:p w14:paraId="25853D46" w14:textId="77777777" w:rsidR="00EB05DA" w:rsidRDefault="00EB05DA" w:rsidP="00CB7E5F">
            <w:pPr>
              <w:spacing w:after="0" w:line="240" w:lineRule="auto"/>
              <w:rPr>
                <w:sz w:val="20"/>
                <w:szCs w:val="20"/>
              </w:rPr>
            </w:pPr>
            <w:r>
              <w:rPr>
                <w:sz w:val="20"/>
                <w:szCs w:val="20"/>
              </w:rPr>
              <w:t>10</w:t>
            </w:r>
          </w:p>
        </w:tc>
        <w:tc>
          <w:tcPr>
            <w:tcW w:w="630" w:type="dxa"/>
            <w:tcBorders>
              <w:top w:val="nil"/>
              <w:left w:val="nil"/>
              <w:bottom w:val="nil"/>
              <w:right w:val="single" w:sz="4" w:space="0" w:color="auto"/>
            </w:tcBorders>
            <w:noWrap/>
          </w:tcPr>
          <w:p w14:paraId="038C7BC7" w14:textId="77777777" w:rsidR="00EB05DA" w:rsidRDefault="00EB05DA" w:rsidP="00CB7E5F">
            <w:pPr>
              <w:spacing w:after="0" w:line="240" w:lineRule="auto"/>
              <w:rPr>
                <w:sz w:val="20"/>
                <w:szCs w:val="20"/>
              </w:rPr>
            </w:pPr>
            <w:r>
              <w:rPr>
                <w:rFonts w:cs="Calibri"/>
                <w:color w:val="000000"/>
                <w:sz w:val="20"/>
                <w:szCs w:val="20"/>
              </w:rPr>
              <w:t>76.9</w:t>
            </w:r>
          </w:p>
        </w:tc>
        <w:tc>
          <w:tcPr>
            <w:tcW w:w="540" w:type="dxa"/>
            <w:tcBorders>
              <w:top w:val="nil"/>
              <w:left w:val="single" w:sz="4" w:space="0" w:color="auto"/>
              <w:bottom w:val="nil"/>
              <w:right w:val="nil"/>
            </w:tcBorders>
            <w:noWrap/>
          </w:tcPr>
          <w:p w14:paraId="3F753080" w14:textId="77777777" w:rsidR="00EB05DA" w:rsidRDefault="00EB05DA" w:rsidP="00CB7E5F">
            <w:pPr>
              <w:spacing w:after="0" w:line="240" w:lineRule="auto"/>
              <w:rPr>
                <w:sz w:val="20"/>
                <w:szCs w:val="20"/>
              </w:rPr>
            </w:pPr>
            <w:r>
              <w:rPr>
                <w:sz w:val="20"/>
                <w:szCs w:val="20"/>
              </w:rPr>
              <w:t>23</w:t>
            </w:r>
          </w:p>
        </w:tc>
        <w:tc>
          <w:tcPr>
            <w:tcW w:w="630" w:type="dxa"/>
            <w:tcBorders>
              <w:top w:val="nil"/>
              <w:left w:val="nil"/>
              <w:bottom w:val="nil"/>
              <w:right w:val="nil"/>
            </w:tcBorders>
            <w:noWrap/>
          </w:tcPr>
          <w:p w14:paraId="0DD2629D" w14:textId="77777777" w:rsidR="00EB05DA" w:rsidRDefault="00EB05DA" w:rsidP="00CB7E5F">
            <w:pPr>
              <w:spacing w:after="0" w:line="240" w:lineRule="auto"/>
              <w:rPr>
                <w:sz w:val="20"/>
                <w:szCs w:val="20"/>
              </w:rPr>
            </w:pPr>
            <w:r>
              <w:rPr>
                <w:rFonts w:cs="Calibri"/>
                <w:color w:val="000000"/>
                <w:sz w:val="20"/>
                <w:szCs w:val="20"/>
              </w:rPr>
              <w:t>50.0</w:t>
            </w:r>
          </w:p>
        </w:tc>
        <w:tc>
          <w:tcPr>
            <w:tcW w:w="630" w:type="dxa"/>
            <w:tcBorders>
              <w:top w:val="nil"/>
              <w:left w:val="nil"/>
              <w:bottom w:val="nil"/>
              <w:right w:val="nil"/>
            </w:tcBorders>
            <w:noWrap/>
          </w:tcPr>
          <w:p w14:paraId="5B1DD8C8" w14:textId="77777777" w:rsidR="00EB05DA" w:rsidRDefault="00EB05DA" w:rsidP="00CB7E5F">
            <w:pPr>
              <w:spacing w:after="0" w:line="240" w:lineRule="auto"/>
              <w:rPr>
                <w:sz w:val="20"/>
                <w:szCs w:val="20"/>
              </w:rPr>
            </w:pPr>
            <w:r>
              <w:rPr>
                <w:sz w:val="20"/>
                <w:szCs w:val="20"/>
              </w:rPr>
              <w:t>29</w:t>
            </w:r>
          </w:p>
        </w:tc>
        <w:tc>
          <w:tcPr>
            <w:tcW w:w="630" w:type="dxa"/>
            <w:tcBorders>
              <w:top w:val="nil"/>
              <w:left w:val="nil"/>
              <w:bottom w:val="nil"/>
              <w:right w:val="nil"/>
            </w:tcBorders>
            <w:noWrap/>
          </w:tcPr>
          <w:p w14:paraId="23124FE4" w14:textId="77777777" w:rsidR="00EB05DA" w:rsidRDefault="00EB05DA" w:rsidP="00CB7E5F">
            <w:pPr>
              <w:spacing w:after="0" w:line="240" w:lineRule="auto"/>
              <w:rPr>
                <w:sz w:val="20"/>
                <w:szCs w:val="20"/>
              </w:rPr>
            </w:pPr>
            <w:r>
              <w:rPr>
                <w:rFonts w:cs="Calibri"/>
                <w:color w:val="000000"/>
                <w:sz w:val="20"/>
                <w:szCs w:val="20"/>
              </w:rPr>
              <w:t>52.7</w:t>
            </w:r>
          </w:p>
        </w:tc>
        <w:tc>
          <w:tcPr>
            <w:tcW w:w="630" w:type="dxa"/>
            <w:tcBorders>
              <w:top w:val="nil"/>
              <w:left w:val="nil"/>
              <w:bottom w:val="nil"/>
              <w:right w:val="nil"/>
            </w:tcBorders>
            <w:noWrap/>
          </w:tcPr>
          <w:p w14:paraId="108FB280" w14:textId="77777777" w:rsidR="00EB05DA" w:rsidRDefault="00EB05DA" w:rsidP="00CB7E5F">
            <w:pPr>
              <w:spacing w:after="0" w:line="240" w:lineRule="auto"/>
              <w:rPr>
                <w:sz w:val="20"/>
                <w:szCs w:val="20"/>
              </w:rPr>
            </w:pPr>
            <w:r>
              <w:rPr>
                <w:sz w:val="20"/>
                <w:szCs w:val="20"/>
              </w:rPr>
              <w:t>33</w:t>
            </w:r>
          </w:p>
        </w:tc>
        <w:tc>
          <w:tcPr>
            <w:tcW w:w="630" w:type="dxa"/>
            <w:tcBorders>
              <w:top w:val="nil"/>
              <w:left w:val="nil"/>
              <w:bottom w:val="nil"/>
              <w:right w:val="single" w:sz="4" w:space="0" w:color="auto"/>
            </w:tcBorders>
            <w:noWrap/>
          </w:tcPr>
          <w:p w14:paraId="73BF95B7" w14:textId="77777777" w:rsidR="00EB05DA" w:rsidRDefault="00EB05DA" w:rsidP="00CB7E5F">
            <w:pPr>
              <w:spacing w:after="0" w:line="240" w:lineRule="auto"/>
              <w:rPr>
                <w:sz w:val="20"/>
                <w:szCs w:val="20"/>
              </w:rPr>
            </w:pPr>
            <w:r>
              <w:rPr>
                <w:rFonts w:cs="Calibri"/>
                <w:color w:val="000000"/>
                <w:sz w:val="20"/>
                <w:szCs w:val="20"/>
              </w:rPr>
              <w:t>67.4</w:t>
            </w:r>
          </w:p>
        </w:tc>
        <w:tc>
          <w:tcPr>
            <w:tcW w:w="630" w:type="dxa"/>
            <w:tcBorders>
              <w:top w:val="nil"/>
              <w:left w:val="single" w:sz="4" w:space="0" w:color="auto"/>
              <w:bottom w:val="nil"/>
              <w:right w:val="nil"/>
            </w:tcBorders>
            <w:noWrap/>
          </w:tcPr>
          <w:p w14:paraId="17DF76AF" w14:textId="77777777" w:rsidR="00EB05DA" w:rsidRDefault="00EB05DA" w:rsidP="00CB7E5F">
            <w:pPr>
              <w:spacing w:after="0" w:line="240" w:lineRule="auto"/>
              <w:rPr>
                <w:sz w:val="20"/>
                <w:szCs w:val="20"/>
              </w:rPr>
            </w:pPr>
            <w:r>
              <w:rPr>
                <w:sz w:val="20"/>
                <w:szCs w:val="20"/>
              </w:rPr>
              <w:t>27</w:t>
            </w:r>
          </w:p>
        </w:tc>
        <w:tc>
          <w:tcPr>
            <w:tcW w:w="630" w:type="dxa"/>
            <w:tcBorders>
              <w:top w:val="nil"/>
              <w:left w:val="nil"/>
              <w:bottom w:val="nil"/>
              <w:right w:val="nil"/>
            </w:tcBorders>
            <w:noWrap/>
          </w:tcPr>
          <w:p w14:paraId="72D8CBF2" w14:textId="77777777" w:rsidR="00EB05DA" w:rsidRDefault="00EB05DA" w:rsidP="00CB7E5F">
            <w:pPr>
              <w:spacing w:after="0" w:line="240" w:lineRule="auto"/>
              <w:rPr>
                <w:sz w:val="20"/>
                <w:szCs w:val="20"/>
              </w:rPr>
            </w:pPr>
            <w:r>
              <w:rPr>
                <w:rFonts w:cs="Calibri"/>
                <w:color w:val="000000"/>
                <w:sz w:val="20"/>
                <w:szCs w:val="20"/>
              </w:rPr>
              <w:t>40.9</w:t>
            </w:r>
          </w:p>
        </w:tc>
        <w:tc>
          <w:tcPr>
            <w:tcW w:w="630" w:type="dxa"/>
            <w:tcBorders>
              <w:top w:val="nil"/>
              <w:left w:val="nil"/>
              <w:bottom w:val="nil"/>
              <w:right w:val="nil"/>
            </w:tcBorders>
            <w:noWrap/>
          </w:tcPr>
          <w:p w14:paraId="021501D9" w14:textId="77777777" w:rsidR="00EB05DA" w:rsidRDefault="00EB05DA" w:rsidP="00CB7E5F">
            <w:pPr>
              <w:spacing w:after="0" w:line="240" w:lineRule="auto"/>
              <w:rPr>
                <w:sz w:val="20"/>
                <w:szCs w:val="20"/>
              </w:rPr>
            </w:pPr>
            <w:r>
              <w:rPr>
                <w:sz w:val="20"/>
                <w:szCs w:val="20"/>
              </w:rPr>
              <w:t>34</w:t>
            </w:r>
          </w:p>
        </w:tc>
        <w:tc>
          <w:tcPr>
            <w:tcW w:w="630" w:type="dxa"/>
            <w:tcBorders>
              <w:top w:val="nil"/>
              <w:left w:val="nil"/>
              <w:bottom w:val="nil"/>
              <w:right w:val="nil"/>
            </w:tcBorders>
            <w:noWrap/>
          </w:tcPr>
          <w:p w14:paraId="7AF489EA" w14:textId="77777777" w:rsidR="00EB05DA" w:rsidRDefault="00EB05DA" w:rsidP="00CB7E5F">
            <w:pPr>
              <w:spacing w:after="0" w:line="240" w:lineRule="auto"/>
              <w:rPr>
                <w:sz w:val="20"/>
                <w:szCs w:val="20"/>
              </w:rPr>
            </w:pPr>
            <w:r>
              <w:rPr>
                <w:rFonts w:cs="Calibri"/>
                <w:color w:val="000000"/>
                <w:sz w:val="20"/>
                <w:szCs w:val="20"/>
              </w:rPr>
              <w:t>49.3</w:t>
            </w:r>
          </w:p>
        </w:tc>
        <w:tc>
          <w:tcPr>
            <w:tcW w:w="540" w:type="dxa"/>
            <w:tcBorders>
              <w:top w:val="nil"/>
              <w:left w:val="nil"/>
              <w:bottom w:val="nil"/>
              <w:right w:val="nil"/>
            </w:tcBorders>
            <w:noWrap/>
          </w:tcPr>
          <w:p w14:paraId="125BDD09" w14:textId="77777777" w:rsidR="00EB05DA" w:rsidRDefault="00EB05DA" w:rsidP="00CB7E5F">
            <w:pPr>
              <w:spacing w:after="0" w:line="240" w:lineRule="auto"/>
              <w:rPr>
                <w:sz w:val="20"/>
                <w:szCs w:val="20"/>
              </w:rPr>
            </w:pPr>
            <w:r>
              <w:rPr>
                <w:sz w:val="20"/>
                <w:szCs w:val="20"/>
              </w:rPr>
              <w:t>43</w:t>
            </w:r>
          </w:p>
        </w:tc>
        <w:tc>
          <w:tcPr>
            <w:tcW w:w="630" w:type="dxa"/>
            <w:tcBorders>
              <w:top w:val="nil"/>
              <w:left w:val="nil"/>
              <w:bottom w:val="nil"/>
              <w:right w:val="nil"/>
            </w:tcBorders>
            <w:noWrap/>
          </w:tcPr>
          <w:p w14:paraId="693B5299" w14:textId="77777777" w:rsidR="00EB05DA" w:rsidRDefault="00EB05DA" w:rsidP="00CB7E5F">
            <w:pPr>
              <w:spacing w:after="0" w:line="240" w:lineRule="auto"/>
              <w:rPr>
                <w:sz w:val="20"/>
                <w:szCs w:val="20"/>
              </w:rPr>
            </w:pPr>
            <w:r>
              <w:rPr>
                <w:rFonts w:cs="Calibri"/>
                <w:color w:val="000000"/>
                <w:sz w:val="20"/>
                <w:szCs w:val="20"/>
              </w:rPr>
              <w:t>69.4</w:t>
            </w:r>
          </w:p>
        </w:tc>
      </w:tr>
      <w:tr w:rsidR="00EB05DA" w:rsidRPr="009D6764" w14:paraId="21FFA38E" w14:textId="77777777" w:rsidTr="00CB7E5F">
        <w:trPr>
          <w:trHeight w:val="300"/>
        </w:trPr>
        <w:tc>
          <w:tcPr>
            <w:tcW w:w="2198" w:type="dxa"/>
            <w:tcBorders>
              <w:top w:val="nil"/>
              <w:left w:val="nil"/>
              <w:bottom w:val="nil"/>
              <w:right w:val="nil"/>
            </w:tcBorders>
            <w:noWrap/>
          </w:tcPr>
          <w:p w14:paraId="60AC836E"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Counseling</w:t>
            </w:r>
          </w:p>
        </w:tc>
        <w:tc>
          <w:tcPr>
            <w:tcW w:w="520" w:type="dxa"/>
            <w:tcBorders>
              <w:top w:val="nil"/>
              <w:left w:val="nil"/>
              <w:bottom w:val="nil"/>
              <w:right w:val="nil"/>
            </w:tcBorders>
            <w:noWrap/>
          </w:tcPr>
          <w:p w14:paraId="553AF7D0" w14:textId="77777777" w:rsidR="00EB05DA" w:rsidRDefault="00EB05DA" w:rsidP="00CB7E5F">
            <w:pPr>
              <w:spacing w:after="0" w:line="240" w:lineRule="auto"/>
              <w:rPr>
                <w:sz w:val="20"/>
                <w:szCs w:val="20"/>
              </w:rPr>
            </w:pPr>
            <w:r>
              <w:rPr>
                <w:sz w:val="20"/>
                <w:szCs w:val="20"/>
              </w:rPr>
              <w:t>0</w:t>
            </w:r>
          </w:p>
        </w:tc>
        <w:tc>
          <w:tcPr>
            <w:tcW w:w="630" w:type="dxa"/>
            <w:tcBorders>
              <w:top w:val="nil"/>
              <w:left w:val="nil"/>
              <w:bottom w:val="nil"/>
              <w:right w:val="nil"/>
            </w:tcBorders>
            <w:noWrap/>
          </w:tcPr>
          <w:p w14:paraId="5241D322" w14:textId="77777777" w:rsidR="00EB05DA" w:rsidRDefault="00EB05DA" w:rsidP="00CB7E5F">
            <w:pPr>
              <w:spacing w:after="0" w:line="240" w:lineRule="auto"/>
              <w:rPr>
                <w:sz w:val="20"/>
                <w:szCs w:val="20"/>
              </w:rPr>
            </w:pPr>
            <w:r>
              <w:rPr>
                <w:sz w:val="20"/>
                <w:szCs w:val="20"/>
              </w:rPr>
              <w:t>0</w:t>
            </w:r>
          </w:p>
        </w:tc>
        <w:tc>
          <w:tcPr>
            <w:tcW w:w="540" w:type="dxa"/>
            <w:tcBorders>
              <w:top w:val="nil"/>
              <w:left w:val="nil"/>
              <w:bottom w:val="nil"/>
              <w:right w:val="nil"/>
            </w:tcBorders>
            <w:noWrap/>
          </w:tcPr>
          <w:p w14:paraId="424DA0C2" w14:textId="77777777" w:rsidR="00EB05DA" w:rsidRDefault="00EB05DA" w:rsidP="00CB7E5F">
            <w:pPr>
              <w:spacing w:after="0" w:line="240" w:lineRule="auto"/>
              <w:rPr>
                <w:sz w:val="20"/>
                <w:szCs w:val="20"/>
              </w:rPr>
            </w:pPr>
            <w:r>
              <w:rPr>
                <w:sz w:val="20"/>
                <w:szCs w:val="20"/>
              </w:rPr>
              <w:t>3</w:t>
            </w:r>
          </w:p>
        </w:tc>
        <w:tc>
          <w:tcPr>
            <w:tcW w:w="720" w:type="dxa"/>
            <w:tcBorders>
              <w:top w:val="nil"/>
              <w:left w:val="nil"/>
              <w:bottom w:val="nil"/>
              <w:right w:val="nil"/>
            </w:tcBorders>
            <w:noWrap/>
          </w:tcPr>
          <w:p w14:paraId="371D1169" w14:textId="77777777" w:rsidR="00EB05DA" w:rsidRDefault="00EB05DA" w:rsidP="00CB7E5F">
            <w:pPr>
              <w:spacing w:after="0" w:line="240" w:lineRule="auto"/>
              <w:rPr>
                <w:sz w:val="20"/>
                <w:szCs w:val="20"/>
              </w:rPr>
            </w:pPr>
            <w:r>
              <w:rPr>
                <w:rFonts w:cs="Calibri"/>
                <w:color w:val="000000"/>
                <w:sz w:val="20"/>
                <w:szCs w:val="20"/>
              </w:rPr>
              <w:t>21.4</w:t>
            </w:r>
          </w:p>
        </w:tc>
        <w:tc>
          <w:tcPr>
            <w:tcW w:w="540" w:type="dxa"/>
            <w:tcBorders>
              <w:top w:val="nil"/>
              <w:left w:val="nil"/>
              <w:bottom w:val="nil"/>
              <w:right w:val="nil"/>
            </w:tcBorders>
            <w:noWrap/>
          </w:tcPr>
          <w:p w14:paraId="7131C84D" w14:textId="77777777" w:rsidR="00EB05DA" w:rsidRDefault="00EB05DA" w:rsidP="00CB7E5F">
            <w:pPr>
              <w:spacing w:after="0" w:line="240" w:lineRule="auto"/>
              <w:rPr>
                <w:sz w:val="20"/>
                <w:szCs w:val="20"/>
              </w:rPr>
            </w:pPr>
            <w:r>
              <w:rPr>
                <w:sz w:val="20"/>
                <w:szCs w:val="20"/>
              </w:rPr>
              <w:t>7</w:t>
            </w:r>
          </w:p>
        </w:tc>
        <w:tc>
          <w:tcPr>
            <w:tcW w:w="630" w:type="dxa"/>
            <w:tcBorders>
              <w:top w:val="nil"/>
              <w:left w:val="nil"/>
              <w:bottom w:val="nil"/>
              <w:right w:val="single" w:sz="4" w:space="0" w:color="auto"/>
            </w:tcBorders>
            <w:noWrap/>
          </w:tcPr>
          <w:p w14:paraId="1DDE260A" w14:textId="77777777" w:rsidR="00EB05DA" w:rsidRDefault="00EB05DA" w:rsidP="00CB7E5F">
            <w:pPr>
              <w:spacing w:after="0" w:line="240" w:lineRule="auto"/>
              <w:rPr>
                <w:sz w:val="20"/>
                <w:szCs w:val="20"/>
              </w:rPr>
            </w:pPr>
            <w:r>
              <w:rPr>
                <w:rFonts w:cs="Calibri"/>
                <w:color w:val="000000"/>
                <w:sz w:val="20"/>
                <w:szCs w:val="20"/>
              </w:rPr>
              <w:t>53.9</w:t>
            </w:r>
          </w:p>
        </w:tc>
        <w:tc>
          <w:tcPr>
            <w:tcW w:w="540" w:type="dxa"/>
            <w:tcBorders>
              <w:top w:val="nil"/>
              <w:left w:val="single" w:sz="4" w:space="0" w:color="auto"/>
              <w:bottom w:val="nil"/>
              <w:right w:val="nil"/>
            </w:tcBorders>
            <w:noWrap/>
          </w:tcPr>
          <w:p w14:paraId="6E660F0B" w14:textId="77777777" w:rsidR="00EB05DA" w:rsidRDefault="00EB05DA" w:rsidP="00CB7E5F">
            <w:pPr>
              <w:spacing w:after="0" w:line="240" w:lineRule="auto"/>
              <w:rPr>
                <w:sz w:val="20"/>
                <w:szCs w:val="20"/>
              </w:rPr>
            </w:pPr>
            <w:r>
              <w:rPr>
                <w:sz w:val="20"/>
                <w:szCs w:val="20"/>
              </w:rPr>
              <w:t>6</w:t>
            </w:r>
          </w:p>
        </w:tc>
        <w:tc>
          <w:tcPr>
            <w:tcW w:w="630" w:type="dxa"/>
            <w:tcBorders>
              <w:top w:val="nil"/>
              <w:left w:val="nil"/>
              <w:bottom w:val="nil"/>
              <w:right w:val="nil"/>
            </w:tcBorders>
            <w:noWrap/>
          </w:tcPr>
          <w:p w14:paraId="5C5C08CA" w14:textId="77777777" w:rsidR="00EB05DA" w:rsidRDefault="00EB05DA" w:rsidP="00CB7E5F">
            <w:pPr>
              <w:spacing w:after="0" w:line="240" w:lineRule="auto"/>
              <w:rPr>
                <w:sz w:val="20"/>
                <w:szCs w:val="20"/>
              </w:rPr>
            </w:pPr>
            <w:r>
              <w:rPr>
                <w:rFonts w:cs="Calibri"/>
                <w:color w:val="000000"/>
                <w:sz w:val="20"/>
                <w:szCs w:val="20"/>
              </w:rPr>
              <w:t>13.0</w:t>
            </w:r>
          </w:p>
        </w:tc>
        <w:tc>
          <w:tcPr>
            <w:tcW w:w="630" w:type="dxa"/>
            <w:tcBorders>
              <w:top w:val="nil"/>
              <w:left w:val="nil"/>
              <w:bottom w:val="nil"/>
              <w:right w:val="nil"/>
            </w:tcBorders>
            <w:noWrap/>
          </w:tcPr>
          <w:p w14:paraId="51CA0785" w14:textId="77777777" w:rsidR="00EB05DA" w:rsidRDefault="00EB05DA" w:rsidP="00CB7E5F">
            <w:pPr>
              <w:spacing w:after="0" w:line="240" w:lineRule="auto"/>
              <w:rPr>
                <w:sz w:val="20"/>
                <w:szCs w:val="20"/>
              </w:rPr>
            </w:pPr>
            <w:r>
              <w:rPr>
                <w:sz w:val="20"/>
                <w:szCs w:val="20"/>
              </w:rPr>
              <w:t>24</w:t>
            </w:r>
          </w:p>
        </w:tc>
        <w:tc>
          <w:tcPr>
            <w:tcW w:w="630" w:type="dxa"/>
            <w:tcBorders>
              <w:top w:val="nil"/>
              <w:left w:val="nil"/>
              <w:bottom w:val="nil"/>
              <w:right w:val="nil"/>
            </w:tcBorders>
            <w:noWrap/>
          </w:tcPr>
          <w:p w14:paraId="4E8F66DC" w14:textId="77777777" w:rsidR="00EB05DA" w:rsidRDefault="00EB05DA" w:rsidP="00CB7E5F">
            <w:pPr>
              <w:spacing w:after="0" w:line="240" w:lineRule="auto"/>
              <w:rPr>
                <w:sz w:val="20"/>
                <w:szCs w:val="20"/>
              </w:rPr>
            </w:pPr>
            <w:r>
              <w:rPr>
                <w:rFonts w:cs="Calibri"/>
                <w:color w:val="000000"/>
                <w:sz w:val="20"/>
                <w:szCs w:val="20"/>
              </w:rPr>
              <w:t>43.6</w:t>
            </w:r>
          </w:p>
        </w:tc>
        <w:tc>
          <w:tcPr>
            <w:tcW w:w="630" w:type="dxa"/>
            <w:tcBorders>
              <w:top w:val="nil"/>
              <w:left w:val="nil"/>
              <w:bottom w:val="nil"/>
              <w:right w:val="nil"/>
            </w:tcBorders>
            <w:noWrap/>
          </w:tcPr>
          <w:p w14:paraId="6E69F530" w14:textId="77777777" w:rsidR="00EB05DA" w:rsidRDefault="00EB05DA" w:rsidP="00CB7E5F">
            <w:pPr>
              <w:spacing w:after="0" w:line="240" w:lineRule="auto"/>
              <w:rPr>
                <w:sz w:val="20"/>
                <w:szCs w:val="20"/>
              </w:rPr>
            </w:pPr>
            <w:r>
              <w:rPr>
                <w:sz w:val="20"/>
                <w:szCs w:val="20"/>
              </w:rPr>
              <w:t>21</w:t>
            </w:r>
          </w:p>
        </w:tc>
        <w:tc>
          <w:tcPr>
            <w:tcW w:w="630" w:type="dxa"/>
            <w:tcBorders>
              <w:top w:val="nil"/>
              <w:left w:val="nil"/>
              <w:bottom w:val="nil"/>
              <w:right w:val="single" w:sz="4" w:space="0" w:color="auto"/>
            </w:tcBorders>
            <w:noWrap/>
          </w:tcPr>
          <w:p w14:paraId="71F02886" w14:textId="77777777" w:rsidR="00EB05DA" w:rsidRDefault="00EB05DA" w:rsidP="00CB7E5F">
            <w:pPr>
              <w:spacing w:after="0" w:line="240" w:lineRule="auto"/>
              <w:rPr>
                <w:sz w:val="20"/>
                <w:szCs w:val="20"/>
              </w:rPr>
            </w:pPr>
            <w:r>
              <w:rPr>
                <w:rFonts w:cs="Calibri"/>
                <w:color w:val="000000"/>
                <w:sz w:val="20"/>
                <w:szCs w:val="20"/>
              </w:rPr>
              <w:t>42.9</w:t>
            </w:r>
          </w:p>
        </w:tc>
        <w:tc>
          <w:tcPr>
            <w:tcW w:w="630" w:type="dxa"/>
            <w:tcBorders>
              <w:top w:val="nil"/>
              <w:left w:val="single" w:sz="4" w:space="0" w:color="auto"/>
              <w:bottom w:val="nil"/>
              <w:right w:val="nil"/>
            </w:tcBorders>
            <w:noWrap/>
          </w:tcPr>
          <w:p w14:paraId="254F80B6" w14:textId="77777777" w:rsidR="00EB05DA" w:rsidRDefault="00EB05DA" w:rsidP="00CB7E5F">
            <w:pPr>
              <w:spacing w:after="0" w:line="240" w:lineRule="auto"/>
              <w:rPr>
                <w:sz w:val="20"/>
                <w:szCs w:val="20"/>
              </w:rPr>
            </w:pPr>
            <w:r>
              <w:rPr>
                <w:sz w:val="20"/>
                <w:szCs w:val="20"/>
              </w:rPr>
              <w:t>6</w:t>
            </w:r>
          </w:p>
        </w:tc>
        <w:tc>
          <w:tcPr>
            <w:tcW w:w="630" w:type="dxa"/>
            <w:tcBorders>
              <w:top w:val="nil"/>
              <w:left w:val="nil"/>
              <w:bottom w:val="nil"/>
              <w:right w:val="nil"/>
            </w:tcBorders>
            <w:noWrap/>
          </w:tcPr>
          <w:p w14:paraId="76098C79" w14:textId="77777777" w:rsidR="00EB05DA" w:rsidRDefault="00EB05DA" w:rsidP="00CB7E5F">
            <w:pPr>
              <w:spacing w:after="0" w:line="240" w:lineRule="auto"/>
              <w:rPr>
                <w:sz w:val="20"/>
                <w:szCs w:val="20"/>
              </w:rPr>
            </w:pPr>
            <w:r>
              <w:rPr>
                <w:rFonts w:cs="Calibri"/>
                <w:color w:val="000000"/>
                <w:sz w:val="20"/>
                <w:szCs w:val="20"/>
              </w:rPr>
              <w:t>9.1</w:t>
            </w:r>
          </w:p>
        </w:tc>
        <w:tc>
          <w:tcPr>
            <w:tcW w:w="630" w:type="dxa"/>
            <w:tcBorders>
              <w:top w:val="nil"/>
              <w:left w:val="nil"/>
              <w:bottom w:val="nil"/>
              <w:right w:val="nil"/>
            </w:tcBorders>
            <w:noWrap/>
          </w:tcPr>
          <w:p w14:paraId="675EED4C" w14:textId="77777777" w:rsidR="00EB05DA" w:rsidRDefault="00EB05DA" w:rsidP="00CB7E5F">
            <w:pPr>
              <w:spacing w:after="0" w:line="240" w:lineRule="auto"/>
              <w:rPr>
                <w:sz w:val="20"/>
                <w:szCs w:val="20"/>
              </w:rPr>
            </w:pPr>
            <w:r>
              <w:rPr>
                <w:sz w:val="20"/>
                <w:szCs w:val="20"/>
              </w:rPr>
              <w:t>27</w:t>
            </w:r>
          </w:p>
        </w:tc>
        <w:tc>
          <w:tcPr>
            <w:tcW w:w="630" w:type="dxa"/>
            <w:tcBorders>
              <w:top w:val="nil"/>
              <w:left w:val="nil"/>
              <w:bottom w:val="nil"/>
              <w:right w:val="nil"/>
            </w:tcBorders>
            <w:noWrap/>
          </w:tcPr>
          <w:p w14:paraId="3FC279D1" w14:textId="77777777" w:rsidR="00EB05DA" w:rsidRDefault="00EB05DA" w:rsidP="00CB7E5F">
            <w:pPr>
              <w:spacing w:after="0" w:line="240" w:lineRule="auto"/>
              <w:rPr>
                <w:sz w:val="20"/>
                <w:szCs w:val="20"/>
              </w:rPr>
            </w:pPr>
            <w:r>
              <w:rPr>
                <w:rFonts w:cs="Calibri"/>
                <w:color w:val="000000"/>
                <w:sz w:val="20"/>
                <w:szCs w:val="20"/>
              </w:rPr>
              <w:t>39.1</w:t>
            </w:r>
          </w:p>
        </w:tc>
        <w:tc>
          <w:tcPr>
            <w:tcW w:w="540" w:type="dxa"/>
            <w:tcBorders>
              <w:top w:val="nil"/>
              <w:left w:val="nil"/>
              <w:bottom w:val="nil"/>
              <w:right w:val="nil"/>
            </w:tcBorders>
            <w:noWrap/>
          </w:tcPr>
          <w:p w14:paraId="22C80E69" w14:textId="77777777" w:rsidR="00EB05DA" w:rsidRDefault="00EB05DA" w:rsidP="00CB7E5F">
            <w:pPr>
              <w:spacing w:after="0" w:line="240" w:lineRule="auto"/>
              <w:rPr>
                <w:sz w:val="20"/>
                <w:szCs w:val="20"/>
              </w:rPr>
            </w:pPr>
            <w:r>
              <w:rPr>
                <w:sz w:val="20"/>
                <w:szCs w:val="20"/>
              </w:rPr>
              <w:t>28</w:t>
            </w:r>
          </w:p>
        </w:tc>
        <w:tc>
          <w:tcPr>
            <w:tcW w:w="630" w:type="dxa"/>
            <w:tcBorders>
              <w:top w:val="nil"/>
              <w:left w:val="nil"/>
              <w:bottom w:val="nil"/>
              <w:right w:val="nil"/>
            </w:tcBorders>
            <w:noWrap/>
          </w:tcPr>
          <w:p w14:paraId="6FDD908F" w14:textId="77777777" w:rsidR="00EB05DA" w:rsidRDefault="00EB05DA" w:rsidP="00CB7E5F">
            <w:pPr>
              <w:spacing w:after="0" w:line="240" w:lineRule="auto"/>
              <w:rPr>
                <w:sz w:val="20"/>
                <w:szCs w:val="20"/>
              </w:rPr>
            </w:pPr>
            <w:r>
              <w:rPr>
                <w:rFonts w:cs="Calibri"/>
                <w:color w:val="000000"/>
                <w:sz w:val="20"/>
                <w:szCs w:val="20"/>
              </w:rPr>
              <w:t>45.2</w:t>
            </w:r>
          </w:p>
        </w:tc>
      </w:tr>
      <w:tr w:rsidR="00EB05DA" w:rsidRPr="009D6764" w14:paraId="3ADE443F" w14:textId="77777777" w:rsidTr="00CB7E5F">
        <w:trPr>
          <w:trHeight w:val="300"/>
        </w:trPr>
        <w:tc>
          <w:tcPr>
            <w:tcW w:w="2198" w:type="dxa"/>
            <w:tcBorders>
              <w:top w:val="nil"/>
              <w:left w:val="nil"/>
              <w:bottom w:val="nil"/>
              <w:right w:val="nil"/>
            </w:tcBorders>
            <w:noWrap/>
          </w:tcPr>
          <w:p w14:paraId="67323DC0"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Providing activities</w:t>
            </w:r>
          </w:p>
        </w:tc>
        <w:tc>
          <w:tcPr>
            <w:tcW w:w="520" w:type="dxa"/>
            <w:tcBorders>
              <w:top w:val="nil"/>
              <w:left w:val="nil"/>
              <w:bottom w:val="nil"/>
              <w:right w:val="nil"/>
            </w:tcBorders>
            <w:noWrap/>
          </w:tcPr>
          <w:p w14:paraId="0D77CD50" w14:textId="77777777" w:rsidR="00EB05DA" w:rsidRDefault="00EB05DA" w:rsidP="00CB7E5F">
            <w:pPr>
              <w:spacing w:after="0" w:line="240" w:lineRule="auto"/>
              <w:rPr>
                <w:sz w:val="20"/>
                <w:szCs w:val="20"/>
              </w:rPr>
            </w:pPr>
            <w:r>
              <w:rPr>
                <w:sz w:val="20"/>
                <w:szCs w:val="20"/>
              </w:rPr>
              <w:t>3</w:t>
            </w:r>
          </w:p>
        </w:tc>
        <w:tc>
          <w:tcPr>
            <w:tcW w:w="630" w:type="dxa"/>
            <w:tcBorders>
              <w:top w:val="nil"/>
              <w:left w:val="nil"/>
              <w:bottom w:val="nil"/>
              <w:right w:val="nil"/>
            </w:tcBorders>
            <w:noWrap/>
          </w:tcPr>
          <w:p w14:paraId="480C3261" w14:textId="77777777" w:rsidR="00EB05DA" w:rsidRDefault="00EB05DA" w:rsidP="00CB7E5F">
            <w:pPr>
              <w:spacing w:after="0" w:line="240" w:lineRule="auto"/>
              <w:rPr>
                <w:sz w:val="20"/>
                <w:szCs w:val="20"/>
              </w:rPr>
            </w:pPr>
            <w:r>
              <w:rPr>
                <w:sz w:val="20"/>
                <w:szCs w:val="20"/>
              </w:rPr>
              <w:t>15.0</w:t>
            </w:r>
          </w:p>
        </w:tc>
        <w:tc>
          <w:tcPr>
            <w:tcW w:w="540" w:type="dxa"/>
            <w:tcBorders>
              <w:top w:val="nil"/>
              <w:left w:val="nil"/>
              <w:bottom w:val="nil"/>
              <w:right w:val="nil"/>
            </w:tcBorders>
            <w:noWrap/>
          </w:tcPr>
          <w:p w14:paraId="16F5958C" w14:textId="77777777" w:rsidR="00EB05DA" w:rsidRDefault="00EB05DA" w:rsidP="00CB7E5F">
            <w:pPr>
              <w:spacing w:after="0" w:line="240" w:lineRule="auto"/>
              <w:rPr>
                <w:sz w:val="20"/>
                <w:szCs w:val="20"/>
              </w:rPr>
            </w:pPr>
            <w:r>
              <w:rPr>
                <w:sz w:val="20"/>
                <w:szCs w:val="20"/>
              </w:rPr>
              <w:t>7</w:t>
            </w:r>
          </w:p>
        </w:tc>
        <w:tc>
          <w:tcPr>
            <w:tcW w:w="720" w:type="dxa"/>
            <w:tcBorders>
              <w:top w:val="nil"/>
              <w:left w:val="nil"/>
              <w:bottom w:val="nil"/>
              <w:right w:val="nil"/>
            </w:tcBorders>
            <w:noWrap/>
          </w:tcPr>
          <w:p w14:paraId="6676DB52" w14:textId="77777777" w:rsidR="00EB05DA" w:rsidRDefault="00EB05DA" w:rsidP="00CB7E5F">
            <w:pPr>
              <w:spacing w:after="0" w:line="240" w:lineRule="auto"/>
              <w:rPr>
                <w:sz w:val="20"/>
                <w:szCs w:val="20"/>
              </w:rPr>
            </w:pPr>
            <w:r>
              <w:rPr>
                <w:rFonts w:cs="Calibri"/>
                <w:color w:val="000000"/>
                <w:sz w:val="20"/>
                <w:szCs w:val="20"/>
              </w:rPr>
              <w:t>50.0</w:t>
            </w:r>
          </w:p>
        </w:tc>
        <w:tc>
          <w:tcPr>
            <w:tcW w:w="540" w:type="dxa"/>
            <w:tcBorders>
              <w:top w:val="nil"/>
              <w:left w:val="nil"/>
              <w:bottom w:val="nil"/>
              <w:right w:val="nil"/>
            </w:tcBorders>
            <w:noWrap/>
          </w:tcPr>
          <w:p w14:paraId="78C8D338" w14:textId="77777777" w:rsidR="00EB05DA" w:rsidRDefault="00EB05DA" w:rsidP="00CB7E5F">
            <w:pPr>
              <w:spacing w:after="0" w:line="240" w:lineRule="auto"/>
              <w:rPr>
                <w:sz w:val="20"/>
                <w:szCs w:val="20"/>
              </w:rPr>
            </w:pPr>
            <w:r>
              <w:rPr>
                <w:sz w:val="20"/>
                <w:szCs w:val="20"/>
              </w:rPr>
              <w:t>9</w:t>
            </w:r>
          </w:p>
        </w:tc>
        <w:tc>
          <w:tcPr>
            <w:tcW w:w="630" w:type="dxa"/>
            <w:tcBorders>
              <w:top w:val="nil"/>
              <w:left w:val="nil"/>
              <w:bottom w:val="nil"/>
              <w:right w:val="single" w:sz="4" w:space="0" w:color="auto"/>
            </w:tcBorders>
            <w:noWrap/>
          </w:tcPr>
          <w:p w14:paraId="4B5C03E7" w14:textId="77777777" w:rsidR="00EB05DA" w:rsidRDefault="00EB05DA" w:rsidP="00CB7E5F">
            <w:pPr>
              <w:spacing w:after="0" w:line="240" w:lineRule="auto"/>
              <w:rPr>
                <w:sz w:val="20"/>
                <w:szCs w:val="20"/>
              </w:rPr>
            </w:pPr>
            <w:r>
              <w:rPr>
                <w:rFonts w:cs="Calibri"/>
                <w:color w:val="000000"/>
                <w:sz w:val="20"/>
                <w:szCs w:val="20"/>
              </w:rPr>
              <w:t>69.2</w:t>
            </w:r>
          </w:p>
        </w:tc>
        <w:tc>
          <w:tcPr>
            <w:tcW w:w="540" w:type="dxa"/>
            <w:tcBorders>
              <w:top w:val="nil"/>
              <w:left w:val="single" w:sz="4" w:space="0" w:color="auto"/>
              <w:bottom w:val="nil"/>
              <w:right w:val="nil"/>
            </w:tcBorders>
            <w:noWrap/>
          </w:tcPr>
          <w:p w14:paraId="240E98CD" w14:textId="77777777" w:rsidR="00EB05DA" w:rsidRDefault="00EB05DA" w:rsidP="00CB7E5F">
            <w:pPr>
              <w:spacing w:after="0" w:line="240" w:lineRule="auto"/>
              <w:rPr>
                <w:sz w:val="20"/>
                <w:szCs w:val="20"/>
              </w:rPr>
            </w:pPr>
            <w:r>
              <w:rPr>
                <w:sz w:val="20"/>
                <w:szCs w:val="20"/>
              </w:rPr>
              <w:t>15</w:t>
            </w:r>
          </w:p>
        </w:tc>
        <w:tc>
          <w:tcPr>
            <w:tcW w:w="630" w:type="dxa"/>
            <w:tcBorders>
              <w:top w:val="nil"/>
              <w:left w:val="nil"/>
              <w:bottom w:val="nil"/>
              <w:right w:val="nil"/>
            </w:tcBorders>
            <w:noWrap/>
          </w:tcPr>
          <w:p w14:paraId="5F08A8D1" w14:textId="77777777" w:rsidR="00EB05DA" w:rsidRDefault="00EB05DA" w:rsidP="00CB7E5F">
            <w:pPr>
              <w:spacing w:after="0" w:line="240" w:lineRule="auto"/>
              <w:rPr>
                <w:sz w:val="20"/>
                <w:szCs w:val="20"/>
              </w:rPr>
            </w:pPr>
            <w:r>
              <w:rPr>
                <w:rFonts w:cs="Calibri"/>
                <w:color w:val="000000"/>
                <w:sz w:val="20"/>
                <w:szCs w:val="20"/>
              </w:rPr>
              <w:t>32.6</w:t>
            </w:r>
          </w:p>
        </w:tc>
        <w:tc>
          <w:tcPr>
            <w:tcW w:w="630" w:type="dxa"/>
            <w:tcBorders>
              <w:top w:val="nil"/>
              <w:left w:val="nil"/>
              <w:bottom w:val="nil"/>
              <w:right w:val="nil"/>
            </w:tcBorders>
            <w:noWrap/>
          </w:tcPr>
          <w:p w14:paraId="6A414A8A" w14:textId="77777777" w:rsidR="00EB05DA" w:rsidRDefault="00EB05DA" w:rsidP="00CB7E5F">
            <w:pPr>
              <w:spacing w:after="0" w:line="240" w:lineRule="auto"/>
              <w:rPr>
                <w:sz w:val="20"/>
                <w:szCs w:val="20"/>
              </w:rPr>
            </w:pPr>
            <w:r>
              <w:rPr>
                <w:sz w:val="20"/>
                <w:szCs w:val="20"/>
              </w:rPr>
              <w:t>26</w:t>
            </w:r>
          </w:p>
        </w:tc>
        <w:tc>
          <w:tcPr>
            <w:tcW w:w="630" w:type="dxa"/>
            <w:tcBorders>
              <w:top w:val="nil"/>
              <w:left w:val="nil"/>
              <w:bottom w:val="nil"/>
              <w:right w:val="nil"/>
            </w:tcBorders>
            <w:noWrap/>
          </w:tcPr>
          <w:p w14:paraId="65D5908F" w14:textId="77777777" w:rsidR="00EB05DA" w:rsidRDefault="00EB05DA" w:rsidP="00CB7E5F">
            <w:pPr>
              <w:spacing w:after="0" w:line="240" w:lineRule="auto"/>
              <w:rPr>
                <w:sz w:val="20"/>
                <w:szCs w:val="20"/>
              </w:rPr>
            </w:pPr>
            <w:r>
              <w:rPr>
                <w:rFonts w:cs="Calibri"/>
                <w:color w:val="000000"/>
                <w:sz w:val="20"/>
                <w:szCs w:val="20"/>
              </w:rPr>
              <w:t>47.3</w:t>
            </w:r>
          </w:p>
        </w:tc>
        <w:tc>
          <w:tcPr>
            <w:tcW w:w="630" w:type="dxa"/>
            <w:tcBorders>
              <w:top w:val="nil"/>
              <w:left w:val="nil"/>
              <w:bottom w:val="nil"/>
              <w:right w:val="nil"/>
            </w:tcBorders>
            <w:noWrap/>
          </w:tcPr>
          <w:p w14:paraId="4D17A487" w14:textId="77777777" w:rsidR="00EB05DA" w:rsidRDefault="00EB05DA" w:rsidP="00CB7E5F">
            <w:pPr>
              <w:spacing w:after="0" w:line="240" w:lineRule="auto"/>
              <w:rPr>
                <w:sz w:val="20"/>
                <w:szCs w:val="20"/>
              </w:rPr>
            </w:pPr>
            <w:r>
              <w:rPr>
                <w:sz w:val="20"/>
                <w:szCs w:val="20"/>
              </w:rPr>
              <w:t>31</w:t>
            </w:r>
          </w:p>
        </w:tc>
        <w:tc>
          <w:tcPr>
            <w:tcW w:w="630" w:type="dxa"/>
            <w:tcBorders>
              <w:top w:val="nil"/>
              <w:left w:val="nil"/>
              <w:bottom w:val="nil"/>
              <w:right w:val="single" w:sz="4" w:space="0" w:color="auto"/>
            </w:tcBorders>
            <w:noWrap/>
          </w:tcPr>
          <w:p w14:paraId="1F0F9C12" w14:textId="77777777" w:rsidR="00EB05DA" w:rsidRDefault="00EB05DA" w:rsidP="00CB7E5F">
            <w:pPr>
              <w:spacing w:after="0" w:line="240" w:lineRule="auto"/>
              <w:rPr>
                <w:sz w:val="20"/>
                <w:szCs w:val="20"/>
              </w:rPr>
            </w:pPr>
            <w:r>
              <w:rPr>
                <w:rFonts w:cs="Calibri"/>
                <w:color w:val="000000"/>
                <w:sz w:val="20"/>
                <w:szCs w:val="20"/>
              </w:rPr>
              <w:t>63.3</w:t>
            </w:r>
          </w:p>
        </w:tc>
        <w:tc>
          <w:tcPr>
            <w:tcW w:w="630" w:type="dxa"/>
            <w:tcBorders>
              <w:top w:val="nil"/>
              <w:left w:val="single" w:sz="4" w:space="0" w:color="auto"/>
              <w:bottom w:val="nil"/>
              <w:right w:val="nil"/>
            </w:tcBorders>
            <w:noWrap/>
          </w:tcPr>
          <w:p w14:paraId="34E32DE4" w14:textId="77777777" w:rsidR="00EB05DA" w:rsidRDefault="00EB05DA" w:rsidP="00CB7E5F">
            <w:pPr>
              <w:spacing w:after="0" w:line="240" w:lineRule="auto"/>
              <w:rPr>
                <w:sz w:val="20"/>
                <w:szCs w:val="20"/>
              </w:rPr>
            </w:pPr>
            <w:r>
              <w:rPr>
                <w:sz w:val="20"/>
                <w:szCs w:val="20"/>
              </w:rPr>
              <w:t>18</w:t>
            </w:r>
          </w:p>
        </w:tc>
        <w:tc>
          <w:tcPr>
            <w:tcW w:w="630" w:type="dxa"/>
            <w:tcBorders>
              <w:top w:val="nil"/>
              <w:left w:val="nil"/>
              <w:bottom w:val="nil"/>
              <w:right w:val="nil"/>
            </w:tcBorders>
            <w:noWrap/>
          </w:tcPr>
          <w:p w14:paraId="0A644505" w14:textId="77777777" w:rsidR="00EB05DA" w:rsidRDefault="00EB05DA" w:rsidP="00CB7E5F">
            <w:pPr>
              <w:spacing w:after="0" w:line="240" w:lineRule="auto"/>
              <w:rPr>
                <w:sz w:val="20"/>
                <w:szCs w:val="20"/>
              </w:rPr>
            </w:pPr>
            <w:r>
              <w:rPr>
                <w:rFonts w:cs="Calibri"/>
                <w:color w:val="000000"/>
                <w:sz w:val="20"/>
                <w:szCs w:val="20"/>
              </w:rPr>
              <w:t>27.3</w:t>
            </w:r>
          </w:p>
        </w:tc>
        <w:tc>
          <w:tcPr>
            <w:tcW w:w="630" w:type="dxa"/>
            <w:tcBorders>
              <w:top w:val="nil"/>
              <w:left w:val="nil"/>
              <w:bottom w:val="nil"/>
              <w:right w:val="nil"/>
            </w:tcBorders>
            <w:noWrap/>
          </w:tcPr>
          <w:p w14:paraId="43B88557" w14:textId="77777777" w:rsidR="00EB05DA" w:rsidRDefault="00EB05DA" w:rsidP="00CB7E5F">
            <w:pPr>
              <w:spacing w:after="0" w:line="240" w:lineRule="auto"/>
              <w:rPr>
                <w:sz w:val="20"/>
                <w:szCs w:val="20"/>
              </w:rPr>
            </w:pPr>
            <w:r>
              <w:rPr>
                <w:sz w:val="20"/>
                <w:szCs w:val="20"/>
              </w:rPr>
              <w:t>33</w:t>
            </w:r>
          </w:p>
        </w:tc>
        <w:tc>
          <w:tcPr>
            <w:tcW w:w="630" w:type="dxa"/>
            <w:tcBorders>
              <w:top w:val="nil"/>
              <w:left w:val="nil"/>
              <w:bottom w:val="nil"/>
              <w:right w:val="nil"/>
            </w:tcBorders>
            <w:noWrap/>
          </w:tcPr>
          <w:p w14:paraId="18E0411C" w14:textId="77777777" w:rsidR="00EB05DA" w:rsidRDefault="00EB05DA" w:rsidP="00CB7E5F">
            <w:pPr>
              <w:spacing w:after="0" w:line="240" w:lineRule="auto"/>
              <w:rPr>
                <w:sz w:val="20"/>
                <w:szCs w:val="20"/>
              </w:rPr>
            </w:pPr>
            <w:r>
              <w:rPr>
                <w:rFonts w:cs="Calibri"/>
                <w:color w:val="000000"/>
                <w:sz w:val="20"/>
                <w:szCs w:val="20"/>
              </w:rPr>
              <w:t>47.8</w:t>
            </w:r>
          </w:p>
        </w:tc>
        <w:tc>
          <w:tcPr>
            <w:tcW w:w="540" w:type="dxa"/>
            <w:tcBorders>
              <w:top w:val="nil"/>
              <w:left w:val="nil"/>
              <w:bottom w:val="nil"/>
              <w:right w:val="nil"/>
            </w:tcBorders>
            <w:noWrap/>
          </w:tcPr>
          <w:p w14:paraId="6E2E953A" w14:textId="77777777" w:rsidR="00EB05DA" w:rsidRDefault="00EB05DA" w:rsidP="00CB7E5F">
            <w:pPr>
              <w:spacing w:after="0" w:line="240" w:lineRule="auto"/>
              <w:rPr>
                <w:sz w:val="20"/>
                <w:szCs w:val="20"/>
              </w:rPr>
            </w:pPr>
            <w:r>
              <w:rPr>
                <w:sz w:val="20"/>
                <w:szCs w:val="20"/>
              </w:rPr>
              <w:t>40</w:t>
            </w:r>
          </w:p>
        </w:tc>
        <w:tc>
          <w:tcPr>
            <w:tcW w:w="630" w:type="dxa"/>
            <w:tcBorders>
              <w:top w:val="nil"/>
              <w:left w:val="nil"/>
              <w:bottom w:val="nil"/>
              <w:right w:val="nil"/>
            </w:tcBorders>
            <w:noWrap/>
          </w:tcPr>
          <w:p w14:paraId="0C1FCBE8" w14:textId="77777777" w:rsidR="00EB05DA" w:rsidRDefault="00EB05DA" w:rsidP="00CB7E5F">
            <w:pPr>
              <w:spacing w:after="0" w:line="240" w:lineRule="auto"/>
              <w:rPr>
                <w:sz w:val="20"/>
                <w:szCs w:val="20"/>
              </w:rPr>
            </w:pPr>
            <w:r>
              <w:rPr>
                <w:rFonts w:cs="Calibri"/>
                <w:color w:val="000000"/>
                <w:sz w:val="20"/>
                <w:szCs w:val="20"/>
              </w:rPr>
              <w:t>64.5</w:t>
            </w:r>
          </w:p>
        </w:tc>
      </w:tr>
      <w:tr w:rsidR="00EB05DA" w:rsidRPr="009D6764" w14:paraId="55716F65" w14:textId="77777777" w:rsidTr="00CB7E5F">
        <w:trPr>
          <w:trHeight w:val="300"/>
        </w:trPr>
        <w:tc>
          <w:tcPr>
            <w:tcW w:w="2198" w:type="dxa"/>
            <w:tcBorders>
              <w:top w:val="nil"/>
              <w:left w:val="nil"/>
              <w:bottom w:val="nil"/>
              <w:right w:val="nil"/>
            </w:tcBorders>
            <w:noWrap/>
          </w:tcPr>
          <w:p w14:paraId="7BECEADE"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Sponsoring programs</w:t>
            </w:r>
          </w:p>
        </w:tc>
        <w:tc>
          <w:tcPr>
            <w:tcW w:w="520" w:type="dxa"/>
            <w:tcBorders>
              <w:top w:val="nil"/>
              <w:left w:val="nil"/>
              <w:bottom w:val="nil"/>
              <w:right w:val="nil"/>
            </w:tcBorders>
            <w:noWrap/>
          </w:tcPr>
          <w:p w14:paraId="4AFB3983" w14:textId="77777777" w:rsidR="00EB05DA" w:rsidRDefault="00EB05DA" w:rsidP="00CB7E5F">
            <w:pPr>
              <w:spacing w:after="0" w:line="240" w:lineRule="auto"/>
              <w:rPr>
                <w:sz w:val="20"/>
                <w:szCs w:val="20"/>
              </w:rPr>
            </w:pPr>
            <w:r>
              <w:rPr>
                <w:sz w:val="20"/>
                <w:szCs w:val="20"/>
              </w:rPr>
              <w:t>1</w:t>
            </w:r>
          </w:p>
        </w:tc>
        <w:tc>
          <w:tcPr>
            <w:tcW w:w="630" w:type="dxa"/>
            <w:tcBorders>
              <w:top w:val="nil"/>
              <w:left w:val="nil"/>
              <w:bottom w:val="nil"/>
              <w:right w:val="nil"/>
            </w:tcBorders>
            <w:noWrap/>
          </w:tcPr>
          <w:p w14:paraId="22DA41F7" w14:textId="77777777" w:rsidR="00EB05DA" w:rsidRDefault="00EB05DA" w:rsidP="00CB7E5F">
            <w:pPr>
              <w:spacing w:after="0" w:line="240" w:lineRule="auto"/>
              <w:rPr>
                <w:sz w:val="20"/>
                <w:szCs w:val="20"/>
              </w:rPr>
            </w:pPr>
            <w:r>
              <w:rPr>
                <w:sz w:val="20"/>
                <w:szCs w:val="20"/>
              </w:rPr>
              <w:t>5.0</w:t>
            </w:r>
          </w:p>
        </w:tc>
        <w:tc>
          <w:tcPr>
            <w:tcW w:w="540" w:type="dxa"/>
            <w:tcBorders>
              <w:top w:val="nil"/>
              <w:left w:val="nil"/>
              <w:bottom w:val="nil"/>
              <w:right w:val="nil"/>
            </w:tcBorders>
            <w:noWrap/>
          </w:tcPr>
          <w:p w14:paraId="2A215F5F" w14:textId="77777777" w:rsidR="00EB05DA" w:rsidRDefault="00EB05DA" w:rsidP="00CB7E5F">
            <w:pPr>
              <w:spacing w:after="0" w:line="240" w:lineRule="auto"/>
              <w:rPr>
                <w:sz w:val="20"/>
                <w:szCs w:val="20"/>
              </w:rPr>
            </w:pPr>
            <w:r>
              <w:rPr>
                <w:sz w:val="20"/>
                <w:szCs w:val="20"/>
              </w:rPr>
              <w:t>3</w:t>
            </w:r>
          </w:p>
        </w:tc>
        <w:tc>
          <w:tcPr>
            <w:tcW w:w="720" w:type="dxa"/>
            <w:tcBorders>
              <w:top w:val="nil"/>
              <w:left w:val="nil"/>
              <w:bottom w:val="nil"/>
              <w:right w:val="nil"/>
            </w:tcBorders>
            <w:noWrap/>
          </w:tcPr>
          <w:p w14:paraId="5D5493A8" w14:textId="77777777" w:rsidR="00EB05DA" w:rsidRDefault="00EB05DA" w:rsidP="00CB7E5F">
            <w:pPr>
              <w:spacing w:after="0" w:line="240" w:lineRule="auto"/>
              <w:rPr>
                <w:sz w:val="20"/>
                <w:szCs w:val="20"/>
              </w:rPr>
            </w:pPr>
            <w:r>
              <w:rPr>
                <w:rFonts w:cs="Calibri"/>
                <w:color w:val="000000"/>
                <w:sz w:val="20"/>
                <w:szCs w:val="20"/>
              </w:rPr>
              <w:t>21.4</w:t>
            </w:r>
          </w:p>
        </w:tc>
        <w:tc>
          <w:tcPr>
            <w:tcW w:w="540" w:type="dxa"/>
            <w:tcBorders>
              <w:top w:val="nil"/>
              <w:left w:val="nil"/>
              <w:bottom w:val="nil"/>
              <w:right w:val="nil"/>
            </w:tcBorders>
            <w:noWrap/>
          </w:tcPr>
          <w:p w14:paraId="10B16D33" w14:textId="77777777" w:rsidR="00EB05DA" w:rsidRDefault="00EB05DA" w:rsidP="00CB7E5F">
            <w:pPr>
              <w:spacing w:after="0" w:line="240" w:lineRule="auto"/>
              <w:rPr>
                <w:sz w:val="20"/>
                <w:szCs w:val="20"/>
              </w:rPr>
            </w:pPr>
            <w:r>
              <w:rPr>
                <w:sz w:val="20"/>
                <w:szCs w:val="20"/>
              </w:rPr>
              <w:t>4</w:t>
            </w:r>
          </w:p>
        </w:tc>
        <w:tc>
          <w:tcPr>
            <w:tcW w:w="630" w:type="dxa"/>
            <w:tcBorders>
              <w:top w:val="nil"/>
              <w:left w:val="nil"/>
              <w:bottom w:val="nil"/>
              <w:right w:val="single" w:sz="4" w:space="0" w:color="auto"/>
            </w:tcBorders>
            <w:noWrap/>
          </w:tcPr>
          <w:p w14:paraId="01B6F6DA" w14:textId="77777777" w:rsidR="00EB05DA" w:rsidRDefault="00EB05DA" w:rsidP="00CB7E5F">
            <w:pPr>
              <w:spacing w:after="0" w:line="240" w:lineRule="auto"/>
              <w:rPr>
                <w:sz w:val="20"/>
                <w:szCs w:val="20"/>
              </w:rPr>
            </w:pPr>
            <w:r>
              <w:rPr>
                <w:rFonts w:cs="Calibri"/>
                <w:color w:val="000000"/>
                <w:sz w:val="20"/>
                <w:szCs w:val="20"/>
              </w:rPr>
              <w:t>30.8</w:t>
            </w:r>
          </w:p>
        </w:tc>
        <w:tc>
          <w:tcPr>
            <w:tcW w:w="540" w:type="dxa"/>
            <w:tcBorders>
              <w:top w:val="nil"/>
              <w:left w:val="single" w:sz="4" w:space="0" w:color="auto"/>
              <w:bottom w:val="nil"/>
              <w:right w:val="nil"/>
            </w:tcBorders>
            <w:noWrap/>
          </w:tcPr>
          <w:p w14:paraId="6328BAF2" w14:textId="77777777" w:rsidR="00EB05DA" w:rsidRDefault="00EB05DA" w:rsidP="00CB7E5F">
            <w:pPr>
              <w:spacing w:after="0" w:line="240" w:lineRule="auto"/>
              <w:rPr>
                <w:sz w:val="20"/>
                <w:szCs w:val="20"/>
              </w:rPr>
            </w:pPr>
            <w:r>
              <w:rPr>
                <w:sz w:val="20"/>
                <w:szCs w:val="20"/>
              </w:rPr>
              <w:t>1</w:t>
            </w:r>
          </w:p>
        </w:tc>
        <w:tc>
          <w:tcPr>
            <w:tcW w:w="630" w:type="dxa"/>
            <w:tcBorders>
              <w:top w:val="nil"/>
              <w:left w:val="nil"/>
              <w:bottom w:val="nil"/>
              <w:right w:val="nil"/>
            </w:tcBorders>
            <w:noWrap/>
          </w:tcPr>
          <w:p w14:paraId="2C98C722" w14:textId="77777777" w:rsidR="00EB05DA" w:rsidRDefault="00EB05DA" w:rsidP="00CB7E5F">
            <w:pPr>
              <w:spacing w:after="0" w:line="240" w:lineRule="auto"/>
              <w:rPr>
                <w:sz w:val="20"/>
                <w:szCs w:val="20"/>
              </w:rPr>
            </w:pPr>
            <w:r>
              <w:rPr>
                <w:rFonts w:cs="Calibri"/>
                <w:color w:val="000000"/>
                <w:sz w:val="20"/>
                <w:szCs w:val="20"/>
              </w:rPr>
              <w:t>2.2</w:t>
            </w:r>
          </w:p>
        </w:tc>
        <w:tc>
          <w:tcPr>
            <w:tcW w:w="630" w:type="dxa"/>
            <w:tcBorders>
              <w:top w:val="nil"/>
              <w:left w:val="nil"/>
              <w:bottom w:val="nil"/>
              <w:right w:val="nil"/>
            </w:tcBorders>
            <w:noWrap/>
          </w:tcPr>
          <w:p w14:paraId="7C1C3F6F" w14:textId="77777777" w:rsidR="00EB05DA" w:rsidRDefault="00EB05DA" w:rsidP="00CB7E5F">
            <w:pPr>
              <w:spacing w:after="0" w:line="240" w:lineRule="auto"/>
              <w:rPr>
                <w:sz w:val="20"/>
                <w:szCs w:val="20"/>
              </w:rPr>
            </w:pPr>
            <w:r>
              <w:rPr>
                <w:sz w:val="20"/>
                <w:szCs w:val="20"/>
              </w:rPr>
              <w:t>4</w:t>
            </w:r>
          </w:p>
        </w:tc>
        <w:tc>
          <w:tcPr>
            <w:tcW w:w="630" w:type="dxa"/>
            <w:tcBorders>
              <w:top w:val="nil"/>
              <w:left w:val="nil"/>
              <w:bottom w:val="nil"/>
              <w:right w:val="nil"/>
            </w:tcBorders>
            <w:noWrap/>
          </w:tcPr>
          <w:p w14:paraId="62BA8E97" w14:textId="77777777" w:rsidR="00EB05DA" w:rsidRDefault="00EB05DA" w:rsidP="00CB7E5F">
            <w:pPr>
              <w:spacing w:after="0" w:line="240" w:lineRule="auto"/>
              <w:rPr>
                <w:sz w:val="20"/>
                <w:szCs w:val="20"/>
              </w:rPr>
            </w:pPr>
            <w:r>
              <w:rPr>
                <w:rFonts w:cs="Calibri"/>
                <w:color w:val="000000"/>
                <w:sz w:val="20"/>
                <w:szCs w:val="20"/>
              </w:rPr>
              <w:t>7.3</w:t>
            </w:r>
          </w:p>
        </w:tc>
        <w:tc>
          <w:tcPr>
            <w:tcW w:w="630" w:type="dxa"/>
            <w:tcBorders>
              <w:top w:val="nil"/>
              <w:left w:val="nil"/>
              <w:bottom w:val="nil"/>
              <w:right w:val="nil"/>
            </w:tcBorders>
            <w:noWrap/>
          </w:tcPr>
          <w:p w14:paraId="29FD2E11" w14:textId="77777777" w:rsidR="00EB05DA" w:rsidRDefault="00EB05DA" w:rsidP="00CB7E5F">
            <w:pPr>
              <w:spacing w:after="0" w:line="240" w:lineRule="auto"/>
              <w:rPr>
                <w:sz w:val="20"/>
                <w:szCs w:val="20"/>
              </w:rPr>
            </w:pPr>
            <w:r>
              <w:rPr>
                <w:sz w:val="20"/>
                <w:szCs w:val="20"/>
              </w:rPr>
              <w:t>14</w:t>
            </w:r>
          </w:p>
        </w:tc>
        <w:tc>
          <w:tcPr>
            <w:tcW w:w="630" w:type="dxa"/>
            <w:tcBorders>
              <w:top w:val="nil"/>
              <w:left w:val="nil"/>
              <w:bottom w:val="nil"/>
              <w:right w:val="single" w:sz="4" w:space="0" w:color="auto"/>
            </w:tcBorders>
            <w:noWrap/>
          </w:tcPr>
          <w:p w14:paraId="70DD1BA3" w14:textId="77777777" w:rsidR="00EB05DA" w:rsidRDefault="00EB05DA" w:rsidP="00CB7E5F">
            <w:pPr>
              <w:spacing w:after="0" w:line="240" w:lineRule="auto"/>
              <w:rPr>
                <w:sz w:val="20"/>
                <w:szCs w:val="20"/>
              </w:rPr>
            </w:pPr>
            <w:r>
              <w:rPr>
                <w:rFonts w:cs="Calibri"/>
                <w:color w:val="000000"/>
                <w:sz w:val="20"/>
                <w:szCs w:val="20"/>
              </w:rPr>
              <w:t>28.6</w:t>
            </w:r>
          </w:p>
        </w:tc>
        <w:tc>
          <w:tcPr>
            <w:tcW w:w="630" w:type="dxa"/>
            <w:tcBorders>
              <w:top w:val="nil"/>
              <w:left w:val="single" w:sz="4" w:space="0" w:color="auto"/>
              <w:bottom w:val="nil"/>
              <w:right w:val="nil"/>
            </w:tcBorders>
            <w:noWrap/>
          </w:tcPr>
          <w:p w14:paraId="6D7A37C5" w14:textId="77777777" w:rsidR="00EB05DA" w:rsidRDefault="00EB05DA" w:rsidP="00CB7E5F">
            <w:pPr>
              <w:spacing w:after="0" w:line="240" w:lineRule="auto"/>
              <w:rPr>
                <w:sz w:val="20"/>
                <w:szCs w:val="20"/>
              </w:rPr>
            </w:pPr>
            <w:r>
              <w:rPr>
                <w:sz w:val="20"/>
                <w:szCs w:val="20"/>
              </w:rPr>
              <w:t>2</w:t>
            </w:r>
          </w:p>
        </w:tc>
        <w:tc>
          <w:tcPr>
            <w:tcW w:w="630" w:type="dxa"/>
            <w:tcBorders>
              <w:top w:val="nil"/>
              <w:left w:val="nil"/>
              <w:bottom w:val="nil"/>
              <w:right w:val="nil"/>
            </w:tcBorders>
            <w:noWrap/>
          </w:tcPr>
          <w:p w14:paraId="04BA6EA4" w14:textId="77777777" w:rsidR="00EB05DA" w:rsidRDefault="00EB05DA" w:rsidP="00CB7E5F">
            <w:pPr>
              <w:spacing w:after="0" w:line="240" w:lineRule="auto"/>
              <w:rPr>
                <w:sz w:val="20"/>
                <w:szCs w:val="20"/>
              </w:rPr>
            </w:pPr>
            <w:r>
              <w:rPr>
                <w:rFonts w:cs="Calibri"/>
                <w:color w:val="000000"/>
                <w:sz w:val="20"/>
                <w:szCs w:val="20"/>
              </w:rPr>
              <w:t>3.03</w:t>
            </w:r>
          </w:p>
        </w:tc>
        <w:tc>
          <w:tcPr>
            <w:tcW w:w="630" w:type="dxa"/>
            <w:tcBorders>
              <w:top w:val="nil"/>
              <w:left w:val="nil"/>
              <w:bottom w:val="nil"/>
              <w:right w:val="nil"/>
            </w:tcBorders>
            <w:noWrap/>
          </w:tcPr>
          <w:p w14:paraId="7F33369B" w14:textId="77777777" w:rsidR="00EB05DA" w:rsidRDefault="00EB05DA" w:rsidP="00CB7E5F">
            <w:pPr>
              <w:spacing w:after="0" w:line="240" w:lineRule="auto"/>
              <w:rPr>
                <w:sz w:val="20"/>
                <w:szCs w:val="20"/>
              </w:rPr>
            </w:pPr>
            <w:r>
              <w:rPr>
                <w:sz w:val="20"/>
                <w:szCs w:val="20"/>
              </w:rPr>
              <w:t>7</w:t>
            </w:r>
          </w:p>
        </w:tc>
        <w:tc>
          <w:tcPr>
            <w:tcW w:w="630" w:type="dxa"/>
            <w:tcBorders>
              <w:top w:val="nil"/>
              <w:left w:val="nil"/>
              <w:bottom w:val="nil"/>
              <w:right w:val="nil"/>
            </w:tcBorders>
            <w:noWrap/>
          </w:tcPr>
          <w:p w14:paraId="6AC2DEE1" w14:textId="77777777" w:rsidR="00EB05DA" w:rsidRDefault="00EB05DA" w:rsidP="00CB7E5F">
            <w:pPr>
              <w:spacing w:after="0" w:line="240" w:lineRule="auto"/>
              <w:rPr>
                <w:sz w:val="20"/>
                <w:szCs w:val="20"/>
              </w:rPr>
            </w:pPr>
            <w:r>
              <w:rPr>
                <w:rFonts w:cs="Calibri"/>
                <w:color w:val="000000"/>
                <w:sz w:val="20"/>
                <w:szCs w:val="20"/>
              </w:rPr>
              <w:t>10.1</w:t>
            </w:r>
          </w:p>
        </w:tc>
        <w:tc>
          <w:tcPr>
            <w:tcW w:w="540" w:type="dxa"/>
            <w:tcBorders>
              <w:top w:val="nil"/>
              <w:left w:val="nil"/>
              <w:bottom w:val="nil"/>
              <w:right w:val="nil"/>
            </w:tcBorders>
            <w:noWrap/>
          </w:tcPr>
          <w:p w14:paraId="50ED4045" w14:textId="77777777" w:rsidR="00EB05DA" w:rsidRDefault="00EB05DA" w:rsidP="00CB7E5F">
            <w:pPr>
              <w:spacing w:after="0" w:line="240" w:lineRule="auto"/>
              <w:rPr>
                <w:sz w:val="20"/>
                <w:szCs w:val="20"/>
              </w:rPr>
            </w:pPr>
            <w:r>
              <w:rPr>
                <w:sz w:val="20"/>
                <w:szCs w:val="20"/>
              </w:rPr>
              <w:t>18</w:t>
            </w:r>
          </w:p>
        </w:tc>
        <w:tc>
          <w:tcPr>
            <w:tcW w:w="630" w:type="dxa"/>
            <w:tcBorders>
              <w:top w:val="nil"/>
              <w:left w:val="nil"/>
              <w:bottom w:val="nil"/>
              <w:right w:val="nil"/>
            </w:tcBorders>
            <w:noWrap/>
          </w:tcPr>
          <w:p w14:paraId="38C76B70" w14:textId="77777777" w:rsidR="00EB05DA" w:rsidRDefault="00EB05DA" w:rsidP="00CB7E5F">
            <w:pPr>
              <w:spacing w:after="0" w:line="240" w:lineRule="auto"/>
              <w:rPr>
                <w:sz w:val="20"/>
                <w:szCs w:val="20"/>
              </w:rPr>
            </w:pPr>
            <w:r>
              <w:rPr>
                <w:rFonts w:cs="Calibri"/>
                <w:color w:val="000000"/>
                <w:sz w:val="20"/>
                <w:szCs w:val="20"/>
              </w:rPr>
              <w:t>29.0</w:t>
            </w:r>
          </w:p>
        </w:tc>
      </w:tr>
      <w:tr w:rsidR="00EB05DA" w:rsidRPr="009D6764" w14:paraId="2767E8A1" w14:textId="77777777" w:rsidTr="00CB7E5F">
        <w:trPr>
          <w:trHeight w:val="300"/>
        </w:trPr>
        <w:tc>
          <w:tcPr>
            <w:tcW w:w="2198" w:type="dxa"/>
            <w:tcBorders>
              <w:top w:val="nil"/>
              <w:left w:val="nil"/>
              <w:bottom w:val="nil"/>
              <w:right w:val="nil"/>
            </w:tcBorders>
            <w:noWrap/>
          </w:tcPr>
          <w:p w14:paraId="7BCB4902" w14:textId="77777777" w:rsidR="00EB05DA" w:rsidRPr="009D6764" w:rsidRDefault="00EB05DA" w:rsidP="00CB7E5F">
            <w:pPr>
              <w:spacing w:after="0" w:line="240" w:lineRule="auto"/>
              <w:ind w:left="284" w:hanging="104"/>
              <w:rPr>
                <w:rFonts w:eastAsia="SimSun"/>
                <w:sz w:val="20"/>
                <w:szCs w:val="20"/>
              </w:rPr>
            </w:pPr>
            <w:r>
              <w:rPr>
                <w:rFonts w:eastAsia="SimSun"/>
                <w:sz w:val="20"/>
                <w:szCs w:val="20"/>
              </w:rPr>
              <w:t>Organizing</w:t>
            </w:r>
            <w:r w:rsidRPr="009D6764">
              <w:rPr>
                <w:rFonts w:eastAsia="SimSun"/>
                <w:sz w:val="20"/>
                <w:szCs w:val="20"/>
              </w:rPr>
              <w:t xml:space="preserve"> events</w:t>
            </w:r>
          </w:p>
        </w:tc>
        <w:tc>
          <w:tcPr>
            <w:tcW w:w="520" w:type="dxa"/>
            <w:tcBorders>
              <w:top w:val="nil"/>
              <w:left w:val="nil"/>
              <w:bottom w:val="nil"/>
              <w:right w:val="nil"/>
            </w:tcBorders>
            <w:noWrap/>
          </w:tcPr>
          <w:p w14:paraId="40BCD154" w14:textId="77777777" w:rsidR="00EB05DA" w:rsidRDefault="00EB05DA" w:rsidP="00CB7E5F">
            <w:pPr>
              <w:spacing w:after="0" w:line="240" w:lineRule="auto"/>
              <w:rPr>
                <w:sz w:val="20"/>
                <w:szCs w:val="20"/>
              </w:rPr>
            </w:pPr>
            <w:r>
              <w:rPr>
                <w:sz w:val="20"/>
                <w:szCs w:val="20"/>
              </w:rPr>
              <w:t>8</w:t>
            </w:r>
          </w:p>
        </w:tc>
        <w:tc>
          <w:tcPr>
            <w:tcW w:w="630" w:type="dxa"/>
            <w:tcBorders>
              <w:top w:val="nil"/>
              <w:left w:val="nil"/>
              <w:bottom w:val="nil"/>
              <w:right w:val="nil"/>
            </w:tcBorders>
            <w:noWrap/>
          </w:tcPr>
          <w:p w14:paraId="26B76A3F" w14:textId="77777777" w:rsidR="00EB05DA" w:rsidRDefault="00EB05DA" w:rsidP="00CB7E5F">
            <w:pPr>
              <w:spacing w:after="0" w:line="240" w:lineRule="auto"/>
              <w:rPr>
                <w:sz w:val="20"/>
                <w:szCs w:val="20"/>
              </w:rPr>
            </w:pPr>
            <w:r>
              <w:rPr>
                <w:sz w:val="20"/>
                <w:szCs w:val="20"/>
              </w:rPr>
              <w:t>40.0</w:t>
            </w:r>
          </w:p>
        </w:tc>
        <w:tc>
          <w:tcPr>
            <w:tcW w:w="540" w:type="dxa"/>
            <w:tcBorders>
              <w:top w:val="nil"/>
              <w:left w:val="nil"/>
              <w:bottom w:val="nil"/>
              <w:right w:val="nil"/>
            </w:tcBorders>
            <w:noWrap/>
          </w:tcPr>
          <w:p w14:paraId="6573A77C" w14:textId="77777777" w:rsidR="00EB05DA" w:rsidRDefault="00EB05DA" w:rsidP="00CB7E5F">
            <w:pPr>
              <w:spacing w:after="0" w:line="240" w:lineRule="auto"/>
              <w:rPr>
                <w:sz w:val="20"/>
                <w:szCs w:val="20"/>
              </w:rPr>
            </w:pPr>
            <w:r>
              <w:rPr>
                <w:sz w:val="20"/>
                <w:szCs w:val="20"/>
              </w:rPr>
              <w:t>6</w:t>
            </w:r>
          </w:p>
        </w:tc>
        <w:tc>
          <w:tcPr>
            <w:tcW w:w="720" w:type="dxa"/>
            <w:tcBorders>
              <w:top w:val="nil"/>
              <w:left w:val="nil"/>
              <w:bottom w:val="nil"/>
              <w:right w:val="nil"/>
            </w:tcBorders>
            <w:noWrap/>
          </w:tcPr>
          <w:p w14:paraId="20ED2D85" w14:textId="77777777" w:rsidR="00EB05DA" w:rsidRDefault="00EB05DA" w:rsidP="00CB7E5F">
            <w:pPr>
              <w:spacing w:after="0" w:line="240" w:lineRule="auto"/>
              <w:rPr>
                <w:sz w:val="20"/>
                <w:szCs w:val="20"/>
              </w:rPr>
            </w:pPr>
            <w:r>
              <w:rPr>
                <w:rFonts w:cs="Calibri"/>
                <w:color w:val="000000"/>
                <w:sz w:val="20"/>
                <w:szCs w:val="20"/>
              </w:rPr>
              <w:t>42.9</w:t>
            </w:r>
          </w:p>
        </w:tc>
        <w:tc>
          <w:tcPr>
            <w:tcW w:w="540" w:type="dxa"/>
            <w:tcBorders>
              <w:top w:val="nil"/>
              <w:left w:val="nil"/>
              <w:bottom w:val="nil"/>
              <w:right w:val="nil"/>
            </w:tcBorders>
            <w:noWrap/>
          </w:tcPr>
          <w:p w14:paraId="45F80941" w14:textId="77777777" w:rsidR="00EB05DA" w:rsidRDefault="00EB05DA" w:rsidP="00CB7E5F">
            <w:pPr>
              <w:spacing w:after="0" w:line="240" w:lineRule="auto"/>
              <w:rPr>
                <w:sz w:val="20"/>
                <w:szCs w:val="20"/>
              </w:rPr>
            </w:pPr>
            <w:r>
              <w:rPr>
                <w:sz w:val="20"/>
                <w:szCs w:val="20"/>
              </w:rPr>
              <w:t>8</w:t>
            </w:r>
          </w:p>
        </w:tc>
        <w:tc>
          <w:tcPr>
            <w:tcW w:w="630" w:type="dxa"/>
            <w:tcBorders>
              <w:top w:val="nil"/>
              <w:left w:val="nil"/>
              <w:bottom w:val="nil"/>
              <w:right w:val="single" w:sz="4" w:space="0" w:color="auto"/>
            </w:tcBorders>
            <w:noWrap/>
          </w:tcPr>
          <w:p w14:paraId="5787D675" w14:textId="77777777" w:rsidR="00EB05DA" w:rsidRDefault="00EB05DA" w:rsidP="00CB7E5F">
            <w:pPr>
              <w:spacing w:after="0" w:line="240" w:lineRule="auto"/>
              <w:rPr>
                <w:sz w:val="20"/>
                <w:szCs w:val="20"/>
              </w:rPr>
            </w:pPr>
            <w:r>
              <w:rPr>
                <w:rFonts w:cs="Calibri"/>
                <w:color w:val="000000"/>
                <w:sz w:val="20"/>
                <w:szCs w:val="20"/>
              </w:rPr>
              <w:t>61.5</w:t>
            </w:r>
          </w:p>
        </w:tc>
        <w:tc>
          <w:tcPr>
            <w:tcW w:w="540" w:type="dxa"/>
            <w:tcBorders>
              <w:top w:val="nil"/>
              <w:left w:val="single" w:sz="4" w:space="0" w:color="auto"/>
              <w:bottom w:val="nil"/>
              <w:right w:val="nil"/>
            </w:tcBorders>
            <w:noWrap/>
          </w:tcPr>
          <w:p w14:paraId="113B2A29" w14:textId="77777777" w:rsidR="00EB05DA" w:rsidRDefault="00EB05DA" w:rsidP="00CB7E5F">
            <w:pPr>
              <w:spacing w:after="0" w:line="240" w:lineRule="auto"/>
              <w:rPr>
                <w:sz w:val="20"/>
                <w:szCs w:val="20"/>
              </w:rPr>
            </w:pPr>
            <w:r>
              <w:rPr>
                <w:sz w:val="20"/>
                <w:szCs w:val="20"/>
              </w:rPr>
              <w:t>7</w:t>
            </w:r>
          </w:p>
        </w:tc>
        <w:tc>
          <w:tcPr>
            <w:tcW w:w="630" w:type="dxa"/>
            <w:tcBorders>
              <w:top w:val="nil"/>
              <w:left w:val="nil"/>
              <w:bottom w:val="nil"/>
              <w:right w:val="nil"/>
            </w:tcBorders>
            <w:noWrap/>
          </w:tcPr>
          <w:p w14:paraId="25CD30B3" w14:textId="77777777" w:rsidR="00EB05DA" w:rsidRDefault="00EB05DA" w:rsidP="00CB7E5F">
            <w:pPr>
              <w:spacing w:after="0" w:line="240" w:lineRule="auto"/>
              <w:rPr>
                <w:sz w:val="20"/>
                <w:szCs w:val="20"/>
              </w:rPr>
            </w:pPr>
            <w:r>
              <w:rPr>
                <w:rFonts w:cs="Calibri"/>
                <w:color w:val="000000"/>
                <w:sz w:val="20"/>
                <w:szCs w:val="20"/>
              </w:rPr>
              <w:t>15.2</w:t>
            </w:r>
          </w:p>
        </w:tc>
        <w:tc>
          <w:tcPr>
            <w:tcW w:w="630" w:type="dxa"/>
            <w:tcBorders>
              <w:top w:val="nil"/>
              <w:left w:val="nil"/>
              <w:bottom w:val="nil"/>
              <w:right w:val="nil"/>
            </w:tcBorders>
            <w:noWrap/>
          </w:tcPr>
          <w:p w14:paraId="4BD219A5" w14:textId="77777777" w:rsidR="00EB05DA" w:rsidRDefault="00EB05DA" w:rsidP="00CB7E5F">
            <w:pPr>
              <w:spacing w:after="0" w:line="240" w:lineRule="auto"/>
              <w:rPr>
                <w:sz w:val="20"/>
                <w:szCs w:val="20"/>
              </w:rPr>
            </w:pPr>
            <w:r>
              <w:rPr>
                <w:sz w:val="20"/>
                <w:szCs w:val="20"/>
              </w:rPr>
              <w:t>19</w:t>
            </w:r>
          </w:p>
        </w:tc>
        <w:tc>
          <w:tcPr>
            <w:tcW w:w="630" w:type="dxa"/>
            <w:tcBorders>
              <w:top w:val="nil"/>
              <w:left w:val="nil"/>
              <w:bottom w:val="nil"/>
              <w:right w:val="nil"/>
            </w:tcBorders>
            <w:noWrap/>
          </w:tcPr>
          <w:p w14:paraId="562EA7E1" w14:textId="77777777" w:rsidR="00EB05DA" w:rsidRDefault="00EB05DA" w:rsidP="00CB7E5F">
            <w:pPr>
              <w:spacing w:after="0" w:line="240" w:lineRule="auto"/>
              <w:rPr>
                <w:sz w:val="20"/>
                <w:szCs w:val="20"/>
              </w:rPr>
            </w:pPr>
            <w:r>
              <w:rPr>
                <w:rFonts w:cs="Calibri"/>
                <w:color w:val="000000"/>
                <w:sz w:val="20"/>
                <w:szCs w:val="20"/>
              </w:rPr>
              <w:t>34.6</w:t>
            </w:r>
          </w:p>
        </w:tc>
        <w:tc>
          <w:tcPr>
            <w:tcW w:w="630" w:type="dxa"/>
            <w:tcBorders>
              <w:top w:val="nil"/>
              <w:left w:val="nil"/>
              <w:bottom w:val="nil"/>
              <w:right w:val="nil"/>
            </w:tcBorders>
            <w:noWrap/>
          </w:tcPr>
          <w:p w14:paraId="56EB53E1" w14:textId="77777777" w:rsidR="00EB05DA" w:rsidRDefault="00EB05DA" w:rsidP="00CB7E5F">
            <w:pPr>
              <w:spacing w:after="0" w:line="240" w:lineRule="auto"/>
              <w:rPr>
                <w:sz w:val="20"/>
                <w:szCs w:val="20"/>
              </w:rPr>
            </w:pPr>
            <w:r>
              <w:rPr>
                <w:sz w:val="20"/>
                <w:szCs w:val="20"/>
              </w:rPr>
              <w:t>16</w:t>
            </w:r>
          </w:p>
        </w:tc>
        <w:tc>
          <w:tcPr>
            <w:tcW w:w="630" w:type="dxa"/>
            <w:tcBorders>
              <w:top w:val="nil"/>
              <w:left w:val="nil"/>
              <w:bottom w:val="nil"/>
              <w:right w:val="single" w:sz="4" w:space="0" w:color="auto"/>
            </w:tcBorders>
            <w:noWrap/>
          </w:tcPr>
          <w:p w14:paraId="1CFDC338" w14:textId="77777777" w:rsidR="00EB05DA" w:rsidRDefault="00EB05DA" w:rsidP="00CB7E5F">
            <w:pPr>
              <w:spacing w:after="0" w:line="240" w:lineRule="auto"/>
              <w:rPr>
                <w:sz w:val="20"/>
                <w:szCs w:val="20"/>
              </w:rPr>
            </w:pPr>
            <w:r>
              <w:rPr>
                <w:rFonts w:cs="Calibri"/>
                <w:color w:val="000000"/>
                <w:sz w:val="20"/>
                <w:szCs w:val="20"/>
              </w:rPr>
              <w:t>32.7</w:t>
            </w:r>
          </w:p>
        </w:tc>
        <w:tc>
          <w:tcPr>
            <w:tcW w:w="630" w:type="dxa"/>
            <w:tcBorders>
              <w:top w:val="nil"/>
              <w:left w:val="single" w:sz="4" w:space="0" w:color="auto"/>
              <w:bottom w:val="nil"/>
              <w:right w:val="nil"/>
            </w:tcBorders>
            <w:noWrap/>
          </w:tcPr>
          <w:p w14:paraId="4E370513" w14:textId="77777777" w:rsidR="00EB05DA" w:rsidRDefault="00EB05DA" w:rsidP="00CB7E5F">
            <w:pPr>
              <w:spacing w:after="0" w:line="240" w:lineRule="auto"/>
              <w:rPr>
                <w:sz w:val="20"/>
                <w:szCs w:val="20"/>
              </w:rPr>
            </w:pPr>
            <w:r>
              <w:rPr>
                <w:sz w:val="20"/>
                <w:szCs w:val="20"/>
              </w:rPr>
              <w:t>15</w:t>
            </w:r>
          </w:p>
        </w:tc>
        <w:tc>
          <w:tcPr>
            <w:tcW w:w="630" w:type="dxa"/>
            <w:tcBorders>
              <w:top w:val="nil"/>
              <w:left w:val="nil"/>
              <w:bottom w:val="nil"/>
              <w:right w:val="nil"/>
            </w:tcBorders>
            <w:noWrap/>
          </w:tcPr>
          <w:p w14:paraId="2FCA798D" w14:textId="77777777" w:rsidR="00EB05DA" w:rsidRDefault="00EB05DA" w:rsidP="00CB7E5F">
            <w:pPr>
              <w:spacing w:after="0" w:line="240" w:lineRule="auto"/>
              <w:rPr>
                <w:sz w:val="20"/>
                <w:szCs w:val="20"/>
              </w:rPr>
            </w:pPr>
            <w:r>
              <w:rPr>
                <w:rFonts w:cs="Calibri"/>
                <w:color w:val="000000"/>
                <w:sz w:val="20"/>
                <w:szCs w:val="20"/>
              </w:rPr>
              <w:t>22.7</w:t>
            </w:r>
          </w:p>
        </w:tc>
        <w:tc>
          <w:tcPr>
            <w:tcW w:w="630" w:type="dxa"/>
            <w:tcBorders>
              <w:top w:val="nil"/>
              <w:left w:val="nil"/>
              <w:bottom w:val="nil"/>
              <w:right w:val="nil"/>
            </w:tcBorders>
            <w:noWrap/>
          </w:tcPr>
          <w:p w14:paraId="05A5F34A" w14:textId="77777777" w:rsidR="00EB05DA" w:rsidRDefault="00EB05DA" w:rsidP="00CB7E5F">
            <w:pPr>
              <w:spacing w:after="0" w:line="240" w:lineRule="auto"/>
              <w:rPr>
                <w:sz w:val="20"/>
                <w:szCs w:val="20"/>
              </w:rPr>
            </w:pPr>
            <w:r>
              <w:rPr>
                <w:sz w:val="20"/>
                <w:szCs w:val="20"/>
              </w:rPr>
              <w:t>25</w:t>
            </w:r>
          </w:p>
        </w:tc>
        <w:tc>
          <w:tcPr>
            <w:tcW w:w="630" w:type="dxa"/>
            <w:tcBorders>
              <w:top w:val="nil"/>
              <w:left w:val="nil"/>
              <w:bottom w:val="nil"/>
              <w:right w:val="nil"/>
            </w:tcBorders>
            <w:noWrap/>
          </w:tcPr>
          <w:p w14:paraId="4A7301EC" w14:textId="77777777" w:rsidR="00EB05DA" w:rsidRDefault="00EB05DA" w:rsidP="00CB7E5F">
            <w:pPr>
              <w:spacing w:after="0" w:line="240" w:lineRule="auto"/>
              <w:rPr>
                <w:sz w:val="20"/>
                <w:szCs w:val="20"/>
              </w:rPr>
            </w:pPr>
            <w:r>
              <w:rPr>
                <w:rFonts w:cs="Calibri"/>
                <w:color w:val="000000"/>
                <w:sz w:val="20"/>
                <w:szCs w:val="20"/>
              </w:rPr>
              <w:t>36.2</w:t>
            </w:r>
          </w:p>
        </w:tc>
        <w:tc>
          <w:tcPr>
            <w:tcW w:w="540" w:type="dxa"/>
            <w:tcBorders>
              <w:top w:val="nil"/>
              <w:left w:val="nil"/>
              <w:bottom w:val="nil"/>
              <w:right w:val="nil"/>
            </w:tcBorders>
            <w:noWrap/>
          </w:tcPr>
          <w:p w14:paraId="391DA2BC" w14:textId="77777777" w:rsidR="00EB05DA" w:rsidRDefault="00EB05DA" w:rsidP="00CB7E5F">
            <w:pPr>
              <w:spacing w:after="0" w:line="240" w:lineRule="auto"/>
              <w:rPr>
                <w:sz w:val="20"/>
                <w:szCs w:val="20"/>
              </w:rPr>
            </w:pPr>
            <w:r>
              <w:rPr>
                <w:sz w:val="20"/>
                <w:szCs w:val="20"/>
              </w:rPr>
              <w:t>24</w:t>
            </w:r>
          </w:p>
        </w:tc>
        <w:tc>
          <w:tcPr>
            <w:tcW w:w="630" w:type="dxa"/>
            <w:tcBorders>
              <w:top w:val="nil"/>
              <w:left w:val="nil"/>
              <w:bottom w:val="nil"/>
              <w:right w:val="nil"/>
            </w:tcBorders>
            <w:noWrap/>
          </w:tcPr>
          <w:p w14:paraId="40F8E4A2" w14:textId="77777777" w:rsidR="00EB05DA" w:rsidRDefault="00EB05DA" w:rsidP="00CB7E5F">
            <w:pPr>
              <w:spacing w:after="0" w:line="240" w:lineRule="auto"/>
              <w:rPr>
                <w:sz w:val="20"/>
                <w:szCs w:val="20"/>
              </w:rPr>
            </w:pPr>
            <w:r>
              <w:rPr>
                <w:rFonts w:cs="Calibri"/>
                <w:color w:val="000000"/>
                <w:sz w:val="20"/>
                <w:szCs w:val="20"/>
              </w:rPr>
              <w:t>38.7</w:t>
            </w:r>
          </w:p>
        </w:tc>
      </w:tr>
      <w:tr w:rsidR="00EB05DA" w:rsidRPr="009D6764" w14:paraId="0D129C86" w14:textId="77777777" w:rsidTr="00CB7E5F">
        <w:trPr>
          <w:trHeight w:val="300"/>
        </w:trPr>
        <w:tc>
          <w:tcPr>
            <w:tcW w:w="2198" w:type="dxa"/>
            <w:tcBorders>
              <w:top w:val="nil"/>
              <w:left w:val="nil"/>
              <w:bottom w:val="nil"/>
              <w:right w:val="nil"/>
            </w:tcBorders>
            <w:noWrap/>
          </w:tcPr>
          <w:p w14:paraId="585430CB" w14:textId="77777777" w:rsidR="00EB05DA" w:rsidRPr="009D6764" w:rsidRDefault="00EB05DA" w:rsidP="00CB7E5F">
            <w:pPr>
              <w:spacing w:after="0" w:line="240" w:lineRule="auto"/>
              <w:ind w:firstLine="180"/>
              <w:rPr>
                <w:rFonts w:eastAsia="SimSun"/>
                <w:sz w:val="20"/>
                <w:szCs w:val="20"/>
              </w:rPr>
            </w:pPr>
            <w:r w:rsidRPr="009D6764">
              <w:rPr>
                <w:rFonts w:eastAsia="SimSun"/>
                <w:sz w:val="20"/>
                <w:szCs w:val="20"/>
              </w:rPr>
              <w:t>Advocacy</w:t>
            </w:r>
          </w:p>
        </w:tc>
        <w:tc>
          <w:tcPr>
            <w:tcW w:w="520" w:type="dxa"/>
            <w:tcBorders>
              <w:top w:val="nil"/>
              <w:left w:val="nil"/>
              <w:bottom w:val="nil"/>
              <w:right w:val="nil"/>
            </w:tcBorders>
            <w:noWrap/>
          </w:tcPr>
          <w:p w14:paraId="30E0C073" w14:textId="77777777" w:rsidR="00EB05DA" w:rsidRDefault="00EB05DA" w:rsidP="00CB7E5F">
            <w:pPr>
              <w:spacing w:after="0" w:line="240" w:lineRule="auto"/>
              <w:rPr>
                <w:sz w:val="20"/>
                <w:szCs w:val="20"/>
              </w:rPr>
            </w:pPr>
            <w:r>
              <w:rPr>
                <w:sz w:val="20"/>
                <w:szCs w:val="20"/>
              </w:rPr>
              <w:t>0</w:t>
            </w:r>
          </w:p>
        </w:tc>
        <w:tc>
          <w:tcPr>
            <w:tcW w:w="630" w:type="dxa"/>
            <w:tcBorders>
              <w:top w:val="nil"/>
              <w:left w:val="nil"/>
              <w:bottom w:val="nil"/>
              <w:right w:val="nil"/>
            </w:tcBorders>
            <w:noWrap/>
          </w:tcPr>
          <w:p w14:paraId="3943DA6A" w14:textId="77777777" w:rsidR="00EB05DA" w:rsidRDefault="00EB05DA" w:rsidP="00CB7E5F">
            <w:pPr>
              <w:spacing w:after="0" w:line="240" w:lineRule="auto"/>
              <w:rPr>
                <w:sz w:val="20"/>
                <w:szCs w:val="20"/>
              </w:rPr>
            </w:pPr>
            <w:r>
              <w:rPr>
                <w:sz w:val="20"/>
                <w:szCs w:val="20"/>
              </w:rPr>
              <w:t>0</w:t>
            </w:r>
          </w:p>
        </w:tc>
        <w:tc>
          <w:tcPr>
            <w:tcW w:w="540" w:type="dxa"/>
            <w:tcBorders>
              <w:top w:val="nil"/>
              <w:left w:val="nil"/>
              <w:bottom w:val="nil"/>
              <w:right w:val="nil"/>
            </w:tcBorders>
            <w:noWrap/>
          </w:tcPr>
          <w:p w14:paraId="7B1ED7CA" w14:textId="77777777" w:rsidR="00EB05DA" w:rsidRDefault="00EB05DA" w:rsidP="00CB7E5F">
            <w:pPr>
              <w:spacing w:after="0" w:line="240" w:lineRule="auto"/>
              <w:rPr>
                <w:sz w:val="20"/>
                <w:szCs w:val="20"/>
                <w:highlight w:val="yellow"/>
              </w:rPr>
            </w:pPr>
            <w:r>
              <w:rPr>
                <w:sz w:val="20"/>
                <w:szCs w:val="20"/>
              </w:rPr>
              <w:t>2</w:t>
            </w:r>
          </w:p>
        </w:tc>
        <w:tc>
          <w:tcPr>
            <w:tcW w:w="720" w:type="dxa"/>
            <w:tcBorders>
              <w:top w:val="nil"/>
              <w:left w:val="nil"/>
              <w:bottom w:val="nil"/>
              <w:right w:val="nil"/>
            </w:tcBorders>
            <w:noWrap/>
          </w:tcPr>
          <w:p w14:paraId="694964EE" w14:textId="77777777" w:rsidR="00EB05DA" w:rsidRPr="00697336" w:rsidRDefault="00EB05DA" w:rsidP="00CB7E5F">
            <w:pPr>
              <w:spacing w:after="0" w:line="240" w:lineRule="auto"/>
              <w:rPr>
                <w:sz w:val="20"/>
                <w:szCs w:val="20"/>
              </w:rPr>
            </w:pPr>
            <w:r>
              <w:rPr>
                <w:sz w:val="20"/>
                <w:szCs w:val="20"/>
              </w:rPr>
              <w:t>14.3</w:t>
            </w:r>
          </w:p>
        </w:tc>
        <w:tc>
          <w:tcPr>
            <w:tcW w:w="540" w:type="dxa"/>
            <w:tcBorders>
              <w:top w:val="nil"/>
              <w:left w:val="nil"/>
              <w:bottom w:val="nil"/>
              <w:right w:val="nil"/>
            </w:tcBorders>
            <w:noWrap/>
          </w:tcPr>
          <w:p w14:paraId="3FB1E4BD" w14:textId="77777777" w:rsidR="00EB05DA" w:rsidRDefault="00EB05DA" w:rsidP="00CB7E5F">
            <w:pPr>
              <w:spacing w:after="0" w:line="240" w:lineRule="auto"/>
              <w:rPr>
                <w:sz w:val="20"/>
                <w:szCs w:val="20"/>
                <w:highlight w:val="yellow"/>
              </w:rPr>
            </w:pPr>
            <w:r>
              <w:rPr>
                <w:sz w:val="20"/>
                <w:szCs w:val="20"/>
              </w:rPr>
              <w:t>1</w:t>
            </w:r>
          </w:p>
        </w:tc>
        <w:tc>
          <w:tcPr>
            <w:tcW w:w="630" w:type="dxa"/>
            <w:tcBorders>
              <w:top w:val="nil"/>
              <w:left w:val="nil"/>
              <w:bottom w:val="nil"/>
              <w:right w:val="single" w:sz="4" w:space="0" w:color="auto"/>
            </w:tcBorders>
            <w:noWrap/>
          </w:tcPr>
          <w:p w14:paraId="26A0FE2E" w14:textId="77777777" w:rsidR="00EB05DA" w:rsidRDefault="00EB05DA" w:rsidP="00CB7E5F">
            <w:pPr>
              <w:spacing w:after="0" w:line="240" w:lineRule="auto"/>
              <w:rPr>
                <w:sz w:val="20"/>
                <w:szCs w:val="20"/>
                <w:highlight w:val="yellow"/>
              </w:rPr>
            </w:pPr>
            <w:r>
              <w:rPr>
                <w:rFonts w:cs="Calibri"/>
                <w:color w:val="000000"/>
                <w:sz w:val="20"/>
                <w:szCs w:val="20"/>
              </w:rPr>
              <w:t>7.6</w:t>
            </w:r>
          </w:p>
        </w:tc>
        <w:tc>
          <w:tcPr>
            <w:tcW w:w="540" w:type="dxa"/>
            <w:tcBorders>
              <w:top w:val="nil"/>
              <w:left w:val="single" w:sz="4" w:space="0" w:color="auto"/>
              <w:bottom w:val="nil"/>
              <w:right w:val="nil"/>
            </w:tcBorders>
            <w:noWrap/>
          </w:tcPr>
          <w:p w14:paraId="0943E42F" w14:textId="77777777" w:rsidR="00EB05DA" w:rsidRDefault="00EB05DA" w:rsidP="00CB7E5F">
            <w:pPr>
              <w:spacing w:after="0" w:line="240" w:lineRule="auto"/>
              <w:rPr>
                <w:sz w:val="20"/>
                <w:szCs w:val="20"/>
                <w:highlight w:val="yellow"/>
              </w:rPr>
            </w:pPr>
            <w:r>
              <w:rPr>
                <w:sz w:val="20"/>
                <w:szCs w:val="20"/>
              </w:rPr>
              <w:t>3</w:t>
            </w:r>
          </w:p>
        </w:tc>
        <w:tc>
          <w:tcPr>
            <w:tcW w:w="630" w:type="dxa"/>
            <w:tcBorders>
              <w:top w:val="nil"/>
              <w:left w:val="nil"/>
              <w:bottom w:val="nil"/>
              <w:right w:val="nil"/>
            </w:tcBorders>
            <w:noWrap/>
          </w:tcPr>
          <w:p w14:paraId="0C959EC4" w14:textId="77777777" w:rsidR="00EB05DA" w:rsidRDefault="00EB05DA" w:rsidP="00CB7E5F">
            <w:pPr>
              <w:spacing w:after="0" w:line="240" w:lineRule="auto"/>
              <w:rPr>
                <w:sz w:val="20"/>
                <w:szCs w:val="20"/>
              </w:rPr>
            </w:pPr>
            <w:r>
              <w:rPr>
                <w:rFonts w:cs="Calibri"/>
                <w:color w:val="000000"/>
                <w:sz w:val="20"/>
                <w:szCs w:val="20"/>
              </w:rPr>
              <w:t>6.5</w:t>
            </w:r>
          </w:p>
        </w:tc>
        <w:tc>
          <w:tcPr>
            <w:tcW w:w="630" w:type="dxa"/>
            <w:tcBorders>
              <w:top w:val="nil"/>
              <w:left w:val="nil"/>
              <w:bottom w:val="nil"/>
              <w:right w:val="nil"/>
            </w:tcBorders>
            <w:noWrap/>
          </w:tcPr>
          <w:p w14:paraId="62F887D0" w14:textId="77777777" w:rsidR="00EB05DA" w:rsidRDefault="00EB05DA" w:rsidP="00CB7E5F">
            <w:pPr>
              <w:spacing w:after="0" w:line="240" w:lineRule="auto"/>
              <w:rPr>
                <w:sz w:val="20"/>
                <w:szCs w:val="20"/>
              </w:rPr>
            </w:pPr>
            <w:r>
              <w:rPr>
                <w:sz w:val="20"/>
                <w:szCs w:val="20"/>
              </w:rPr>
              <w:t>3</w:t>
            </w:r>
          </w:p>
        </w:tc>
        <w:tc>
          <w:tcPr>
            <w:tcW w:w="630" w:type="dxa"/>
            <w:tcBorders>
              <w:top w:val="nil"/>
              <w:left w:val="nil"/>
              <w:bottom w:val="nil"/>
              <w:right w:val="nil"/>
            </w:tcBorders>
            <w:noWrap/>
          </w:tcPr>
          <w:p w14:paraId="737F22C2" w14:textId="77777777" w:rsidR="00EB05DA" w:rsidRDefault="00EB05DA" w:rsidP="00CB7E5F">
            <w:pPr>
              <w:spacing w:after="0" w:line="240" w:lineRule="auto"/>
              <w:rPr>
                <w:sz w:val="20"/>
                <w:szCs w:val="20"/>
              </w:rPr>
            </w:pPr>
            <w:r>
              <w:rPr>
                <w:rFonts w:cs="Calibri"/>
                <w:color w:val="000000"/>
                <w:sz w:val="20"/>
                <w:szCs w:val="20"/>
              </w:rPr>
              <w:t>5.5</w:t>
            </w:r>
          </w:p>
        </w:tc>
        <w:tc>
          <w:tcPr>
            <w:tcW w:w="630" w:type="dxa"/>
            <w:tcBorders>
              <w:top w:val="nil"/>
              <w:left w:val="nil"/>
              <w:bottom w:val="nil"/>
              <w:right w:val="nil"/>
            </w:tcBorders>
            <w:noWrap/>
          </w:tcPr>
          <w:p w14:paraId="6F655167" w14:textId="77777777" w:rsidR="00EB05DA" w:rsidRDefault="00EB05DA" w:rsidP="00CB7E5F">
            <w:pPr>
              <w:spacing w:after="0" w:line="240" w:lineRule="auto"/>
              <w:rPr>
                <w:sz w:val="20"/>
                <w:szCs w:val="20"/>
                <w:highlight w:val="yellow"/>
              </w:rPr>
            </w:pPr>
            <w:r>
              <w:rPr>
                <w:sz w:val="20"/>
                <w:szCs w:val="20"/>
              </w:rPr>
              <w:t>3</w:t>
            </w:r>
          </w:p>
        </w:tc>
        <w:tc>
          <w:tcPr>
            <w:tcW w:w="630" w:type="dxa"/>
            <w:tcBorders>
              <w:top w:val="nil"/>
              <w:left w:val="nil"/>
              <w:bottom w:val="nil"/>
              <w:right w:val="single" w:sz="4" w:space="0" w:color="auto"/>
            </w:tcBorders>
            <w:noWrap/>
          </w:tcPr>
          <w:p w14:paraId="1CF0D009" w14:textId="77777777" w:rsidR="00EB05DA" w:rsidRDefault="00EB05DA" w:rsidP="00CB7E5F">
            <w:pPr>
              <w:spacing w:after="0" w:line="240" w:lineRule="auto"/>
              <w:rPr>
                <w:sz w:val="20"/>
                <w:szCs w:val="20"/>
                <w:highlight w:val="yellow"/>
              </w:rPr>
            </w:pPr>
            <w:r>
              <w:rPr>
                <w:rFonts w:cs="Calibri"/>
                <w:color w:val="000000"/>
                <w:sz w:val="20"/>
                <w:szCs w:val="20"/>
              </w:rPr>
              <w:t>6.1</w:t>
            </w:r>
          </w:p>
        </w:tc>
        <w:tc>
          <w:tcPr>
            <w:tcW w:w="630" w:type="dxa"/>
            <w:tcBorders>
              <w:top w:val="nil"/>
              <w:left w:val="single" w:sz="4" w:space="0" w:color="auto"/>
              <w:bottom w:val="nil"/>
              <w:right w:val="nil"/>
            </w:tcBorders>
            <w:noWrap/>
          </w:tcPr>
          <w:p w14:paraId="5D69A73C" w14:textId="77777777" w:rsidR="00EB05DA" w:rsidRDefault="00EB05DA" w:rsidP="00CB7E5F">
            <w:pPr>
              <w:spacing w:after="0" w:line="240" w:lineRule="auto"/>
              <w:rPr>
                <w:sz w:val="20"/>
                <w:szCs w:val="20"/>
              </w:rPr>
            </w:pPr>
            <w:r>
              <w:rPr>
                <w:sz w:val="20"/>
                <w:szCs w:val="20"/>
              </w:rPr>
              <w:t>3</w:t>
            </w:r>
          </w:p>
        </w:tc>
        <w:tc>
          <w:tcPr>
            <w:tcW w:w="630" w:type="dxa"/>
            <w:tcBorders>
              <w:top w:val="nil"/>
              <w:left w:val="nil"/>
              <w:bottom w:val="nil"/>
              <w:right w:val="nil"/>
            </w:tcBorders>
            <w:noWrap/>
          </w:tcPr>
          <w:p w14:paraId="39418AF4" w14:textId="77777777" w:rsidR="00EB05DA" w:rsidRDefault="00EB05DA" w:rsidP="00CB7E5F">
            <w:pPr>
              <w:spacing w:after="0" w:line="240" w:lineRule="auto"/>
              <w:rPr>
                <w:sz w:val="20"/>
                <w:szCs w:val="20"/>
                <w:highlight w:val="yellow"/>
              </w:rPr>
            </w:pPr>
            <w:r>
              <w:rPr>
                <w:rFonts w:cs="Calibri"/>
                <w:color w:val="000000"/>
                <w:sz w:val="20"/>
                <w:szCs w:val="20"/>
              </w:rPr>
              <w:t>4.6</w:t>
            </w:r>
          </w:p>
        </w:tc>
        <w:tc>
          <w:tcPr>
            <w:tcW w:w="630" w:type="dxa"/>
            <w:tcBorders>
              <w:top w:val="nil"/>
              <w:left w:val="nil"/>
              <w:bottom w:val="nil"/>
              <w:right w:val="nil"/>
            </w:tcBorders>
            <w:noWrap/>
          </w:tcPr>
          <w:p w14:paraId="227C8A89" w14:textId="77777777" w:rsidR="00EB05DA" w:rsidRDefault="00EB05DA" w:rsidP="00CB7E5F">
            <w:pPr>
              <w:spacing w:after="0" w:line="240" w:lineRule="auto"/>
              <w:rPr>
                <w:sz w:val="20"/>
                <w:szCs w:val="20"/>
              </w:rPr>
            </w:pPr>
            <w:r>
              <w:rPr>
                <w:sz w:val="20"/>
                <w:szCs w:val="20"/>
              </w:rPr>
              <w:t>5</w:t>
            </w:r>
          </w:p>
        </w:tc>
        <w:tc>
          <w:tcPr>
            <w:tcW w:w="630" w:type="dxa"/>
            <w:tcBorders>
              <w:top w:val="nil"/>
              <w:left w:val="nil"/>
              <w:bottom w:val="nil"/>
              <w:right w:val="nil"/>
            </w:tcBorders>
            <w:noWrap/>
          </w:tcPr>
          <w:p w14:paraId="1EDB5FB8" w14:textId="77777777" w:rsidR="00EB05DA" w:rsidRPr="005275EE" w:rsidRDefault="00EB05DA" w:rsidP="00CB7E5F">
            <w:pPr>
              <w:spacing w:after="0" w:line="240" w:lineRule="auto"/>
              <w:rPr>
                <w:sz w:val="20"/>
                <w:szCs w:val="20"/>
              </w:rPr>
            </w:pPr>
            <w:r w:rsidRPr="005275EE">
              <w:rPr>
                <w:rFonts w:cs="Calibri"/>
                <w:sz w:val="20"/>
                <w:szCs w:val="20"/>
              </w:rPr>
              <w:t>7.3</w:t>
            </w:r>
          </w:p>
        </w:tc>
        <w:tc>
          <w:tcPr>
            <w:tcW w:w="540" w:type="dxa"/>
            <w:tcBorders>
              <w:top w:val="nil"/>
              <w:left w:val="nil"/>
              <w:bottom w:val="nil"/>
              <w:right w:val="nil"/>
            </w:tcBorders>
            <w:noWrap/>
          </w:tcPr>
          <w:p w14:paraId="60F3E74A" w14:textId="77777777" w:rsidR="00EB05DA" w:rsidRPr="005275EE" w:rsidRDefault="00EB05DA" w:rsidP="00CB7E5F">
            <w:pPr>
              <w:spacing w:after="0" w:line="240" w:lineRule="auto"/>
              <w:rPr>
                <w:sz w:val="20"/>
                <w:szCs w:val="20"/>
              </w:rPr>
            </w:pPr>
            <w:r w:rsidRPr="005275EE">
              <w:rPr>
                <w:sz w:val="20"/>
                <w:szCs w:val="20"/>
              </w:rPr>
              <w:t>4</w:t>
            </w:r>
          </w:p>
        </w:tc>
        <w:tc>
          <w:tcPr>
            <w:tcW w:w="630" w:type="dxa"/>
            <w:tcBorders>
              <w:top w:val="nil"/>
              <w:left w:val="nil"/>
              <w:bottom w:val="nil"/>
              <w:right w:val="nil"/>
            </w:tcBorders>
            <w:noWrap/>
          </w:tcPr>
          <w:p w14:paraId="07FCECBC" w14:textId="77777777" w:rsidR="00EB05DA" w:rsidRPr="005275EE" w:rsidRDefault="00EB05DA" w:rsidP="00CB7E5F">
            <w:pPr>
              <w:spacing w:after="0" w:line="240" w:lineRule="auto"/>
              <w:rPr>
                <w:sz w:val="20"/>
                <w:szCs w:val="20"/>
              </w:rPr>
            </w:pPr>
            <w:r w:rsidRPr="005275EE">
              <w:rPr>
                <w:rFonts w:cs="Calibri"/>
                <w:sz w:val="20"/>
                <w:szCs w:val="20"/>
              </w:rPr>
              <w:t>6.5</w:t>
            </w:r>
          </w:p>
        </w:tc>
      </w:tr>
      <w:tr w:rsidR="00EB05DA" w:rsidRPr="009D6764" w14:paraId="2C9A6FC9" w14:textId="77777777" w:rsidTr="00CB7E5F">
        <w:trPr>
          <w:trHeight w:val="315"/>
        </w:trPr>
        <w:tc>
          <w:tcPr>
            <w:tcW w:w="2198" w:type="dxa"/>
            <w:tcBorders>
              <w:top w:val="nil"/>
              <w:left w:val="nil"/>
              <w:bottom w:val="nil"/>
              <w:right w:val="nil"/>
            </w:tcBorders>
            <w:noWrap/>
          </w:tcPr>
          <w:p w14:paraId="1E0B8B50" w14:textId="77777777" w:rsidR="00EB05DA" w:rsidRPr="009D6764" w:rsidRDefault="00EB05DA" w:rsidP="00CB7E5F">
            <w:pPr>
              <w:spacing w:after="0" w:line="240" w:lineRule="auto"/>
              <w:rPr>
                <w:rFonts w:eastAsia="SimSun"/>
                <w:sz w:val="20"/>
                <w:szCs w:val="20"/>
              </w:rPr>
            </w:pPr>
          </w:p>
        </w:tc>
        <w:tc>
          <w:tcPr>
            <w:tcW w:w="520" w:type="dxa"/>
            <w:tcBorders>
              <w:top w:val="nil"/>
              <w:left w:val="nil"/>
              <w:bottom w:val="nil"/>
              <w:right w:val="nil"/>
            </w:tcBorders>
            <w:noWrap/>
          </w:tcPr>
          <w:p w14:paraId="3BEC2C3E"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6E6A187E" w14:textId="77777777" w:rsidR="00EB05DA" w:rsidRPr="009D6764" w:rsidRDefault="00EB05DA" w:rsidP="00CB7E5F">
            <w:pPr>
              <w:spacing w:after="0" w:line="240" w:lineRule="auto"/>
              <w:rPr>
                <w:rFonts w:eastAsia="SimSun"/>
                <w:sz w:val="20"/>
                <w:szCs w:val="20"/>
              </w:rPr>
            </w:pPr>
          </w:p>
        </w:tc>
        <w:tc>
          <w:tcPr>
            <w:tcW w:w="540" w:type="dxa"/>
            <w:tcBorders>
              <w:top w:val="nil"/>
              <w:left w:val="nil"/>
              <w:bottom w:val="nil"/>
              <w:right w:val="nil"/>
            </w:tcBorders>
            <w:noWrap/>
          </w:tcPr>
          <w:p w14:paraId="773A8F08" w14:textId="77777777" w:rsidR="00EB05DA" w:rsidRPr="009D6764" w:rsidRDefault="00EB05DA" w:rsidP="00CB7E5F">
            <w:pPr>
              <w:spacing w:after="0" w:line="240" w:lineRule="auto"/>
              <w:rPr>
                <w:rFonts w:eastAsia="SimSun"/>
                <w:sz w:val="20"/>
                <w:szCs w:val="20"/>
              </w:rPr>
            </w:pPr>
          </w:p>
        </w:tc>
        <w:tc>
          <w:tcPr>
            <w:tcW w:w="720" w:type="dxa"/>
            <w:tcBorders>
              <w:top w:val="nil"/>
              <w:left w:val="nil"/>
              <w:bottom w:val="nil"/>
              <w:right w:val="nil"/>
            </w:tcBorders>
            <w:noWrap/>
          </w:tcPr>
          <w:p w14:paraId="1C8E3073" w14:textId="77777777" w:rsidR="00EB05DA" w:rsidRPr="009D6764" w:rsidRDefault="00EB05DA" w:rsidP="00CB7E5F">
            <w:pPr>
              <w:spacing w:after="0" w:line="240" w:lineRule="auto"/>
              <w:rPr>
                <w:rFonts w:eastAsia="SimSun"/>
                <w:sz w:val="20"/>
                <w:szCs w:val="20"/>
              </w:rPr>
            </w:pPr>
          </w:p>
        </w:tc>
        <w:tc>
          <w:tcPr>
            <w:tcW w:w="540" w:type="dxa"/>
            <w:tcBorders>
              <w:top w:val="nil"/>
              <w:left w:val="nil"/>
              <w:bottom w:val="nil"/>
              <w:right w:val="nil"/>
            </w:tcBorders>
            <w:noWrap/>
          </w:tcPr>
          <w:p w14:paraId="15E58013"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single" w:sz="4" w:space="0" w:color="auto"/>
            </w:tcBorders>
            <w:noWrap/>
          </w:tcPr>
          <w:p w14:paraId="206F19A5" w14:textId="77777777" w:rsidR="00EB05DA" w:rsidRPr="009D6764" w:rsidRDefault="00EB05DA" w:rsidP="00CB7E5F">
            <w:pPr>
              <w:spacing w:after="0" w:line="240" w:lineRule="auto"/>
              <w:rPr>
                <w:rFonts w:eastAsia="SimSun"/>
                <w:sz w:val="20"/>
                <w:szCs w:val="20"/>
              </w:rPr>
            </w:pPr>
          </w:p>
        </w:tc>
        <w:tc>
          <w:tcPr>
            <w:tcW w:w="540" w:type="dxa"/>
            <w:tcBorders>
              <w:top w:val="nil"/>
              <w:left w:val="single" w:sz="4" w:space="0" w:color="auto"/>
              <w:bottom w:val="nil"/>
              <w:right w:val="nil"/>
            </w:tcBorders>
            <w:noWrap/>
          </w:tcPr>
          <w:p w14:paraId="61378005"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293718AF"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41BAB562"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32CD5934"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0AE3E940"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single" w:sz="4" w:space="0" w:color="auto"/>
            </w:tcBorders>
            <w:noWrap/>
          </w:tcPr>
          <w:p w14:paraId="6477E90E" w14:textId="77777777" w:rsidR="00EB05DA" w:rsidRPr="009D6764" w:rsidRDefault="00EB05DA" w:rsidP="00CB7E5F">
            <w:pPr>
              <w:spacing w:after="0" w:line="240" w:lineRule="auto"/>
              <w:rPr>
                <w:rFonts w:eastAsia="SimSun"/>
                <w:sz w:val="20"/>
                <w:szCs w:val="20"/>
              </w:rPr>
            </w:pPr>
          </w:p>
        </w:tc>
        <w:tc>
          <w:tcPr>
            <w:tcW w:w="630" w:type="dxa"/>
            <w:tcBorders>
              <w:top w:val="nil"/>
              <w:left w:val="single" w:sz="4" w:space="0" w:color="auto"/>
              <w:bottom w:val="nil"/>
              <w:right w:val="nil"/>
            </w:tcBorders>
            <w:noWrap/>
          </w:tcPr>
          <w:p w14:paraId="6734AFC0"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6B4747A4"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28945830"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5E07FBC8" w14:textId="77777777" w:rsidR="00EB05DA" w:rsidRPr="009D6764" w:rsidRDefault="00EB05DA" w:rsidP="00CB7E5F">
            <w:pPr>
              <w:spacing w:after="0" w:line="240" w:lineRule="auto"/>
              <w:rPr>
                <w:rFonts w:eastAsia="SimSun"/>
                <w:sz w:val="20"/>
                <w:szCs w:val="20"/>
              </w:rPr>
            </w:pPr>
          </w:p>
        </w:tc>
        <w:tc>
          <w:tcPr>
            <w:tcW w:w="540" w:type="dxa"/>
            <w:tcBorders>
              <w:top w:val="nil"/>
              <w:left w:val="nil"/>
              <w:bottom w:val="nil"/>
              <w:right w:val="nil"/>
            </w:tcBorders>
            <w:noWrap/>
          </w:tcPr>
          <w:p w14:paraId="73531965" w14:textId="77777777" w:rsidR="00EB05DA" w:rsidRPr="009D6764" w:rsidRDefault="00EB05DA" w:rsidP="00CB7E5F">
            <w:pPr>
              <w:spacing w:after="0" w:line="240" w:lineRule="auto"/>
              <w:rPr>
                <w:rFonts w:eastAsia="SimSun"/>
                <w:sz w:val="20"/>
                <w:szCs w:val="20"/>
              </w:rPr>
            </w:pPr>
          </w:p>
        </w:tc>
        <w:tc>
          <w:tcPr>
            <w:tcW w:w="630" w:type="dxa"/>
            <w:tcBorders>
              <w:top w:val="nil"/>
              <w:left w:val="nil"/>
              <w:bottom w:val="nil"/>
              <w:right w:val="nil"/>
            </w:tcBorders>
            <w:noWrap/>
          </w:tcPr>
          <w:p w14:paraId="56022D8D" w14:textId="77777777" w:rsidR="00EB05DA" w:rsidRPr="009D6764" w:rsidRDefault="00EB05DA" w:rsidP="00CB7E5F">
            <w:pPr>
              <w:spacing w:after="0" w:line="240" w:lineRule="auto"/>
              <w:rPr>
                <w:rFonts w:eastAsia="SimSun"/>
                <w:sz w:val="20"/>
                <w:szCs w:val="20"/>
              </w:rPr>
            </w:pPr>
          </w:p>
        </w:tc>
      </w:tr>
      <w:tr w:rsidR="00EB05DA" w:rsidRPr="009D6764" w14:paraId="54A43B33" w14:textId="77777777" w:rsidTr="00CB7E5F">
        <w:trPr>
          <w:trHeight w:val="300"/>
        </w:trPr>
        <w:tc>
          <w:tcPr>
            <w:tcW w:w="2198" w:type="dxa"/>
            <w:tcBorders>
              <w:top w:val="nil"/>
              <w:left w:val="nil"/>
              <w:bottom w:val="nil"/>
              <w:right w:val="nil"/>
            </w:tcBorders>
            <w:noWrap/>
          </w:tcPr>
          <w:p w14:paraId="3BBF4BA2" w14:textId="77777777" w:rsidR="00EB05DA" w:rsidRPr="009D6764" w:rsidRDefault="00EB05DA" w:rsidP="00CB7E5F">
            <w:pPr>
              <w:spacing w:after="0" w:line="240" w:lineRule="auto"/>
              <w:rPr>
                <w:rFonts w:eastAsia="SimSun"/>
                <w:sz w:val="20"/>
                <w:szCs w:val="20"/>
              </w:rPr>
            </w:pPr>
            <w:r w:rsidRPr="009D6764">
              <w:rPr>
                <w:rFonts w:eastAsia="SimSun"/>
                <w:sz w:val="20"/>
                <w:szCs w:val="20"/>
              </w:rPr>
              <w:t xml:space="preserve">SPEC </w:t>
            </w:r>
            <w:r>
              <w:rPr>
                <w:rFonts w:eastAsia="SimSun"/>
                <w:sz w:val="20"/>
                <w:szCs w:val="20"/>
              </w:rPr>
              <w:t xml:space="preserve">Orientations </w:t>
            </w:r>
            <w:r w:rsidRPr="009D6764">
              <w:rPr>
                <w:rFonts w:eastAsia="SimSun"/>
                <w:sz w:val="20"/>
                <w:szCs w:val="20"/>
              </w:rPr>
              <w:t>average scores</w:t>
            </w:r>
            <w:r>
              <w:rPr>
                <w:rFonts w:eastAsia="SimSun"/>
                <w:sz w:val="20"/>
                <w:szCs w:val="20"/>
              </w:rPr>
              <w:t xml:space="preserve"> (1-5)</w:t>
            </w:r>
          </w:p>
        </w:tc>
        <w:tc>
          <w:tcPr>
            <w:tcW w:w="3580" w:type="dxa"/>
            <w:gridSpan w:val="6"/>
            <w:tcBorders>
              <w:top w:val="nil"/>
              <w:left w:val="nil"/>
              <w:bottom w:val="nil"/>
              <w:right w:val="single" w:sz="4" w:space="0" w:color="auto"/>
            </w:tcBorders>
            <w:noWrap/>
          </w:tcPr>
          <w:p w14:paraId="34C568FC" w14:textId="77777777" w:rsidR="00EB05DA" w:rsidRPr="009D6764" w:rsidRDefault="00EB05DA" w:rsidP="00CB7E5F">
            <w:pPr>
              <w:spacing w:after="0" w:line="240" w:lineRule="auto"/>
              <w:jc w:val="center"/>
              <w:rPr>
                <w:rFonts w:eastAsia="SimSun"/>
                <w:sz w:val="20"/>
                <w:szCs w:val="20"/>
              </w:rPr>
            </w:pPr>
            <w:r w:rsidRPr="009D6764">
              <w:rPr>
                <w:rFonts w:eastAsia="SimSun"/>
                <w:bCs/>
                <w:sz w:val="20"/>
                <w:szCs w:val="20"/>
              </w:rPr>
              <w:t>Participants</w:t>
            </w:r>
          </w:p>
        </w:tc>
        <w:tc>
          <w:tcPr>
            <w:tcW w:w="3690" w:type="dxa"/>
            <w:gridSpan w:val="6"/>
            <w:tcBorders>
              <w:top w:val="nil"/>
              <w:left w:val="single" w:sz="4" w:space="0" w:color="auto"/>
              <w:bottom w:val="nil"/>
              <w:right w:val="single" w:sz="4" w:space="0" w:color="auto"/>
            </w:tcBorders>
            <w:noWrap/>
          </w:tcPr>
          <w:p w14:paraId="14594AF0" w14:textId="77777777" w:rsidR="00EB05DA" w:rsidRPr="009D6764" w:rsidRDefault="00EB05DA" w:rsidP="00CB7E5F">
            <w:pPr>
              <w:spacing w:after="0" w:line="240" w:lineRule="auto"/>
              <w:jc w:val="center"/>
              <w:rPr>
                <w:rFonts w:eastAsia="SimSun"/>
                <w:sz w:val="20"/>
                <w:szCs w:val="20"/>
              </w:rPr>
            </w:pPr>
            <w:r w:rsidRPr="009D6764">
              <w:rPr>
                <w:rFonts w:eastAsia="SimSun"/>
                <w:bCs/>
                <w:sz w:val="20"/>
                <w:szCs w:val="20"/>
              </w:rPr>
              <w:t>Nonparticipants</w:t>
            </w:r>
          </w:p>
        </w:tc>
        <w:tc>
          <w:tcPr>
            <w:tcW w:w="3690" w:type="dxa"/>
            <w:gridSpan w:val="6"/>
            <w:tcBorders>
              <w:top w:val="nil"/>
              <w:left w:val="single" w:sz="4" w:space="0" w:color="auto"/>
              <w:bottom w:val="nil"/>
              <w:right w:val="nil"/>
            </w:tcBorders>
            <w:noWrap/>
          </w:tcPr>
          <w:p w14:paraId="409CA64A" w14:textId="77777777" w:rsidR="00EB05DA" w:rsidRPr="009D6764" w:rsidRDefault="00EB05DA" w:rsidP="00CB7E5F">
            <w:pPr>
              <w:spacing w:after="0" w:line="240" w:lineRule="auto"/>
              <w:jc w:val="center"/>
              <w:rPr>
                <w:rFonts w:eastAsia="SimSun"/>
                <w:bCs/>
                <w:sz w:val="20"/>
                <w:szCs w:val="20"/>
              </w:rPr>
            </w:pPr>
            <w:r w:rsidRPr="009D6764">
              <w:rPr>
                <w:rFonts w:eastAsia="SimSun"/>
                <w:bCs/>
                <w:sz w:val="20"/>
                <w:szCs w:val="20"/>
              </w:rPr>
              <w:t>Total surveyed</w:t>
            </w:r>
          </w:p>
        </w:tc>
      </w:tr>
      <w:tr w:rsidR="00EB05DA" w:rsidRPr="009D6764" w14:paraId="6DEB410C" w14:textId="77777777" w:rsidTr="00CB7E5F">
        <w:trPr>
          <w:trHeight w:val="300"/>
        </w:trPr>
        <w:tc>
          <w:tcPr>
            <w:tcW w:w="2198" w:type="dxa"/>
            <w:tcBorders>
              <w:top w:val="nil"/>
              <w:left w:val="nil"/>
              <w:bottom w:val="nil"/>
              <w:right w:val="nil"/>
            </w:tcBorders>
            <w:noWrap/>
          </w:tcPr>
          <w:p w14:paraId="3B7FF6F5" w14:textId="77777777" w:rsidR="00EB05DA" w:rsidRPr="009D6764" w:rsidRDefault="00EB05DA" w:rsidP="00CB7E5F">
            <w:pPr>
              <w:spacing w:after="0" w:line="240" w:lineRule="auto"/>
              <w:ind w:firstLine="270"/>
              <w:jc w:val="center"/>
              <w:rPr>
                <w:rFonts w:eastAsia="SimSun"/>
                <w:sz w:val="20"/>
                <w:szCs w:val="20"/>
              </w:rPr>
            </w:pPr>
          </w:p>
        </w:tc>
        <w:tc>
          <w:tcPr>
            <w:tcW w:w="1150" w:type="dxa"/>
            <w:gridSpan w:val="2"/>
            <w:tcBorders>
              <w:top w:val="nil"/>
              <w:left w:val="nil"/>
              <w:bottom w:val="nil"/>
              <w:right w:val="nil"/>
            </w:tcBorders>
            <w:noWrap/>
          </w:tcPr>
          <w:p w14:paraId="3731F044"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p>
        </w:tc>
        <w:tc>
          <w:tcPr>
            <w:tcW w:w="1260" w:type="dxa"/>
            <w:gridSpan w:val="2"/>
            <w:tcBorders>
              <w:top w:val="nil"/>
              <w:left w:val="nil"/>
              <w:bottom w:val="nil"/>
              <w:right w:val="nil"/>
            </w:tcBorders>
            <w:noWrap/>
          </w:tcPr>
          <w:p w14:paraId="11DB43B0"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p>
        </w:tc>
        <w:tc>
          <w:tcPr>
            <w:tcW w:w="1170" w:type="dxa"/>
            <w:gridSpan w:val="2"/>
            <w:tcBorders>
              <w:top w:val="nil"/>
              <w:left w:val="nil"/>
              <w:bottom w:val="nil"/>
              <w:right w:val="single" w:sz="4" w:space="0" w:color="auto"/>
            </w:tcBorders>
            <w:noWrap/>
          </w:tcPr>
          <w:p w14:paraId="23C06864"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p>
        </w:tc>
        <w:tc>
          <w:tcPr>
            <w:tcW w:w="1170" w:type="dxa"/>
            <w:gridSpan w:val="2"/>
            <w:tcBorders>
              <w:top w:val="nil"/>
              <w:left w:val="single" w:sz="4" w:space="0" w:color="auto"/>
              <w:bottom w:val="nil"/>
              <w:right w:val="nil"/>
            </w:tcBorders>
            <w:noWrap/>
          </w:tcPr>
          <w:p w14:paraId="277199AC"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p>
        </w:tc>
        <w:tc>
          <w:tcPr>
            <w:tcW w:w="1260" w:type="dxa"/>
            <w:gridSpan w:val="2"/>
            <w:tcBorders>
              <w:top w:val="nil"/>
              <w:left w:val="nil"/>
              <w:bottom w:val="nil"/>
              <w:right w:val="nil"/>
            </w:tcBorders>
            <w:noWrap/>
          </w:tcPr>
          <w:p w14:paraId="4C21310D"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p>
        </w:tc>
        <w:tc>
          <w:tcPr>
            <w:tcW w:w="1260" w:type="dxa"/>
            <w:gridSpan w:val="2"/>
            <w:tcBorders>
              <w:top w:val="nil"/>
              <w:left w:val="nil"/>
              <w:bottom w:val="nil"/>
              <w:right w:val="single" w:sz="4" w:space="0" w:color="auto"/>
            </w:tcBorders>
            <w:noWrap/>
          </w:tcPr>
          <w:p w14:paraId="3063AA32"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p>
        </w:tc>
        <w:tc>
          <w:tcPr>
            <w:tcW w:w="1260" w:type="dxa"/>
            <w:gridSpan w:val="2"/>
            <w:tcBorders>
              <w:top w:val="nil"/>
              <w:left w:val="single" w:sz="4" w:space="0" w:color="auto"/>
              <w:bottom w:val="nil"/>
              <w:right w:val="nil"/>
            </w:tcBorders>
            <w:noWrap/>
          </w:tcPr>
          <w:p w14:paraId="7A851E45"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Y1</w:t>
            </w:r>
          </w:p>
        </w:tc>
        <w:tc>
          <w:tcPr>
            <w:tcW w:w="1260" w:type="dxa"/>
            <w:gridSpan w:val="2"/>
            <w:tcBorders>
              <w:top w:val="nil"/>
              <w:left w:val="nil"/>
              <w:bottom w:val="nil"/>
              <w:right w:val="nil"/>
            </w:tcBorders>
            <w:noWrap/>
          </w:tcPr>
          <w:p w14:paraId="5FE742A9"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Y3</w:t>
            </w:r>
          </w:p>
        </w:tc>
        <w:tc>
          <w:tcPr>
            <w:tcW w:w="1170" w:type="dxa"/>
            <w:gridSpan w:val="2"/>
            <w:tcBorders>
              <w:top w:val="nil"/>
              <w:left w:val="nil"/>
              <w:bottom w:val="nil"/>
              <w:right w:val="nil"/>
            </w:tcBorders>
            <w:noWrap/>
          </w:tcPr>
          <w:p w14:paraId="45F54880"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Y5</w:t>
            </w:r>
          </w:p>
        </w:tc>
      </w:tr>
      <w:tr w:rsidR="00EB05DA" w:rsidRPr="009D6764" w14:paraId="42FC2096" w14:textId="77777777" w:rsidTr="00CB7E5F">
        <w:trPr>
          <w:trHeight w:val="300"/>
        </w:trPr>
        <w:tc>
          <w:tcPr>
            <w:tcW w:w="2198" w:type="dxa"/>
            <w:tcBorders>
              <w:top w:val="nil"/>
              <w:left w:val="nil"/>
              <w:bottom w:val="nil"/>
              <w:right w:val="nil"/>
            </w:tcBorders>
            <w:noWrap/>
          </w:tcPr>
          <w:p w14:paraId="752B4E6F" w14:textId="160B28D5" w:rsidR="00EB05DA" w:rsidRDefault="00EB05DA" w:rsidP="00CB7E5F">
            <w:pPr>
              <w:spacing w:after="0" w:line="240" w:lineRule="auto"/>
              <w:rPr>
                <w:rFonts w:eastAsia="SimSun"/>
                <w:sz w:val="20"/>
                <w:szCs w:val="20"/>
              </w:rPr>
            </w:pPr>
            <w:r w:rsidRPr="009D6764">
              <w:rPr>
                <w:rFonts w:eastAsia="SimSun"/>
                <w:sz w:val="20"/>
                <w:szCs w:val="20"/>
              </w:rPr>
              <w:t xml:space="preserve">Strengths </w:t>
            </w:r>
          </w:p>
          <w:p w14:paraId="196CF9E1" w14:textId="77777777" w:rsidR="00EB05DA" w:rsidRPr="009D6764" w:rsidRDefault="00EB05DA" w:rsidP="00CB7E5F">
            <w:pPr>
              <w:spacing w:after="0" w:line="240" w:lineRule="auto"/>
              <w:rPr>
                <w:rFonts w:eastAsia="SimSun"/>
                <w:sz w:val="20"/>
                <w:szCs w:val="20"/>
              </w:rPr>
            </w:pPr>
            <w:r>
              <w:rPr>
                <w:rFonts w:eastAsia="SimSun"/>
                <w:sz w:val="20"/>
                <w:szCs w:val="20"/>
              </w:rPr>
              <w:t>(SD)</w:t>
            </w:r>
          </w:p>
        </w:tc>
        <w:tc>
          <w:tcPr>
            <w:tcW w:w="1150" w:type="dxa"/>
            <w:gridSpan w:val="2"/>
            <w:tcBorders>
              <w:top w:val="nil"/>
              <w:left w:val="nil"/>
              <w:bottom w:val="nil"/>
              <w:right w:val="nil"/>
            </w:tcBorders>
            <w:noWrap/>
          </w:tcPr>
          <w:p w14:paraId="04BAE277"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3.05</w:t>
            </w:r>
          </w:p>
          <w:p w14:paraId="108EABC7"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.6</w:t>
            </w:r>
            <w:r>
              <w:rPr>
                <w:rFonts w:eastAsia="SimSun"/>
                <w:sz w:val="20"/>
                <w:szCs w:val="20"/>
              </w:rPr>
              <w:t>9)</w:t>
            </w:r>
          </w:p>
        </w:tc>
        <w:tc>
          <w:tcPr>
            <w:tcW w:w="1260" w:type="dxa"/>
            <w:gridSpan w:val="2"/>
            <w:tcBorders>
              <w:top w:val="nil"/>
              <w:left w:val="nil"/>
              <w:bottom w:val="nil"/>
              <w:right w:val="nil"/>
            </w:tcBorders>
            <w:noWrap/>
          </w:tcPr>
          <w:p w14:paraId="4C609BC7"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2.96</w:t>
            </w:r>
          </w:p>
          <w:p w14:paraId="3144FAC2" w14:textId="77777777" w:rsidR="00EB05DA" w:rsidRPr="009D6764" w:rsidRDefault="00EB05DA" w:rsidP="00CB7E5F">
            <w:pPr>
              <w:spacing w:after="0" w:line="240" w:lineRule="auto"/>
              <w:jc w:val="center"/>
              <w:rPr>
                <w:rFonts w:eastAsia="SimSun"/>
                <w:sz w:val="20"/>
                <w:szCs w:val="20"/>
              </w:rPr>
            </w:pPr>
            <w:r w:rsidRPr="001E6C21">
              <w:rPr>
                <w:rFonts w:eastAsia="SimSun"/>
                <w:sz w:val="20"/>
                <w:szCs w:val="20"/>
              </w:rPr>
              <w:t>(.7</w:t>
            </w:r>
            <w:r>
              <w:rPr>
                <w:rFonts w:eastAsia="SimSun"/>
                <w:sz w:val="20"/>
                <w:szCs w:val="20"/>
              </w:rPr>
              <w:t>8</w:t>
            </w:r>
            <w:r w:rsidRPr="001E6C21">
              <w:rPr>
                <w:rFonts w:eastAsia="SimSun"/>
                <w:sz w:val="20"/>
                <w:szCs w:val="20"/>
              </w:rPr>
              <w:t>)</w:t>
            </w:r>
          </w:p>
        </w:tc>
        <w:tc>
          <w:tcPr>
            <w:tcW w:w="1170" w:type="dxa"/>
            <w:gridSpan w:val="2"/>
            <w:tcBorders>
              <w:top w:val="nil"/>
              <w:left w:val="nil"/>
              <w:bottom w:val="nil"/>
              <w:right w:val="single" w:sz="4" w:space="0" w:color="auto"/>
            </w:tcBorders>
            <w:noWrap/>
          </w:tcPr>
          <w:p w14:paraId="3E54B9AC"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2.96</w:t>
            </w:r>
          </w:p>
          <w:p w14:paraId="5363C31D" w14:textId="77777777" w:rsidR="00EB05DA" w:rsidRPr="009D6764" w:rsidRDefault="00EB05DA" w:rsidP="00CB7E5F">
            <w:pPr>
              <w:spacing w:after="0" w:line="240" w:lineRule="auto"/>
              <w:jc w:val="center"/>
              <w:rPr>
                <w:rFonts w:eastAsia="SimSun"/>
                <w:sz w:val="20"/>
                <w:szCs w:val="20"/>
              </w:rPr>
            </w:pPr>
            <w:r w:rsidRPr="0091442E">
              <w:rPr>
                <w:rFonts w:eastAsia="SimSun"/>
                <w:sz w:val="20"/>
                <w:szCs w:val="20"/>
              </w:rPr>
              <w:t>(1.11)</w:t>
            </w:r>
          </w:p>
        </w:tc>
        <w:tc>
          <w:tcPr>
            <w:tcW w:w="1170" w:type="dxa"/>
            <w:gridSpan w:val="2"/>
            <w:tcBorders>
              <w:top w:val="nil"/>
              <w:left w:val="single" w:sz="4" w:space="0" w:color="auto"/>
              <w:bottom w:val="nil"/>
              <w:right w:val="nil"/>
            </w:tcBorders>
            <w:noWrap/>
          </w:tcPr>
          <w:p w14:paraId="35412240"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2.71</w:t>
            </w:r>
          </w:p>
          <w:p w14:paraId="1ECBCE9D"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.77</w:t>
            </w:r>
            <w:r>
              <w:rPr>
                <w:rFonts w:eastAsia="SimSun"/>
                <w:sz w:val="20"/>
                <w:szCs w:val="20"/>
              </w:rPr>
              <w:t>)</w:t>
            </w:r>
          </w:p>
        </w:tc>
        <w:tc>
          <w:tcPr>
            <w:tcW w:w="1260" w:type="dxa"/>
            <w:gridSpan w:val="2"/>
            <w:tcBorders>
              <w:top w:val="nil"/>
              <w:left w:val="nil"/>
              <w:bottom w:val="nil"/>
              <w:right w:val="nil"/>
            </w:tcBorders>
            <w:noWrap/>
          </w:tcPr>
          <w:p w14:paraId="0BC21CF4"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2.98</w:t>
            </w:r>
          </w:p>
          <w:p w14:paraId="30DD6DCB" w14:textId="77777777" w:rsidR="00EB05DA" w:rsidRPr="009D6764" w:rsidRDefault="00EB05DA" w:rsidP="00CB7E5F">
            <w:pPr>
              <w:spacing w:after="0" w:line="240" w:lineRule="auto"/>
              <w:jc w:val="center"/>
              <w:rPr>
                <w:rFonts w:eastAsia="SimSun"/>
                <w:sz w:val="20"/>
                <w:szCs w:val="20"/>
              </w:rPr>
            </w:pPr>
            <w:r>
              <w:rPr>
                <w:rFonts w:eastAsia="SimSun"/>
                <w:sz w:val="20"/>
                <w:szCs w:val="20"/>
              </w:rPr>
              <w:t>(.75</w:t>
            </w:r>
            <w:r w:rsidRPr="001E6C21">
              <w:rPr>
                <w:rFonts w:eastAsia="SimSun"/>
                <w:sz w:val="20"/>
                <w:szCs w:val="20"/>
              </w:rPr>
              <w:t>)</w:t>
            </w:r>
          </w:p>
        </w:tc>
        <w:tc>
          <w:tcPr>
            <w:tcW w:w="1260" w:type="dxa"/>
            <w:gridSpan w:val="2"/>
            <w:tcBorders>
              <w:top w:val="nil"/>
              <w:left w:val="nil"/>
              <w:bottom w:val="nil"/>
              <w:right w:val="single" w:sz="4" w:space="0" w:color="auto"/>
            </w:tcBorders>
            <w:noWrap/>
          </w:tcPr>
          <w:p w14:paraId="39C9E495"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2.95</w:t>
            </w:r>
          </w:p>
          <w:p w14:paraId="1152E7D2" w14:textId="77777777" w:rsidR="00EB05DA" w:rsidRPr="009D6764" w:rsidRDefault="00EB05DA" w:rsidP="00CB7E5F">
            <w:pPr>
              <w:spacing w:after="0" w:line="240" w:lineRule="auto"/>
              <w:jc w:val="center"/>
              <w:rPr>
                <w:rFonts w:eastAsia="SimSun"/>
                <w:sz w:val="20"/>
                <w:szCs w:val="20"/>
              </w:rPr>
            </w:pPr>
            <w:r>
              <w:rPr>
                <w:rFonts w:eastAsia="SimSun"/>
                <w:sz w:val="20"/>
                <w:szCs w:val="20"/>
              </w:rPr>
              <w:t>(.94</w:t>
            </w:r>
            <w:r w:rsidRPr="001E6C21">
              <w:rPr>
                <w:rFonts w:eastAsia="SimSun"/>
                <w:sz w:val="20"/>
                <w:szCs w:val="20"/>
              </w:rPr>
              <w:t>)</w:t>
            </w:r>
          </w:p>
        </w:tc>
        <w:tc>
          <w:tcPr>
            <w:tcW w:w="1260" w:type="dxa"/>
            <w:gridSpan w:val="2"/>
            <w:tcBorders>
              <w:top w:val="nil"/>
              <w:left w:val="single" w:sz="4" w:space="0" w:color="auto"/>
              <w:bottom w:val="nil"/>
              <w:right w:val="nil"/>
            </w:tcBorders>
            <w:noWrap/>
          </w:tcPr>
          <w:p w14:paraId="349425E7"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2.81</w:t>
            </w:r>
          </w:p>
          <w:p w14:paraId="327ED4C1"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.7</w:t>
            </w:r>
            <w:r>
              <w:rPr>
                <w:rFonts w:eastAsia="SimSun"/>
                <w:sz w:val="20"/>
                <w:szCs w:val="20"/>
              </w:rPr>
              <w:t>6)</w:t>
            </w:r>
          </w:p>
        </w:tc>
        <w:tc>
          <w:tcPr>
            <w:tcW w:w="1260" w:type="dxa"/>
            <w:gridSpan w:val="2"/>
            <w:tcBorders>
              <w:top w:val="nil"/>
              <w:left w:val="nil"/>
              <w:bottom w:val="nil"/>
              <w:right w:val="nil"/>
            </w:tcBorders>
            <w:noWrap/>
          </w:tcPr>
          <w:p w14:paraId="46B4AEAE"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2.98</w:t>
            </w:r>
          </w:p>
          <w:p w14:paraId="1C9E1664"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.7</w:t>
            </w:r>
            <w:r>
              <w:rPr>
                <w:rFonts w:eastAsia="SimSun"/>
                <w:sz w:val="20"/>
                <w:szCs w:val="20"/>
              </w:rPr>
              <w:t>5)</w:t>
            </w:r>
          </w:p>
        </w:tc>
        <w:tc>
          <w:tcPr>
            <w:tcW w:w="1170" w:type="dxa"/>
            <w:gridSpan w:val="2"/>
            <w:tcBorders>
              <w:top w:val="nil"/>
              <w:left w:val="nil"/>
              <w:bottom w:val="nil"/>
              <w:right w:val="nil"/>
            </w:tcBorders>
            <w:noWrap/>
          </w:tcPr>
          <w:p w14:paraId="77CDB13F"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2.95</w:t>
            </w:r>
          </w:p>
          <w:p w14:paraId="2915C38F"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.9</w:t>
            </w:r>
            <w:r>
              <w:rPr>
                <w:rFonts w:eastAsia="SimSun"/>
                <w:sz w:val="20"/>
                <w:szCs w:val="20"/>
              </w:rPr>
              <w:t>7)</w:t>
            </w:r>
          </w:p>
        </w:tc>
      </w:tr>
      <w:tr w:rsidR="00EB05DA" w:rsidRPr="009D6764" w14:paraId="7CCE8213" w14:textId="77777777" w:rsidTr="00CB7E5F">
        <w:trPr>
          <w:trHeight w:val="300"/>
        </w:trPr>
        <w:tc>
          <w:tcPr>
            <w:tcW w:w="2198" w:type="dxa"/>
            <w:tcBorders>
              <w:top w:val="nil"/>
              <w:left w:val="nil"/>
              <w:bottom w:val="nil"/>
              <w:right w:val="nil"/>
            </w:tcBorders>
            <w:noWrap/>
          </w:tcPr>
          <w:p w14:paraId="5D7AF9F3" w14:textId="77777777" w:rsidR="00EB05DA" w:rsidRDefault="00EB05DA" w:rsidP="00CB7E5F">
            <w:pPr>
              <w:spacing w:after="0" w:line="240" w:lineRule="auto"/>
              <w:rPr>
                <w:rFonts w:eastAsia="SimSun"/>
                <w:sz w:val="20"/>
                <w:szCs w:val="20"/>
              </w:rPr>
            </w:pPr>
            <w:r w:rsidRPr="009D6764">
              <w:rPr>
                <w:rFonts w:eastAsia="SimSun"/>
                <w:sz w:val="20"/>
                <w:szCs w:val="20"/>
              </w:rPr>
              <w:t>Primary prevention</w:t>
            </w:r>
          </w:p>
          <w:p w14:paraId="51D3C8DA" w14:textId="77777777" w:rsidR="00EB05DA" w:rsidRPr="009D6764" w:rsidRDefault="00EB05DA" w:rsidP="00CB7E5F">
            <w:pPr>
              <w:spacing w:after="0" w:line="240" w:lineRule="auto"/>
              <w:rPr>
                <w:rFonts w:eastAsia="SimSun"/>
                <w:sz w:val="20"/>
                <w:szCs w:val="20"/>
              </w:rPr>
            </w:pPr>
            <w:r>
              <w:rPr>
                <w:rFonts w:eastAsia="SimSun"/>
                <w:sz w:val="20"/>
                <w:szCs w:val="20"/>
              </w:rPr>
              <w:t>(SD)</w:t>
            </w:r>
          </w:p>
        </w:tc>
        <w:tc>
          <w:tcPr>
            <w:tcW w:w="1150" w:type="dxa"/>
            <w:gridSpan w:val="2"/>
            <w:tcBorders>
              <w:top w:val="nil"/>
              <w:left w:val="nil"/>
              <w:bottom w:val="nil"/>
              <w:right w:val="nil"/>
            </w:tcBorders>
            <w:noWrap/>
          </w:tcPr>
          <w:p w14:paraId="44CD2A69"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3.28</w:t>
            </w:r>
          </w:p>
          <w:p w14:paraId="0DE0E879"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.7</w:t>
            </w:r>
            <w:r>
              <w:rPr>
                <w:rFonts w:eastAsia="SimSun"/>
                <w:sz w:val="20"/>
                <w:szCs w:val="20"/>
              </w:rPr>
              <w:t>2)</w:t>
            </w:r>
          </w:p>
        </w:tc>
        <w:tc>
          <w:tcPr>
            <w:tcW w:w="1260" w:type="dxa"/>
            <w:gridSpan w:val="2"/>
            <w:tcBorders>
              <w:top w:val="nil"/>
              <w:left w:val="nil"/>
              <w:bottom w:val="nil"/>
              <w:right w:val="nil"/>
            </w:tcBorders>
            <w:noWrap/>
          </w:tcPr>
          <w:p w14:paraId="084313C5"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3.04</w:t>
            </w:r>
          </w:p>
          <w:p w14:paraId="105A2DAF" w14:textId="77777777" w:rsidR="00EB05DA" w:rsidRPr="009D6764" w:rsidRDefault="00EB05DA" w:rsidP="00CB7E5F">
            <w:pPr>
              <w:spacing w:after="0" w:line="240" w:lineRule="auto"/>
              <w:jc w:val="center"/>
              <w:rPr>
                <w:rFonts w:eastAsia="SimSun"/>
                <w:sz w:val="20"/>
                <w:szCs w:val="20"/>
              </w:rPr>
            </w:pPr>
            <w:r>
              <w:rPr>
                <w:rFonts w:eastAsia="SimSun"/>
                <w:sz w:val="20"/>
                <w:szCs w:val="20"/>
              </w:rPr>
              <w:t>(1.09</w:t>
            </w:r>
            <w:r w:rsidRPr="001E6C21">
              <w:rPr>
                <w:rFonts w:eastAsia="SimSun"/>
                <w:sz w:val="20"/>
                <w:szCs w:val="20"/>
              </w:rPr>
              <w:t>)</w:t>
            </w:r>
          </w:p>
        </w:tc>
        <w:tc>
          <w:tcPr>
            <w:tcW w:w="1170" w:type="dxa"/>
            <w:gridSpan w:val="2"/>
            <w:tcBorders>
              <w:top w:val="nil"/>
              <w:left w:val="nil"/>
              <w:bottom w:val="nil"/>
              <w:right w:val="single" w:sz="4" w:space="0" w:color="auto"/>
            </w:tcBorders>
            <w:noWrap/>
          </w:tcPr>
          <w:p w14:paraId="6E974021"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2.69</w:t>
            </w:r>
          </w:p>
          <w:p w14:paraId="3B841C9D" w14:textId="77777777" w:rsidR="00EB05DA" w:rsidRPr="009D6764" w:rsidRDefault="00EB05DA" w:rsidP="00CB7E5F">
            <w:pPr>
              <w:spacing w:after="0" w:line="240" w:lineRule="auto"/>
              <w:jc w:val="center"/>
              <w:rPr>
                <w:rFonts w:eastAsia="SimSun"/>
                <w:sz w:val="20"/>
                <w:szCs w:val="20"/>
              </w:rPr>
            </w:pPr>
            <w:r w:rsidRPr="0091442E">
              <w:rPr>
                <w:rFonts w:eastAsia="SimSun"/>
                <w:sz w:val="20"/>
                <w:szCs w:val="20"/>
              </w:rPr>
              <w:t>(1.05)</w:t>
            </w:r>
          </w:p>
        </w:tc>
        <w:tc>
          <w:tcPr>
            <w:tcW w:w="1170" w:type="dxa"/>
            <w:gridSpan w:val="2"/>
            <w:tcBorders>
              <w:top w:val="nil"/>
              <w:left w:val="single" w:sz="4" w:space="0" w:color="auto"/>
              <w:bottom w:val="nil"/>
              <w:right w:val="nil"/>
            </w:tcBorders>
            <w:noWrap/>
          </w:tcPr>
          <w:p w14:paraId="564A78CB" w14:textId="77777777" w:rsidR="00EB05DA" w:rsidRDefault="00EB05DA" w:rsidP="00CB7E5F">
            <w:pPr>
              <w:spacing w:after="0" w:line="240" w:lineRule="auto"/>
              <w:jc w:val="center"/>
              <w:rPr>
                <w:rFonts w:eastAsia="SimSun"/>
                <w:sz w:val="20"/>
                <w:szCs w:val="20"/>
              </w:rPr>
            </w:pPr>
            <w:r w:rsidRPr="009D6764">
              <w:rPr>
                <w:rFonts w:eastAsia="SimSun"/>
                <w:sz w:val="20"/>
                <w:szCs w:val="20"/>
              </w:rPr>
              <w:t>3.55</w:t>
            </w:r>
          </w:p>
          <w:p w14:paraId="0208E1B6"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.9</w:t>
            </w:r>
            <w:r>
              <w:rPr>
                <w:rFonts w:eastAsia="SimSun"/>
                <w:sz w:val="20"/>
                <w:szCs w:val="20"/>
              </w:rPr>
              <w:t>3)</w:t>
            </w:r>
          </w:p>
        </w:tc>
        <w:tc>
          <w:tcPr>
            <w:tcW w:w="1260" w:type="dxa"/>
            <w:gridSpan w:val="2"/>
            <w:tcBorders>
              <w:top w:val="nil"/>
              <w:left w:val="nil"/>
              <w:bottom w:val="nil"/>
              <w:right w:val="nil"/>
            </w:tcBorders>
            <w:noWrap/>
          </w:tcPr>
          <w:p w14:paraId="29C7AE0E"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3.25</w:t>
            </w:r>
          </w:p>
          <w:p w14:paraId="6C6D05A2" w14:textId="77777777" w:rsidR="00EB05DA" w:rsidRPr="009D6764" w:rsidRDefault="00EB05DA" w:rsidP="00CB7E5F">
            <w:pPr>
              <w:spacing w:after="0" w:line="240" w:lineRule="auto"/>
              <w:jc w:val="center"/>
              <w:rPr>
                <w:rFonts w:eastAsia="SimSun"/>
                <w:sz w:val="20"/>
                <w:szCs w:val="20"/>
              </w:rPr>
            </w:pPr>
            <w:r w:rsidRPr="001E6C21">
              <w:rPr>
                <w:rFonts w:eastAsia="SimSun"/>
                <w:sz w:val="20"/>
                <w:szCs w:val="20"/>
              </w:rPr>
              <w:t>(1.05)</w:t>
            </w:r>
          </w:p>
        </w:tc>
        <w:tc>
          <w:tcPr>
            <w:tcW w:w="1260" w:type="dxa"/>
            <w:gridSpan w:val="2"/>
            <w:tcBorders>
              <w:top w:val="nil"/>
              <w:left w:val="nil"/>
              <w:bottom w:val="nil"/>
              <w:right w:val="single" w:sz="4" w:space="0" w:color="auto"/>
            </w:tcBorders>
            <w:noWrap/>
          </w:tcPr>
          <w:p w14:paraId="2D7E11B0"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3.59</w:t>
            </w:r>
          </w:p>
          <w:p w14:paraId="58794DE6" w14:textId="77777777" w:rsidR="00EB05DA" w:rsidRPr="009D6764" w:rsidRDefault="00EB05DA" w:rsidP="00CB7E5F">
            <w:pPr>
              <w:spacing w:after="0" w:line="240" w:lineRule="auto"/>
              <w:jc w:val="center"/>
              <w:rPr>
                <w:rFonts w:eastAsia="SimSun"/>
                <w:sz w:val="20"/>
                <w:szCs w:val="20"/>
              </w:rPr>
            </w:pPr>
            <w:r w:rsidRPr="0091442E">
              <w:rPr>
                <w:rFonts w:eastAsia="SimSun"/>
                <w:sz w:val="20"/>
                <w:szCs w:val="20"/>
              </w:rPr>
              <w:t>(1.01)</w:t>
            </w:r>
          </w:p>
        </w:tc>
        <w:tc>
          <w:tcPr>
            <w:tcW w:w="1260" w:type="dxa"/>
            <w:gridSpan w:val="2"/>
            <w:tcBorders>
              <w:top w:val="nil"/>
              <w:left w:val="single" w:sz="4" w:space="0" w:color="auto"/>
              <w:bottom w:val="nil"/>
              <w:right w:val="nil"/>
            </w:tcBorders>
            <w:noWrap/>
          </w:tcPr>
          <w:p w14:paraId="40AE5CE7"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3.47</w:t>
            </w:r>
          </w:p>
          <w:p w14:paraId="7C2ED66B"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.87</w:t>
            </w:r>
            <w:r>
              <w:rPr>
                <w:rFonts w:eastAsia="SimSun"/>
                <w:sz w:val="20"/>
                <w:szCs w:val="20"/>
              </w:rPr>
              <w:t>)</w:t>
            </w:r>
          </w:p>
        </w:tc>
        <w:tc>
          <w:tcPr>
            <w:tcW w:w="1260" w:type="dxa"/>
            <w:gridSpan w:val="2"/>
            <w:tcBorders>
              <w:top w:val="nil"/>
              <w:left w:val="nil"/>
              <w:bottom w:val="nil"/>
              <w:right w:val="nil"/>
            </w:tcBorders>
            <w:noWrap/>
          </w:tcPr>
          <w:p w14:paraId="2BE4B22C"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3.21</w:t>
            </w:r>
          </w:p>
          <w:p w14:paraId="7F93F9A7"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1.05</w:t>
            </w:r>
            <w:r>
              <w:rPr>
                <w:rFonts w:eastAsia="SimSun"/>
                <w:sz w:val="20"/>
                <w:szCs w:val="20"/>
              </w:rPr>
              <w:t>)</w:t>
            </w:r>
          </w:p>
        </w:tc>
        <w:tc>
          <w:tcPr>
            <w:tcW w:w="1170" w:type="dxa"/>
            <w:gridSpan w:val="2"/>
            <w:tcBorders>
              <w:top w:val="nil"/>
              <w:left w:val="nil"/>
              <w:bottom w:val="nil"/>
              <w:right w:val="nil"/>
            </w:tcBorders>
            <w:noWrap/>
          </w:tcPr>
          <w:p w14:paraId="6ADD7A4B"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3.39</w:t>
            </w:r>
          </w:p>
          <w:p w14:paraId="4DA98E8C"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1.0</w:t>
            </w:r>
            <w:r>
              <w:rPr>
                <w:rFonts w:eastAsia="SimSun"/>
                <w:sz w:val="20"/>
                <w:szCs w:val="20"/>
              </w:rPr>
              <w:t>8)</w:t>
            </w:r>
          </w:p>
        </w:tc>
      </w:tr>
      <w:tr w:rsidR="00EB05DA" w:rsidRPr="009D6764" w14:paraId="4E3791D1" w14:textId="77777777" w:rsidTr="00CB7E5F">
        <w:trPr>
          <w:trHeight w:val="300"/>
        </w:trPr>
        <w:tc>
          <w:tcPr>
            <w:tcW w:w="2198" w:type="dxa"/>
            <w:tcBorders>
              <w:top w:val="nil"/>
              <w:left w:val="nil"/>
              <w:bottom w:val="nil"/>
              <w:right w:val="nil"/>
            </w:tcBorders>
            <w:noWrap/>
          </w:tcPr>
          <w:p w14:paraId="1960FE5A" w14:textId="77777777" w:rsidR="00EB05DA" w:rsidRDefault="00EB05DA" w:rsidP="00CB7E5F">
            <w:pPr>
              <w:spacing w:after="0" w:line="240" w:lineRule="auto"/>
              <w:rPr>
                <w:rFonts w:eastAsia="SimSun"/>
                <w:sz w:val="20"/>
                <w:szCs w:val="20"/>
              </w:rPr>
            </w:pPr>
            <w:r>
              <w:rPr>
                <w:rFonts w:eastAsia="SimSun"/>
                <w:sz w:val="20"/>
                <w:szCs w:val="20"/>
              </w:rPr>
              <w:t>E</w:t>
            </w:r>
            <w:r w:rsidRPr="009D6764">
              <w:rPr>
                <w:rFonts w:eastAsia="SimSun"/>
                <w:sz w:val="20"/>
                <w:szCs w:val="20"/>
              </w:rPr>
              <w:t>mpowerment</w:t>
            </w:r>
          </w:p>
          <w:p w14:paraId="390A8874" w14:textId="77777777" w:rsidR="00EB05DA" w:rsidRPr="009D6764" w:rsidRDefault="00EB05DA" w:rsidP="00CB7E5F">
            <w:pPr>
              <w:spacing w:after="0" w:line="240" w:lineRule="auto"/>
              <w:rPr>
                <w:rFonts w:eastAsia="SimSun"/>
                <w:sz w:val="20"/>
                <w:szCs w:val="20"/>
              </w:rPr>
            </w:pPr>
            <w:r>
              <w:rPr>
                <w:rFonts w:eastAsia="SimSun"/>
                <w:sz w:val="20"/>
                <w:szCs w:val="20"/>
              </w:rPr>
              <w:t>(SD)</w:t>
            </w:r>
          </w:p>
        </w:tc>
        <w:tc>
          <w:tcPr>
            <w:tcW w:w="1150" w:type="dxa"/>
            <w:gridSpan w:val="2"/>
            <w:tcBorders>
              <w:top w:val="nil"/>
              <w:left w:val="nil"/>
              <w:bottom w:val="nil"/>
              <w:right w:val="nil"/>
            </w:tcBorders>
            <w:noWrap/>
          </w:tcPr>
          <w:p w14:paraId="6421A819"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3.50</w:t>
            </w:r>
          </w:p>
          <w:p w14:paraId="7A3ABEBD"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.74</w:t>
            </w:r>
            <w:r>
              <w:rPr>
                <w:rFonts w:eastAsia="SimSun"/>
                <w:sz w:val="20"/>
                <w:szCs w:val="20"/>
              </w:rPr>
              <w:t>)</w:t>
            </w:r>
          </w:p>
        </w:tc>
        <w:tc>
          <w:tcPr>
            <w:tcW w:w="1260" w:type="dxa"/>
            <w:gridSpan w:val="2"/>
            <w:tcBorders>
              <w:top w:val="nil"/>
              <w:left w:val="nil"/>
              <w:bottom w:val="nil"/>
              <w:right w:val="nil"/>
            </w:tcBorders>
            <w:noWrap/>
          </w:tcPr>
          <w:p w14:paraId="3AB45BEF"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3.65</w:t>
            </w:r>
          </w:p>
          <w:p w14:paraId="3437C2A8" w14:textId="77777777" w:rsidR="00EB05DA" w:rsidRPr="009D6764" w:rsidRDefault="00EB05DA" w:rsidP="00CB7E5F">
            <w:pPr>
              <w:spacing w:after="0" w:line="240" w:lineRule="auto"/>
              <w:jc w:val="center"/>
              <w:rPr>
                <w:rFonts w:eastAsia="SimSun"/>
                <w:sz w:val="20"/>
                <w:szCs w:val="20"/>
              </w:rPr>
            </w:pPr>
            <w:r w:rsidRPr="001E6C21">
              <w:rPr>
                <w:rFonts w:eastAsia="SimSun"/>
                <w:sz w:val="20"/>
                <w:szCs w:val="20"/>
              </w:rPr>
              <w:t>(.59)</w:t>
            </w:r>
          </w:p>
        </w:tc>
        <w:tc>
          <w:tcPr>
            <w:tcW w:w="1170" w:type="dxa"/>
            <w:gridSpan w:val="2"/>
            <w:tcBorders>
              <w:top w:val="nil"/>
              <w:left w:val="nil"/>
              <w:bottom w:val="nil"/>
              <w:right w:val="nil"/>
            </w:tcBorders>
            <w:noWrap/>
          </w:tcPr>
          <w:p w14:paraId="5A3370E9"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3.54</w:t>
            </w:r>
          </w:p>
          <w:p w14:paraId="027F783C" w14:textId="77777777" w:rsidR="00EB05DA" w:rsidRPr="009D6764" w:rsidRDefault="00EB05DA" w:rsidP="00CB7E5F">
            <w:pPr>
              <w:spacing w:after="0" w:line="240" w:lineRule="auto"/>
              <w:jc w:val="center"/>
              <w:rPr>
                <w:rFonts w:eastAsia="SimSun"/>
                <w:sz w:val="20"/>
                <w:szCs w:val="20"/>
              </w:rPr>
            </w:pPr>
            <w:r>
              <w:rPr>
                <w:rFonts w:eastAsia="SimSun"/>
                <w:sz w:val="20"/>
                <w:szCs w:val="20"/>
              </w:rPr>
              <w:t>(.78</w:t>
            </w:r>
            <w:r w:rsidRPr="0091442E">
              <w:rPr>
                <w:rFonts w:eastAsia="SimSun"/>
                <w:sz w:val="20"/>
                <w:szCs w:val="20"/>
              </w:rPr>
              <w:t>)</w:t>
            </w:r>
          </w:p>
        </w:tc>
        <w:tc>
          <w:tcPr>
            <w:tcW w:w="1170" w:type="dxa"/>
            <w:gridSpan w:val="2"/>
            <w:tcBorders>
              <w:top w:val="nil"/>
              <w:left w:val="nil"/>
              <w:bottom w:val="nil"/>
              <w:right w:val="nil"/>
            </w:tcBorders>
            <w:noWrap/>
          </w:tcPr>
          <w:p w14:paraId="6F344440"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3.51</w:t>
            </w:r>
          </w:p>
          <w:p w14:paraId="432B3CC5"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1.0</w:t>
            </w:r>
            <w:r>
              <w:rPr>
                <w:rFonts w:eastAsia="SimSun"/>
                <w:sz w:val="20"/>
                <w:szCs w:val="20"/>
              </w:rPr>
              <w:t>7)</w:t>
            </w:r>
          </w:p>
        </w:tc>
        <w:tc>
          <w:tcPr>
            <w:tcW w:w="1260" w:type="dxa"/>
            <w:gridSpan w:val="2"/>
            <w:tcBorders>
              <w:top w:val="nil"/>
              <w:left w:val="nil"/>
              <w:bottom w:val="nil"/>
              <w:right w:val="nil"/>
            </w:tcBorders>
            <w:noWrap/>
          </w:tcPr>
          <w:p w14:paraId="6CC72329"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3.57</w:t>
            </w:r>
          </w:p>
          <w:p w14:paraId="2E9CD4AE" w14:textId="77777777" w:rsidR="00EB05DA" w:rsidRPr="009D6764" w:rsidRDefault="00EB05DA" w:rsidP="00CB7E5F">
            <w:pPr>
              <w:spacing w:after="0" w:line="240" w:lineRule="auto"/>
              <w:jc w:val="center"/>
              <w:rPr>
                <w:rFonts w:eastAsia="SimSun"/>
                <w:sz w:val="20"/>
                <w:szCs w:val="20"/>
              </w:rPr>
            </w:pPr>
            <w:r>
              <w:rPr>
                <w:rFonts w:eastAsia="SimSun"/>
                <w:sz w:val="20"/>
                <w:szCs w:val="20"/>
              </w:rPr>
              <w:t>(.87</w:t>
            </w:r>
            <w:r w:rsidRPr="001E6C21">
              <w:rPr>
                <w:rFonts w:eastAsia="SimSun"/>
                <w:sz w:val="20"/>
                <w:szCs w:val="20"/>
              </w:rPr>
              <w:t>)</w:t>
            </w:r>
          </w:p>
        </w:tc>
        <w:tc>
          <w:tcPr>
            <w:tcW w:w="1260" w:type="dxa"/>
            <w:gridSpan w:val="2"/>
            <w:tcBorders>
              <w:top w:val="nil"/>
              <w:left w:val="nil"/>
              <w:bottom w:val="nil"/>
              <w:right w:val="nil"/>
            </w:tcBorders>
            <w:noWrap/>
          </w:tcPr>
          <w:p w14:paraId="5197E98E"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3.59</w:t>
            </w:r>
          </w:p>
          <w:p w14:paraId="4BE7DE54" w14:textId="77777777" w:rsidR="00EB05DA" w:rsidRPr="009D6764" w:rsidRDefault="00EB05DA" w:rsidP="00CB7E5F">
            <w:pPr>
              <w:spacing w:after="0" w:line="240" w:lineRule="auto"/>
              <w:jc w:val="center"/>
              <w:rPr>
                <w:rFonts w:eastAsia="SimSun"/>
                <w:sz w:val="20"/>
                <w:szCs w:val="20"/>
              </w:rPr>
            </w:pPr>
            <w:r w:rsidRPr="0091442E">
              <w:rPr>
                <w:rFonts w:eastAsia="SimSun"/>
                <w:sz w:val="20"/>
                <w:szCs w:val="20"/>
              </w:rPr>
              <w:t>(.83)</w:t>
            </w:r>
          </w:p>
        </w:tc>
        <w:tc>
          <w:tcPr>
            <w:tcW w:w="1260" w:type="dxa"/>
            <w:gridSpan w:val="2"/>
            <w:tcBorders>
              <w:top w:val="nil"/>
              <w:left w:val="nil"/>
              <w:bottom w:val="nil"/>
              <w:right w:val="nil"/>
            </w:tcBorders>
            <w:noWrap/>
          </w:tcPr>
          <w:p w14:paraId="19490C04"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3.50</w:t>
            </w:r>
          </w:p>
          <w:p w14:paraId="225EC494"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.97</w:t>
            </w:r>
            <w:r>
              <w:rPr>
                <w:rFonts w:eastAsia="SimSun"/>
                <w:sz w:val="20"/>
                <w:szCs w:val="20"/>
              </w:rPr>
              <w:t>)</w:t>
            </w:r>
          </w:p>
        </w:tc>
        <w:tc>
          <w:tcPr>
            <w:tcW w:w="1260" w:type="dxa"/>
            <w:gridSpan w:val="2"/>
            <w:tcBorders>
              <w:top w:val="nil"/>
              <w:left w:val="nil"/>
              <w:bottom w:val="nil"/>
              <w:right w:val="nil"/>
            </w:tcBorders>
            <w:noWrap/>
          </w:tcPr>
          <w:p w14:paraId="28A8346A"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3.58</w:t>
            </w:r>
          </w:p>
          <w:p w14:paraId="57EF8765"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.8</w:t>
            </w:r>
            <w:r>
              <w:rPr>
                <w:rFonts w:eastAsia="SimSun"/>
                <w:sz w:val="20"/>
                <w:szCs w:val="20"/>
              </w:rPr>
              <w:t>2)</w:t>
            </w:r>
          </w:p>
        </w:tc>
        <w:tc>
          <w:tcPr>
            <w:tcW w:w="1170" w:type="dxa"/>
            <w:gridSpan w:val="2"/>
            <w:tcBorders>
              <w:top w:val="nil"/>
              <w:left w:val="nil"/>
              <w:bottom w:val="nil"/>
              <w:right w:val="nil"/>
            </w:tcBorders>
            <w:noWrap/>
          </w:tcPr>
          <w:p w14:paraId="1B2A1312"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3.58</w:t>
            </w:r>
          </w:p>
          <w:p w14:paraId="382A6A2A"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.81</w:t>
            </w:r>
            <w:r>
              <w:rPr>
                <w:rFonts w:eastAsia="SimSun"/>
                <w:sz w:val="20"/>
                <w:szCs w:val="20"/>
              </w:rPr>
              <w:t>)</w:t>
            </w:r>
          </w:p>
        </w:tc>
      </w:tr>
      <w:tr w:rsidR="00EB05DA" w:rsidRPr="009D6764" w14:paraId="69C09DC8" w14:textId="77777777" w:rsidTr="00CB7E5F">
        <w:trPr>
          <w:trHeight w:val="300"/>
        </w:trPr>
        <w:tc>
          <w:tcPr>
            <w:tcW w:w="2198" w:type="dxa"/>
            <w:tcBorders>
              <w:top w:val="nil"/>
              <w:left w:val="nil"/>
              <w:bottom w:val="single" w:sz="4" w:space="0" w:color="auto"/>
              <w:right w:val="nil"/>
            </w:tcBorders>
            <w:noWrap/>
          </w:tcPr>
          <w:p w14:paraId="44E1E07C" w14:textId="77777777" w:rsidR="00EB05DA" w:rsidRDefault="00EB05DA" w:rsidP="00CB7E5F">
            <w:pPr>
              <w:spacing w:after="0" w:line="240" w:lineRule="auto"/>
              <w:rPr>
                <w:rFonts w:eastAsia="SimSun"/>
                <w:sz w:val="20"/>
                <w:szCs w:val="20"/>
              </w:rPr>
            </w:pPr>
            <w:r w:rsidRPr="009D6764">
              <w:rPr>
                <w:rFonts w:eastAsia="SimSun"/>
                <w:sz w:val="20"/>
                <w:szCs w:val="20"/>
              </w:rPr>
              <w:t>Community conditions</w:t>
            </w:r>
          </w:p>
          <w:p w14:paraId="286DBB8E" w14:textId="77777777" w:rsidR="00EB05DA" w:rsidRPr="009D6764" w:rsidRDefault="00EB05DA" w:rsidP="00CB7E5F">
            <w:pPr>
              <w:spacing w:after="0" w:line="240" w:lineRule="auto"/>
              <w:rPr>
                <w:rFonts w:eastAsia="SimSun"/>
                <w:sz w:val="20"/>
                <w:szCs w:val="20"/>
              </w:rPr>
            </w:pPr>
            <w:r>
              <w:rPr>
                <w:rFonts w:eastAsia="SimSun"/>
                <w:sz w:val="20"/>
                <w:szCs w:val="20"/>
              </w:rPr>
              <w:t>(SD)</w:t>
            </w:r>
          </w:p>
        </w:tc>
        <w:tc>
          <w:tcPr>
            <w:tcW w:w="1150" w:type="dxa"/>
            <w:gridSpan w:val="2"/>
            <w:tcBorders>
              <w:top w:val="nil"/>
              <w:left w:val="nil"/>
              <w:bottom w:val="single" w:sz="4" w:space="0" w:color="auto"/>
              <w:right w:val="nil"/>
            </w:tcBorders>
            <w:noWrap/>
          </w:tcPr>
          <w:p w14:paraId="14C10D81"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3.53</w:t>
            </w:r>
          </w:p>
          <w:p w14:paraId="4D2FDC50"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.8</w:t>
            </w:r>
            <w:r>
              <w:rPr>
                <w:rFonts w:eastAsia="SimSun"/>
                <w:sz w:val="20"/>
                <w:szCs w:val="20"/>
              </w:rPr>
              <w:t>2)</w:t>
            </w:r>
          </w:p>
        </w:tc>
        <w:tc>
          <w:tcPr>
            <w:tcW w:w="1260" w:type="dxa"/>
            <w:gridSpan w:val="2"/>
            <w:tcBorders>
              <w:top w:val="nil"/>
              <w:left w:val="nil"/>
              <w:bottom w:val="single" w:sz="4" w:space="0" w:color="auto"/>
              <w:right w:val="nil"/>
            </w:tcBorders>
            <w:noWrap/>
          </w:tcPr>
          <w:p w14:paraId="4023C9B8"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3.46</w:t>
            </w:r>
          </w:p>
          <w:p w14:paraId="37FE7DD2" w14:textId="77777777" w:rsidR="00EB05DA" w:rsidRPr="009D6764" w:rsidRDefault="00EB05DA" w:rsidP="00CB7E5F">
            <w:pPr>
              <w:spacing w:after="0" w:line="240" w:lineRule="auto"/>
              <w:jc w:val="center"/>
              <w:rPr>
                <w:rFonts w:eastAsia="SimSun"/>
                <w:sz w:val="20"/>
                <w:szCs w:val="20"/>
              </w:rPr>
            </w:pPr>
            <w:r>
              <w:rPr>
                <w:rFonts w:eastAsia="SimSun"/>
                <w:sz w:val="20"/>
                <w:szCs w:val="20"/>
              </w:rPr>
              <w:t>(.88</w:t>
            </w:r>
            <w:r w:rsidRPr="001E6C21">
              <w:rPr>
                <w:rFonts w:eastAsia="SimSun"/>
                <w:sz w:val="20"/>
                <w:szCs w:val="20"/>
              </w:rPr>
              <w:t>)</w:t>
            </w:r>
          </w:p>
        </w:tc>
        <w:tc>
          <w:tcPr>
            <w:tcW w:w="1170" w:type="dxa"/>
            <w:gridSpan w:val="2"/>
            <w:tcBorders>
              <w:top w:val="nil"/>
              <w:left w:val="nil"/>
              <w:bottom w:val="single" w:sz="4" w:space="0" w:color="auto"/>
              <w:right w:val="nil"/>
            </w:tcBorders>
            <w:noWrap/>
          </w:tcPr>
          <w:p w14:paraId="392DC34C"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3.19</w:t>
            </w:r>
          </w:p>
          <w:p w14:paraId="2BAA0491" w14:textId="77777777" w:rsidR="00EB05DA" w:rsidRPr="009D6764" w:rsidRDefault="00EB05DA" w:rsidP="00CB7E5F">
            <w:pPr>
              <w:spacing w:after="0" w:line="240" w:lineRule="auto"/>
              <w:jc w:val="center"/>
              <w:rPr>
                <w:rFonts w:eastAsia="SimSun"/>
                <w:sz w:val="20"/>
                <w:szCs w:val="20"/>
              </w:rPr>
            </w:pPr>
            <w:r w:rsidRPr="001E6C21">
              <w:rPr>
                <w:rFonts w:eastAsia="SimSun"/>
                <w:sz w:val="20"/>
                <w:szCs w:val="20"/>
              </w:rPr>
              <w:t>(1.16)</w:t>
            </w:r>
          </w:p>
        </w:tc>
        <w:tc>
          <w:tcPr>
            <w:tcW w:w="1170" w:type="dxa"/>
            <w:gridSpan w:val="2"/>
            <w:tcBorders>
              <w:top w:val="nil"/>
              <w:left w:val="nil"/>
              <w:bottom w:val="single" w:sz="4" w:space="0" w:color="auto"/>
              <w:right w:val="nil"/>
            </w:tcBorders>
            <w:noWrap/>
          </w:tcPr>
          <w:p w14:paraId="347DECDE" w14:textId="77777777" w:rsidR="00EB05DA" w:rsidRDefault="00EB05DA" w:rsidP="00CB7E5F">
            <w:pPr>
              <w:spacing w:after="0" w:line="240" w:lineRule="auto"/>
              <w:jc w:val="center"/>
              <w:rPr>
                <w:rFonts w:eastAsia="SimSun"/>
                <w:sz w:val="20"/>
                <w:szCs w:val="20"/>
              </w:rPr>
            </w:pPr>
            <w:r w:rsidRPr="009D6764">
              <w:rPr>
                <w:rFonts w:eastAsia="SimSun"/>
                <w:sz w:val="20"/>
                <w:szCs w:val="20"/>
              </w:rPr>
              <w:t>3.16</w:t>
            </w:r>
          </w:p>
          <w:p w14:paraId="5DF4D158"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1E6C21">
              <w:rPr>
                <w:rFonts w:eastAsia="SimSun"/>
                <w:sz w:val="20"/>
                <w:szCs w:val="20"/>
              </w:rPr>
              <w:t>1.01</w:t>
            </w:r>
            <w:r>
              <w:rPr>
                <w:rFonts w:eastAsia="SimSun"/>
                <w:sz w:val="20"/>
                <w:szCs w:val="20"/>
              </w:rPr>
              <w:t>)</w:t>
            </w:r>
          </w:p>
        </w:tc>
        <w:tc>
          <w:tcPr>
            <w:tcW w:w="1260" w:type="dxa"/>
            <w:gridSpan w:val="2"/>
            <w:tcBorders>
              <w:top w:val="nil"/>
              <w:left w:val="nil"/>
              <w:bottom w:val="single" w:sz="4" w:space="0" w:color="auto"/>
              <w:right w:val="nil"/>
            </w:tcBorders>
            <w:noWrap/>
          </w:tcPr>
          <w:p w14:paraId="14100EDD"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2.94</w:t>
            </w:r>
          </w:p>
          <w:p w14:paraId="4716EB5B" w14:textId="77777777" w:rsidR="00EB05DA" w:rsidRPr="009D6764" w:rsidRDefault="00EB05DA" w:rsidP="00CB7E5F">
            <w:pPr>
              <w:spacing w:after="0" w:line="240" w:lineRule="auto"/>
              <w:jc w:val="center"/>
              <w:rPr>
                <w:rFonts w:eastAsia="SimSun"/>
                <w:sz w:val="20"/>
                <w:szCs w:val="20"/>
              </w:rPr>
            </w:pPr>
            <w:r>
              <w:rPr>
                <w:rFonts w:eastAsia="SimSun"/>
                <w:sz w:val="20"/>
                <w:szCs w:val="20"/>
              </w:rPr>
              <w:t>(.98</w:t>
            </w:r>
            <w:r w:rsidRPr="001E6C21">
              <w:rPr>
                <w:rFonts w:eastAsia="SimSun"/>
                <w:sz w:val="20"/>
                <w:szCs w:val="20"/>
              </w:rPr>
              <w:t>)</w:t>
            </w:r>
          </w:p>
        </w:tc>
        <w:tc>
          <w:tcPr>
            <w:tcW w:w="1260" w:type="dxa"/>
            <w:gridSpan w:val="2"/>
            <w:tcBorders>
              <w:top w:val="nil"/>
              <w:left w:val="nil"/>
              <w:bottom w:val="single" w:sz="4" w:space="0" w:color="auto"/>
              <w:right w:val="nil"/>
            </w:tcBorders>
            <w:noWrap/>
          </w:tcPr>
          <w:p w14:paraId="554FEF4E"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3.26</w:t>
            </w:r>
          </w:p>
          <w:p w14:paraId="769C56BA" w14:textId="77777777" w:rsidR="00EB05DA" w:rsidRPr="009D6764" w:rsidRDefault="00EB05DA" w:rsidP="00CB7E5F">
            <w:pPr>
              <w:spacing w:after="0" w:line="240" w:lineRule="auto"/>
              <w:jc w:val="center"/>
              <w:rPr>
                <w:rFonts w:eastAsia="SimSun"/>
                <w:sz w:val="20"/>
                <w:szCs w:val="20"/>
              </w:rPr>
            </w:pPr>
            <w:r w:rsidRPr="001E6C21">
              <w:rPr>
                <w:rFonts w:eastAsia="SimSun"/>
                <w:sz w:val="20"/>
                <w:szCs w:val="20"/>
              </w:rPr>
              <w:t>(1.09)</w:t>
            </w:r>
          </w:p>
        </w:tc>
        <w:tc>
          <w:tcPr>
            <w:tcW w:w="1260" w:type="dxa"/>
            <w:gridSpan w:val="2"/>
            <w:tcBorders>
              <w:top w:val="nil"/>
              <w:left w:val="nil"/>
              <w:bottom w:val="single" w:sz="4" w:space="0" w:color="auto"/>
              <w:right w:val="nil"/>
            </w:tcBorders>
            <w:noWrap/>
          </w:tcPr>
          <w:p w14:paraId="66B82424"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3.27</w:t>
            </w:r>
          </w:p>
          <w:p w14:paraId="414F5B9C"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.9</w:t>
            </w:r>
            <w:r>
              <w:rPr>
                <w:rFonts w:eastAsia="SimSun"/>
                <w:sz w:val="20"/>
                <w:szCs w:val="20"/>
              </w:rPr>
              <w:t>7)</w:t>
            </w:r>
          </w:p>
        </w:tc>
        <w:tc>
          <w:tcPr>
            <w:tcW w:w="1260" w:type="dxa"/>
            <w:gridSpan w:val="2"/>
            <w:tcBorders>
              <w:top w:val="nil"/>
              <w:left w:val="nil"/>
              <w:bottom w:val="single" w:sz="4" w:space="0" w:color="auto"/>
              <w:right w:val="nil"/>
            </w:tcBorders>
            <w:noWrap/>
          </w:tcPr>
          <w:p w14:paraId="1C7A440B"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3.05</w:t>
            </w:r>
          </w:p>
          <w:p w14:paraId="199121B5"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.9</w:t>
            </w:r>
            <w:r>
              <w:rPr>
                <w:rFonts w:eastAsia="SimSun"/>
                <w:sz w:val="20"/>
                <w:szCs w:val="20"/>
              </w:rPr>
              <w:t>8)</w:t>
            </w:r>
          </w:p>
        </w:tc>
        <w:tc>
          <w:tcPr>
            <w:tcW w:w="1170" w:type="dxa"/>
            <w:gridSpan w:val="2"/>
            <w:tcBorders>
              <w:top w:val="nil"/>
              <w:left w:val="nil"/>
              <w:bottom w:val="single" w:sz="4" w:space="0" w:color="auto"/>
              <w:right w:val="nil"/>
            </w:tcBorders>
            <w:noWrap/>
          </w:tcPr>
          <w:p w14:paraId="6FC6C9B5" w14:textId="77777777" w:rsidR="00EB05DA" w:rsidRPr="009D6764" w:rsidRDefault="00EB05DA" w:rsidP="00CB7E5F">
            <w:pPr>
              <w:spacing w:after="0" w:line="240" w:lineRule="auto"/>
              <w:jc w:val="center"/>
              <w:rPr>
                <w:rFonts w:eastAsia="SimSun"/>
                <w:sz w:val="20"/>
                <w:szCs w:val="20"/>
              </w:rPr>
            </w:pPr>
            <w:r w:rsidRPr="009D6764">
              <w:rPr>
                <w:rFonts w:eastAsia="SimSun"/>
                <w:sz w:val="20"/>
                <w:szCs w:val="20"/>
              </w:rPr>
              <w:t>3.25</w:t>
            </w:r>
          </w:p>
          <w:p w14:paraId="3835245C" w14:textId="77777777" w:rsidR="00EB05DA" w:rsidRPr="009D6764" w:rsidRDefault="00EB05DA" w:rsidP="00CB7E5F">
            <w:pPr>
              <w:spacing w:after="0" w:line="240" w:lineRule="auto"/>
              <w:jc w:val="center"/>
              <w:rPr>
                <w:rFonts w:eastAsia="SimSun"/>
                <w:sz w:val="20"/>
                <w:szCs w:val="20"/>
              </w:rPr>
            </w:pPr>
            <w:r>
              <w:rPr>
                <w:rFonts w:eastAsia="SimSun"/>
                <w:sz w:val="20"/>
                <w:szCs w:val="20"/>
              </w:rPr>
              <w:t>(</w:t>
            </w:r>
            <w:r w:rsidRPr="0091442E">
              <w:rPr>
                <w:rFonts w:eastAsia="SimSun"/>
                <w:sz w:val="20"/>
                <w:szCs w:val="20"/>
              </w:rPr>
              <w:t>1.10</w:t>
            </w:r>
            <w:r>
              <w:rPr>
                <w:rFonts w:eastAsia="SimSun"/>
                <w:sz w:val="20"/>
                <w:szCs w:val="20"/>
              </w:rPr>
              <w:t>)</w:t>
            </w:r>
          </w:p>
        </w:tc>
      </w:tr>
    </w:tbl>
    <w:p w14:paraId="1D7202FC" w14:textId="77777777" w:rsidR="00EB05DA" w:rsidRDefault="00EB05DA" w:rsidP="00EB05DA">
      <w:pPr>
        <w:spacing w:after="0" w:line="240" w:lineRule="auto"/>
        <w:rPr>
          <w:rFonts w:ascii="Times New Roman" w:hAnsi="Times New Roman"/>
          <w:sz w:val="24"/>
        </w:rPr>
      </w:pPr>
    </w:p>
    <w:p w14:paraId="39E944A8" w14:textId="77777777" w:rsidR="00EB05DA" w:rsidRPr="00224D92" w:rsidRDefault="00EB05DA" w:rsidP="00EB05DA">
      <w:pPr>
        <w:spacing w:after="0" w:line="240" w:lineRule="auto"/>
        <w:rPr>
          <w:rFonts w:ascii="Times New Roman" w:hAnsi="Times New Roman"/>
          <w:vertAlign w:val="superscript"/>
        </w:rPr>
      </w:pPr>
      <w:r w:rsidRPr="00224D92">
        <w:rPr>
          <w:rFonts w:ascii="Times New Roman" w:hAnsi="Times New Roman"/>
          <w:sz w:val="28"/>
          <w:szCs w:val="28"/>
          <w:vertAlign w:val="superscript"/>
        </w:rPr>
        <w:t>a</w:t>
      </w:r>
      <w:r w:rsidRPr="00224D92">
        <w:rPr>
          <w:rFonts w:ascii="Times New Roman" w:hAnsi="Times New Roman"/>
        </w:rPr>
        <w:t xml:space="preserve"> Percentage </w:t>
      </w:r>
      <w:r>
        <w:rPr>
          <w:rFonts w:ascii="Times New Roman" w:hAnsi="Times New Roman"/>
        </w:rPr>
        <w:t>as a proportion of</w:t>
      </w:r>
      <w:r w:rsidRPr="00224D92">
        <w:rPr>
          <w:rFonts w:ascii="Times New Roman" w:hAnsi="Times New Roman"/>
        </w:rPr>
        <w:t xml:space="preserve"> that year</w:t>
      </w:r>
      <w:r>
        <w:rPr>
          <w:rFonts w:ascii="Times New Roman" w:hAnsi="Times New Roman"/>
        </w:rPr>
        <w:t xml:space="preserve">’s </w:t>
      </w:r>
      <w:r w:rsidRPr="00224D92">
        <w:rPr>
          <w:rFonts w:ascii="Times New Roman" w:hAnsi="Times New Roman"/>
        </w:rPr>
        <w:t>participants in the coalition</w:t>
      </w:r>
      <w:r>
        <w:rPr>
          <w:rFonts w:ascii="Times New Roman" w:hAnsi="Times New Roman"/>
        </w:rPr>
        <w:t xml:space="preserve"> (minimum of 2 attendances/year)</w:t>
      </w:r>
      <w:r w:rsidRPr="00224D92">
        <w:rPr>
          <w:rFonts w:ascii="Times New Roman" w:hAnsi="Times New Roman"/>
        </w:rPr>
        <w:t>, nonpa</w:t>
      </w:r>
      <w:r>
        <w:rPr>
          <w:rFonts w:ascii="Times New Roman" w:hAnsi="Times New Roman"/>
        </w:rPr>
        <w:t>rticipants and total respondents</w:t>
      </w:r>
      <w:r w:rsidRPr="00224D92">
        <w:rPr>
          <w:rFonts w:ascii="Times New Roman" w:hAnsi="Times New Roman"/>
        </w:rPr>
        <w:t>.</w:t>
      </w:r>
    </w:p>
    <w:p w14:paraId="41CC553E" w14:textId="77777777" w:rsidR="00AC05B0" w:rsidRDefault="00AC05B0">
      <w:pPr>
        <w:spacing w:after="0" w:line="240" w:lineRule="auto"/>
        <w:rPr>
          <w:rFonts w:ascii="Times New Roman" w:hAnsi="Times New Roman"/>
          <w:sz w:val="24"/>
        </w:rPr>
      </w:pPr>
      <w:r>
        <w:rPr>
          <w:rFonts w:ascii="Times New Roman" w:hAnsi="Times New Roman"/>
          <w:sz w:val="24"/>
        </w:rPr>
        <w:br w:type="page"/>
      </w:r>
    </w:p>
    <w:p w14:paraId="24490369" w14:textId="5B9ED6B9" w:rsidR="00AC05B0" w:rsidRDefault="00AC05B0" w:rsidP="00903EF0">
      <w:pPr>
        <w:rPr>
          <w:rFonts w:ascii="Times New Roman" w:hAnsi="Times New Roman"/>
          <w:sz w:val="24"/>
          <w:szCs w:val="24"/>
        </w:rPr>
      </w:pPr>
      <w:r w:rsidRPr="00AC05B0">
        <w:rPr>
          <w:rFonts w:ascii="Times New Roman" w:hAnsi="Times New Roman"/>
          <w:sz w:val="24"/>
          <w:szCs w:val="24"/>
        </w:rPr>
        <w:lastRenderedPageBreak/>
        <w:t>Table 3.</w:t>
      </w:r>
    </w:p>
    <w:p w14:paraId="77A04E32" w14:textId="64F38965" w:rsidR="00AC05B0" w:rsidRPr="00AC05B0" w:rsidRDefault="00AC05B0" w:rsidP="00903EF0">
      <w:pPr>
        <w:rPr>
          <w:rFonts w:ascii="Times New Roman" w:hAnsi="Times New Roman"/>
          <w:i/>
          <w:sz w:val="24"/>
          <w:szCs w:val="24"/>
        </w:rPr>
      </w:pPr>
      <w:r w:rsidRPr="00AC05B0">
        <w:rPr>
          <w:rFonts w:ascii="Times New Roman" w:hAnsi="Times New Roman"/>
          <w:i/>
          <w:sz w:val="24"/>
          <w:szCs w:val="24"/>
        </w:rPr>
        <w:t>City-wide Juvenile Arrests</w:t>
      </w:r>
      <w:r w:rsidR="00545AAF">
        <w:rPr>
          <w:rFonts w:ascii="Times New Roman" w:hAnsi="Times New Roman"/>
          <w:i/>
          <w:sz w:val="24"/>
          <w:szCs w:val="24"/>
        </w:rPr>
        <w:t xml:space="preserve"> </w:t>
      </w:r>
      <w:r w:rsidR="007D19BE">
        <w:rPr>
          <w:rFonts w:ascii="Times New Roman" w:hAnsi="Times New Roman"/>
          <w:i/>
          <w:sz w:val="24"/>
          <w:szCs w:val="24"/>
        </w:rPr>
        <w:t xml:space="preserve">and Referrals to Juvenile Court </w:t>
      </w:r>
      <w:r w:rsidR="00545AAF">
        <w:rPr>
          <w:rFonts w:ascii="Times New Roman" w:hAnsi="Times New Roman"/>
          <w:i/>
          <w:sz w:val="24"/>
          <w:szCs w:val="24"/>
        </w:rPr>
        <w:t>Before, During and After YVP Coalition</w:t>
      </w:r>
      <w:r>
        <w:rPr>
          <w:rFonts w:ascii="Times New Roman" w:hAnsi="Times New Roman"/>
          <w:i/>
          <w:sz w:val="24"/>
          <w:szCs w:val="24"/>
        </w:rPr>
        <w:t xml:space="preserve"> </w:t>
      </w:r>
      <w:r w:rsidR="00545AAF">
        <w:rPr>
          <w:rFonts w:ascii="Times New Roman" w:hAnsi="Times New Roman"/>
          <w:i/>
          <w:sz w:val="24"/>
          <w:szCs w:val="24"/>
        </w:rPr>
        <w:t>(</w:t>
      </w:r>
      <w:r>
        <w:rPr>
          <w:rFonts w:ascii="Times New Roman" w:hAnsi="Times New Roman"/>
          <w:i/>
          <w:sz w:val="24"/>
          <w:szCs w:val="24"/>
        </w:rPr>
        <w:t>2006-2013</w:t>
      </w:r>
      <w:r w:rsidR="00545AAF">
        <w:rPr>
          <w:rFonts w:ascii="Times New Roman" w:hAnsi="Times New Roman"/>
          <w:i/>
          <w:sz w:val="24"/>
          <w:szCs w:val="24"/>
        </w:rPr>
        <w:t>)</w:t>
      </w:r>
    </w:p>
    <w:tbl>
      <w:tblPr>
        <w:tblW w:w="12884" w:type="dxa"/>
        <w:tblLayout w:type="fixed"/>
        <w:tblLook w:val="04A0" w:firstRow="1" w:lastRow="0" w:firstColumn="1" w:lastColumn="0" w:noHBand="0" w:noVBand="1"/>
      </w:tblPr>
      <w:tblGrid>
        <w:gridCol w:w="4320"/>
        <w:gridCol w:w="990"/>
        <w:gridCol w:w="1170"/>
        <w:gridCol w:w="1099"/>
        <w:gridCol w:w="971"/>
        <w:gridCol w:w="990"/>
        <w:gridCol w:w="990"/>
        <w:gridCol w:w="1137"/>
        <w:gridCol w:w="1217"/>
      </w:tblGrid>
      <w:tr w:rsidR="006477D2" w:rsidRPr="00AC05B0" w14:paraId="21261E5A" w14:textId="77777777" w:rsidTr="006477D2">
        <w:trPr>
          <w:trHeight w:val="420"/>
        </w:trPr>
        <w:tc>
          <w:tcPr>
            <w:tcW w:w="4320" w:type="dxa"/>
            <w:tcBorders>
              <w:top w:val="nil"/>
              <w:left w:val="nil"/>
              <w:bottom w:val="nil"/>
              <w:right w:val="nil"/>
            </w:tcBorders>
            <w:shd w:val="clear" w:color="auto" w:fill="auto"/>
            <w:noWrap/>
            <w:vAlign w:val="bottom"/>
            <w:hideMark/>
          </w:tcPr>
          <w:p w14:paraId="27080BD3" w14:textId="77777777" w:rsidR="00AC05B0" w:rsidRPr="00AC05B0" w:rsidRDefault="00AC05B0" w:rsidP="00AC05B0">
            <w:pPr>
              <w:spacing w:after="0" w:line="240" w:lineRule="auto"/>
              <w:rPr>
                <w:rFonts w:ascii="Times New Roman" w:eastAsia="Times New Roman" w:hAnsi="Times New Roman"/>
                <w:sz w:val="24"/>
                <w:szCs w:val="24"/>
              </w:rPr>
            </w:pPr>
          </w:p>
        </w:tc>
        <w:tc>
          <w:tcPr>
            <w:tcW w:w="990" w:type="dxa"/>
            <w:tcBorders>
              <w:top w:val="nil"/>
              <w:left w:val="nil"/>
              <w:bottom w:val="single" w:sz="12" w:space="0" w:color="4F81BD"/>
              <w:right w:val="single" w:sz="4" w:space="0" w:color="auto"/>
            </w:tcBorders>
            <w:shd w:val="clear" w:color="auto" w:fill="auto"/>
            <w:noWrap/>
            <w:vAlign w:val="bottom"/>
            <w:hideMark/>
          </w:tcPr>
          <w:p w14:paraId="7ABA74A4" w14:textId="77777777" w:rsidR="00AC05B0" w:rsidRPr="00AC05B0" w:rsidRDefault="00AC05B0" w:rsidP="00AC05B0">
            <w:pPr>
              <w:spacing w:after="0" w:line="240" w:lineRule="auto"/>
              <w:jc w:val="center"/>
              <w:rPr>
                <w:rFonts w:ascii="Times New Roman" w:eastAsia="Times New Roman" w:hAnsi="Times New Roman"/>
                <w:b/>
                <w:bCs/>
                <w:color w:val="1F497D"/>
                <w:sz w:val="24"/>
                <w:szCs w:val="24"/>
              </w:rPr>
            </w:pPr>
            <w:r w:rsidRPr="00AC05B0">
              <w:rPr>
                <w:rFonts w:ascii="Times New Roman" w:eastAsia="Times New Roman" w:hAnsi="Times New Roman"/>
                <w:b/>
                <w:bCs/>
                <w:color w:val="1F497D"/>
                <w:sz w:val="24"/>
                <w:szCs w:val="24"/>
              </w:rPr>
              <w:t>2006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E19B35C" w14:textId="21023FC7" w:rsidR="00AC05B0" w:rsidRPr="00AC05B0" w:rsidRDefault="00C863AB" w:rsidP="00C863AB">
            <w:pPr>
              <w:spacing w:after="0" w:line="240" w:lineRule="auto"/>
              <w:ind w:left="-102" w:right="-106"/>
              <w:jc w:val="center"/>
              <w:rPr>
                <w:rFonts w:ascii="Times New Roman" w:eastAsia="Times New Roman" w:hAnsi="Times New Roman"/>
                <w:b/>
                <w:bCs/>
                <w:color w:val="1F497D"/>
                <w:sz w:val="24"/>
                <w:szCs w:val="24"/>
              </w:rPr>
            </w:pPr>
            <w:r>
              <w:rPr>
                <w:rFonts w:ascii="Times New Roman" w:eastAsia="Times New Roman" w:hAnsi="Times New Roman"/>
                <w:b/>
                <w:bCs/>
                <w:color w:val="1F497D"/>
                <w:sz w:val="24"/>
                <w:szCs w:val="24"/>
              </w:rPr>
              <w:t xml:space="preserve">Coalition organized: </w:t>
            </w:r>
            <w:r w:rsidR="00AC05B0" w:rsidRPr="00AC05B0">
              <w:rPr>
                <w:rFonts w:ascii="Times New Roman" w:eastAsia="Times New Roman" w:hAnsi="Times New Roman"/>
                <w:b/>
                <w:bCs/>
                <w:color w:val="1F497D"/>
                <w:sz w:val="24"/>
                <w:szCs w:val="24"/>
              </w:rPr>
              <w:t>2007</w:t>
            </w:r>
          </w:p>
        </w:tc>
        <w:tc>
          <w:tcPr>
            <w:tcW w:w="1099" w:type="dxa"/>
            <w:tcBorders>
              <w:top w:val="nil"/>
              <w:left w:val="single" w:sz="4" w:space="0" w:color="auto"/>
              <w:bottom w:val="single" w:sz="12" w:space="0" w:color="4F81BD"/>
              <w:right w:val="nil"/>
            </w:tcBorders>
            <w:shd w:val="clear" w:color="auto" w:fill="auto"/>
            <w:noWrap/>
            <w:vAlign w:val="bottom"/>
            <w:hideMark/>
          </w:tcPr>
          <w:p w14:paraId="1B02ACF6" w14:textId="2FC8ACBA" w:rsidR="00AC05B0" w:rsidRPr="00AC05B0" w:rsidRDefault="00C863AB" w:rsidP="0075523B">
            <w:pPr>
              <w:spacing w:after="0" w:line="240" w:lineRule="auto"/>
              <w:ind w:left="-16" w:right="-94"/>
              <w:jc w:val="center"/>
              <w:rPr>
                <w:rFonts w:ascii="Times New Roman" w:eastAsia="Times New Roman" w:hAnsi="Times New Roman"/>
                <w:b/>
                <w:bCs/>
                <w:color w:val="1F497D"/>
                <w:sz w:val="24"/>
                <w:szCs w:val="24"/>
              </w:rPr>
            </w:pPr>
            <w:r>
              <w:rPr>
                <w:rFonts w:ascii="Times New Roman" w:eastAsia="Times New Roman" w:hAnsi="Times New Roman"/>
                <w:b/>
                <w:bCs/>
                <w:color w:val="1F497D"/>
                <w:sz w:val="24"/>
                <w:szCs w:val="24"/>
              </w:rPr>
              <w:t>Coalition</w:t>
            </w:r>
            <w:r w:rsidR="0075523B">
              <w:rPr>
                <w:rFonts w:ascii="Times New Roman" w:eastAsia="Times New Roman" w:hAnsi="Times New Roman"/>
                <w:b/>
                <w:bCs/>
                <w:color w:val="1F497D"/>
                <w:sz w:val="24"/>
                <w:szCs w:val="24"/>
              </w:rPr>
              <w:t xml:space="preserve"> operated: </w:t>
            </w:r>
            <w:r w:rsidR="00AC05B0" w:rsidRPr="00AC05B0">
              <w:rPr>
                <w:rFonts w:ascii="Times New Roman" w:eastAsia="Times New Roman" w:hAnsi="Times New Roman"/>
                <w:b/>
                <w:bCs/>
                <w:color w:val="1F497D"/>
                <w:sz w:val="24"/>
                <w:szCs w:val="24"/>
              </w:rPr>
              <w:t>2008</w:t>
            </w:r>
          </w:p>
        </w:tc>
        <w:tc>
          <w:tcPr>
            <w:tcW w:w="971" w:type="dxa"/>
            <w:tcBorders>
              <w:top w:val="nil"/>
              <w:left w:val="nil"/>
              <w:bottom w:val="single" w:sz="12" w:space="0" w:color="4F81BD"/>
              <w:right w:val="nil"/>
            </w:tcBorders>
            <w:shd w:val="clear" w:color="auto" w:fill="auto"/>
            <w:noWrap/>
            <w:vAlign w:val="bottom"/>
            <w:hideMark/>
          </w:tcPr>
          <w:p w14:paraId="50B2195B" w14:textId="77777777" w:rsidR="00AC05B0" w:rsidRPr="00AC05B0" w:rsidRDefault="00AC05B0" w:rsidP="00AC05B0">
            <w:pPr>
              <w:spacing w:after="0" w:line="240" w:lineRule="auto"/>
              <w:jc w:val="center"/>
              <w:rPr>
                <w:rFonts w:ascii="Times New Roman" w:eastAsia="Times New Roman" w:hAnsi="Times New Roman"/>
                <w:b/>
                <w:bCs/>
                <w:color w:val="1F497D"/>
                <w:sz w:val="24"/>
                <w:szCs w:val="24"/>
              </w:rPr>
            </w:pPr>
            <w:r w:rsidRPr="00AC05B0">
              <w:rPr>
                <w:rFonts w:ascii="Times New Roman" w:eastAsia="Times New Roman" w:hAnsi="Times New Roman"/>
                <w:b/>
                <w:bCs/>
                <w:color w:val="1F497D"/>
                <w:sz w:val="24"/>
                <w:szCs w:val="24"/>
              </w:rPr>
              <w:t>2009</w:t>
            </w:r>
          </w:p>
        </w:tc>
        <w:tc>
          <w:tcPr>
            <w:tcW w:w="990" w:type="dxa"/>
            <w:tcBorders>
              <w:top w:val="nil"/>
              <w:left w:val="nil"/>
              <w:bottom w:val="single" w:sz="12" w:space="0" w:color="4F81BD"/>
              <w:right w:val="nil"/>
            </w:tcBorders>
            <w:shd w:val="clear" w:color="auto" w:fill="auto"/>
            <w:noWrap/>
            <w:vAlign w:val="bottom"/>
            <w:hideMark/>
          </w:tcPr>
          <w:p w14:paraId="5B83968B" w14:textId="77777777" w:rsidR="00AC05B0" w:rsidRPr="00AC05B0" w:rsidRDefault="00AC05B0" w:rsidP="00AC05B0">
            <w:pPr>
              <w:spacing w:after="0" w:line="240" w:lineRule="auto"/>
              <w:jc w:val="center"/>
              <w:rPr>
                <w:rFonts w:ascii="Times New Roman" w:eastAsia="Times New Roman" w:hAnsi="Times New Roman"/>
                <w:b/>
                <w:bCs/>
                <w:color w:val="1F497D"/>
                <w:sz w:val="24"/>
                <w:szCs w:val="24"/>
              </w:rPr>
            </w:pPr>
            <w:r w:rsidRPr="00AC05B0">
              <w:rPr>
                <w:rFonts w:ascii="Times New Roman" w:eastAsia="Times New Roman" w:hAnsi="Times New Roman"/>
                <w:b/>
                <w:bCs/>
                <w:color w:val="1F497D"/>
                <w:sz w:val="24"/>
                <w:szCs w:val="24"/>
              </w:rPr>
              <w:t>2010</w:t>
            </w:r>
          </w:p>
        </w:tc>
        <w:tc>
          <w:tcPr>
            <w:tcW w:w="990" w:type="dxa"/>
            <w:tcBorders>
              <w:top w:val="nil"/>
              <w:left w:val="nil"/>
              <w:bottom w:val="single" w:sz="12" w:space="0" w:color="4F81BD"/>
              <w:right w:val="single" w:sz="4" w:space="0" w:color="auto"/>
            </w:tcBorders>
            <w:shd w:val="clear" w:color="auto" w:fill="auto"/>
            <w:noWrap/>
            <w:vAlign w:val="bottom"/>
            <w:hideMark/>
          </w:tcPr>
          <w:p w14:paraId="62332E35" w14:textId="77777777" w:rsidR="00AC05B0" w:rsidRPr="00AC05B0" w:rsidRDefault="00AC05B0" w:rsidP="00AC05B0">
            <w:pPr>
              <w:spacing w:after="0" w:line="240" w:lineRule="auto"/>
              <w:jc w:val="center"/>
              <w:rPr>
                <w:rFonts w:ascii="Times New Roman" w:eastAsia="Times New Roman" w:hAnsi="Times New Roman"/>
                <w:b/>
                <w:bCs/>
                <w:color w:val="1F497D"/>
                <w:sz w:val="24"/>
                <w:szCs w:val="24"/>
              </w:rPr>
            </w:pPr>
            <w:r w:rsidRPr="00AC05B0">
              <w:rPr>
                <w:rFonts w:ascii="Times New Roman" w:eastAsia="Times New Roman" w:hAnsi="Times New Roman"/>
                <w:b/>
                <w:bCs/>
                <w:color w:val="1F497D"/>
                <w:sz w:val="24"/>
                <w:szCs w:val="24"/>
              </w:rPr>
              <w:t>2011</w:t>
            </w:r>
          </w:p>
        </w:tc>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60808DAE" w14:textId="2C464626" w:rsidR="00AC05B0" w:rsidRPr="00AC05B0" w:rsidRDefault="0075523B" w:rsidP="0075523B">
            <w:pPr>
              <w:spacing w:after="0" w:line="240" w:lineRule="auto"/>
              <w:ind w:left="-96" w:right="-154"/>
              <w:jc w:val="center"/>
              <w:rPr>
                <w:rFonts w:ascii="Times New Roman" w:eastAsia="Times New Roman" w:hAnsi="Times New Roman"/>
                <w:b/>
                <w:bCs/>
                <w:color w:val="1F497D"/>
                <w:sz w:val="24"/>
                <w:szCs w:val="24"/>
              </w:rPr>
            </w:pPr>
            <w:r>
              <w:rPr>
                <w:rFonts w:ascii="Times New Roman" w:eastAsia="Times New Roman" w:hAnsi="Times New Roman"/>
                <w:b/>
                <w:bCs/>
                <w:color w:val="1F497D"/>
                <w:sz w:val="24"/>
                <w:szCs w:val="24"/>
              </w:rPr>
              <w:t xml:space="preserve">Coalition unfunded: </w:t>
            </w:r>
            <w:r w:rsidR="00AC05B0" w:rsidRPr="00AC05B0">
              <w:rPr>
                <w:rFonts w:ascii="Times New Roman" w:eastAsia="Times New Roman" w:hAnsi="Times New Roman"/>
                <w:b/>
                <w:bCs/>
                <w:color w:val="1F497D"/>
                <w:sz w:val="24"/>
                <w:szCs w:val="24"/>
              </w:rPr>
              <w:t>2012</w:t>
            </w:r>
          </w:p>
        </w:tc>
        <w:tc>
          <w:tcPr>
            <w:tcW w:w="1217" w:type="dxa"/>
            <w:tcBorders>
              <w:top w:val="nil"/>
              <w:left w:val="single" w:sz="4" w:space="0" w:color="auto"/>
              <w:bottom w:val="single" w:sz="12" w:space="0" w:color="4F81BD"/>
              <w:right w:val="nil"/>
            </w:tcBorders>
            <w:shd w:val="clear" w:color="auto" w:fill="auto"/>
            <w:noWrap/>
            <w:vAlign w:val="bottom"/>
            <w:hideMark/>
          </w:tcPr>
          <w:p w14:paraId="3EC831AA" w14:textId="10288FAE" w:rsidR="00AC05B0" w:rsidRPr="00AC05B0" w:rsidRDefault="0075523B" w:rsidP="0075523B">
            <w:pPr>
              <w:spacing w:after="0" w:line="240" w:lineRule="auto"/>
              <w:ind w:left="-60" w:right="-94"/>
              <w:jc w:val="center"/>
              <w:rPr>
                <w:rFonts w:ascii="Times New Roman" w:eastAsia="Times New Roman" w:hAnsi="Times New Roman"/>
                <w:b/>
                <w:bCs/>
                <w:color w:val="1F497D"/>
                <w:sz w:val="24"/>
                <w:szCs w:val="24"/>
              </w:rPr>
            </w:pPr>
            <w:r>
              <w:rPr>
                <w:rFonts w:ascii="Times New Roman" w:eastAsia="Times New Roman" w:hAnsi="Times New Roman"/>
                <w:b/>
                <w:bCs/>
                <w:color w:val="1F497D"/>
                <w:sz w:val="24"/>
                <w:szCs w:val="24"/>
              </w:rPr>
              <w:t xml:space="preserve">Coalition disbanded: </w:t>
            </w:r>
            <w:r w:rsidR="00AC05B0" w:rsidRPr="00AC05B0">
              <w:rPr>
                <w:rFonts w:ascii="Times New Roman" w:eastAsia="Times New Roman" w:hAnsi="Times New Roman"/>
                <w:b/>
                <w:bCs/>
                <w:color w:val="1F497D"/>
                <w:sz w:val="24"/>
                <w:szCs w:val="24"/>
              </w:rPr>
              <w:t>2013</w:t>
            </w:r>
          </w:p>
        </w:tc>
      </w:tr>
      <w:tr w:rsidR="006477D2" w:rsidRPr="00AC05B0" w14:paraId="171290AF" w14:textId="77777777" w:rsidTr="006477D2">
        <w:trPr>
          <w:trHeight w:val="320"/>
        </w:trPr>
        <w:tc>
          <w:tcPr>
            <w:tcW w:w="4320" w:type="dxa"/>
            <w:tcBorders>
              <w:top w:val="nil"/>
              <w:left w:val="nil"/>
              <w:bottom w:val="nil"/>
              <w:right w:val="nil"/>
            </w:tcBorders>
            <w:shd w:val="clear" w:color="auto" w:fill="auto"/>
            <w:noWrap/>
            <w:vAlign w:val="bottom"/>
            <w:hideMark/>
          </w:tcPr>
          <w:p w14:paraId="4E672322" w14:textId="52A48C22" w:rsidR="00AC05B0" w:rsidRPr="00AC05B0" w:rsidRDefault="00AC05B0" w:rsidP="00AC05B0">
            <w:pPr>
              <w:spacing w:after="0" w:line="240" w:lineRule="auto"/>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Total juvenile arrests:</w:t>
            </w:r>
          </w:p>
        </w:tc>
        <w:tc>
          <w:tcPr>
            <w:tcW w:w="990" w:type="dxa"/>
            <w:tcBorders>
              <w:top w:val="nil"/>
              <w:left w:val="nil"/>
              <w:bottom w:val="nil"/>
              <w:right w:val="single" w:sz="4" w:space="0" w:color="auto"/>
            </w:tcBorders>
            <w:shd w:val="clear" w:color="auto" w:fill="auto"/>
            <w:noWrap/>
            <w:vAlign w:val="bottom"/>
            <w:hideMark/>
          </w:tcPr>
          <w:p w14:paraId="65BBB148"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15,997</w:t>
            </w:r>
          </w:p>
        </w:tc>
        <w:tc>
          <w:tcPr>
            <w:tcW w:w="1170" w:type="dxa"/>
            <w:tcBorders>
              <w:top w:val="single" w:sz="4" w:space="0" w:color="auto"/>
              <w:left w:val="single" w:sz="4" w:space="0" w:color="auto"/>
              <w:bottom w:val="nil"/>
              <w:right w:val="single" w:sz="4" w:space="0" w:color="auto"/>
            </w:tcBorders>
            <w:shd w:val="clear" w:color="auto" w:fill="auto"/>
            <w:noWrap/>
            <w:vAlign w:val="bottom"/>
            <w:hideMark/>
          </w:tcPr>
          <w:p w14:paraId="6C8D0081"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13,378 </w:t>
            </w:r>
          </w:p>
        </w:tc>
        <w:tc>
          <w:tcPr>
            <w:tcW w:w="1099" w:type="dxa"/>
            <w:tcBorders>
              <w:top w:val="nil"/>
              <w:left w:val="single" w:sz="4" w:space="0" w:color="auto"/>
              <w:bottom w:val="nil"/>
              <w:right w:val="nil"/>
            </w:tcBorders>
            <w:shd w:val="clear" w:color="auto" w:fill="auto"/>
            <w:noWrap/>
            <w:vAlign w:val="bottom"/>
            <w:hideMark/>
          </w:tcPr>
          <w:p w14:paraId="78593D89"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12,667 </w:t>
            </w:r>
          </w:p>
        </w:tc>
        <w:tc>
          <w:tcPr>
            <w:tcW w:w="971" w:type="dxa"/>
            <w:tcBorders>
              <w:top w:val="nil"/>
              <w:left w:val="nil"/>
              <w:bottom w:val="nil"/>
              <w:right w:val="nil"/>
            </w:tcBorders>
            <w:shd w:val="clear" w:color="auto" w:fill="auto"/>
            <w:noWrap/>
            <w:vAlign w:val="bottom"/>
            <w:hideMark/>
          </w:tcPr>
          <w:p w14:paraId="129AA789"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12,095 </w:t>
            </w:r>
          </w:p>
        </w:tc>
        <w:tc>
          <w:tcPr>
            <w:tcW w:w="990" w:type="dxa"/>
            <w:tcBorders>
              <w:top w:val="nil"/>
              <w:left w:val="nil"/>
              <w:bottom w:val="nil"/>
              <w:right w:val="nil"/>
            </w:tcBorders>
            <w:shd w:val="clear" w:color="auto" w:fill="auto"/>
            <w:noWrap/>
            <w:vAlign w:val="bottom"/>
            <w:hideMark/>
          </w:tcPr>
          <w:p w14:paraId="5219E280"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10,690 </w:t>
            </w:r>
          </w:p>
        </w:tc>
        <w:tc>
          <w:tcPr>
            <w:tcW w:w="990" w:type="dxa"/>
            <w:tcBorders>
              <w:top w:val="nil"/>
              <w:left w:val="nil"/>
              <w:bottom w:val="nil"/>
              <w:right w:val="single" w:sz="4" w:space="0" w:color="auto"/>
            </w:tcBorders>
            <w:shd w:val="clear" w:color="auto" w:fill="auto"/>
            <w:noWrap/>
            <w:vAlign w:val="bottom"/>
            <w:hideMark/>
          </w:tcPr>
          <w:p w14:paraId="46131706"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9,549 </w:t>
            </w:r>
          </w:p>
        </w:tc>
        <w:tc>
          <w:tcPr>
            <w:tcW w:w="1137" w:type="dxa"/>
            <w:tcBorders>
              <w:top w:val="single" w:sz="4" w:space="0" w:color="auto"/>
              <w:left w:val="single" w:sz="4" w:space="0" w:color="auto"/>
              <w:bottom w:val="nil"/>
              <w:right w:val="single" w:sz="4" w:space="0" w:color="auto"/>
            </w:tcBorders>
            <w:shd w:val="clear" w:color="auto" w:fill="auto"/>
            <w:noWrap/>
            <w:vAlign w:val="bottom"/>
            <w:hideMark/>
          </w:tcPr>
          <w:p w14:paraId="656728CE"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9,473 </w:t>
            </w:r>
          </w:p>
        </w:tc>
        <w:tc>
          <w:tcPr>
            <w:tcW w:w="1217" w:type="dxa"/>
            <w:tcBorders>
              <w:top w:val="nil"/>
              <w:left w:val="single" w:sz="4" w:space="0" w:color="auto"/>
              <w:bottom w:val="nil"/>
              <w:right w:val="nil"/>
            </w:tcBorders>
            <w:shd w:val="clear" w:color="auto" w:fill="auto"/>
            <w:noWrap/>
            <w:vAlign w:val="bottom"/>
            <w:hideMark/>
          </w:tcPr>
          <w:p w14:paraId="419548B1"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8,918 </w:t>
            </w:r>
          </w:p>
        </w:tc>
      </w:tr>
      <w:tr w:rsidR="006477D2" w:rsidRPr="00AC05B0" w14:paraId="70B4F04D" w14:textId="77777777" w:rsidTr="006477D2">
        <w:trPr>
          <w:trHeight w:val="300"/>
        </w:trPr>
        <w:tc>
          <w:tcPr>
            <w:tcW w:w="4320" w:type="dxa"/>
            <w:tcBorders>
              <w:top w:val="nil"/>
              <w:left w:val="nil"/>
              <w:bottom w:val="nil"/>
              <w:right w:val="nil"/>
            </w:tcBorders>
            <w:shd w:val="clear" w:color="auto" w:fill="auto"/>
            <w:noWrap/>
            <w:vAlign w:val="bottom"/>
            <w:hideMark/>
          </w:tcPr>
          <w:p w14:paraId="3E455002" w14:textId="6CE221AB" w:rsidR="00AC05B0" w:rsidRPr="00AC05B0" w:rsidRDefault="00AC05B0" w:rsidP="00AC05B0">
            <w:pPr>
              <w:spacing w:after="0" w:line="240" w:lineRule="auto"/>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Total not counting curfew or runaway:</w:t>
            </w:r>
          </w:p>
        </w:tc>
        <w:tc>
          <w:tcPr>
            <w:tcW w:w="990" w:type="dxa"/>
            <w:tcBorders>
              <w:top w:val="nil"/>
              <w:left w:val="nil"/>
              <w:bottom w:val="nil"/>
              <w:right w:val="single" w:sz="4" w:space="0" w:color="auto"/>
            </w:tcBorders>
            <w:shd w:val="clear" w:color="auto" w:fill="auto"/>
            <w:noWrap/>
            <w:vAlign w:val="bottom"/>
            <w:hideMark/>
          </w:tcPr>
          <w:p w14:paraId="041B2CAE"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11,524</w:t>
            </w:r>
          </w:p>
        </w:tc>
        <w:tc>
          <w:tcPr>
            <w:tcW w:w="1170" w:type="dxa"/>
            <w:tcBorders>
              <w:top w:val="nil"/>
              <w:left w:val="single" w:sz="4" w:space="0" w:color="auto"/>
              <w:bottom w:val="nil"/>
              <w:right w:val="single" w:sz="4" w:space="0" w:color="auto"/>
            </w:tcBorders>
            <w:shd w:val="clear" w:color="auto" w:fill="auto"/>
            <w:noWrap/>
            <w:vAlign w:val="bottom"/>
            <w:hideMark/>
          </w:tcPr>
          <w:p w14:paraId="218DBB6C"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11,133 </w:t>
            </w:r>
          </w:p>
        </w:tc>
        <w:tc>
          <w:tcPr>
            <w:tcW w:w="1099" w:type="dxa"/>
            <w:tcBorders>
              <w:top w:val="nil"/>
              <w:left w:val="single" w:sz="4" w:space="0" w:color="auto"/>
              <w:bottom w:val="nil"/>
              <w:right w:val="nil"/>
            </w:tcBorders>
            <w:shd w:val="clear" w:color="auto" w:fill="auto"/>
            <w:noWrap/>
            <w:vAlign w:val="bottom"/>
            <w:hideMark/>
          </w:tcPr>
          <w:p w14:paraId="555BD827"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10,661 </w:t>
            </w:r>
          </w:p>
        </w:tc>
        <w:tc>
          <w:tcPr>
            <w:tcW w:w="971" w:type="dxa"/>
            <w:tcBorders>
              <w:top w:val="nil"/>
              <w:left w:val="nil"/>
              <w:bottom w:val="nil"/>
              <w:right w:val="nil"/>
            </w:tcBorders>
            <w:shd w:val="clear" w:color="auto" w:fill="auto"/>
            <w:noWrap/>
            <w:vAlign w:val="bottom"/>
            <w:hideMark/>
          </w:tcPr>
          <w:p w14:paraId="3F8039AB"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10,265 </w:t>
            </w:r>
          </w:p>
        </w:tc>
        <w:tc>
          <w:tcPr>
            <w:tcW w:w="990" w:type="dxa"/>
            <w:tcBorders>
              <w:top w:val="nil"/>
              <w:left w:val="nil"/>
              <w:bottom w:val="nil"/>
              <w:right w:val="nil"/>
            </w:tcBorders>
            <w:shd w:val="clear" w:color="auto" w:fill="auto"/>
            <w:noWrap/>
            <w:vAlign w:val="bottom"/>
            <w:hideMark/>
          </w:tcPr>
          <w:p w14:paraId="3531255F"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9,082 </w:t>
            </w:r>
          </w:p>
        </w:tc>
        <w:tc>
          <w:tcPr>
            <w:tcW w:w="990" w:type="dxa"/>
            <w:tcBorders>
              <w:top w:val="nil"/>
              <w:left w:val="nil"/>
              <w:bottom w:val="nil"/>
              <w:right w:val="single" w:sz="4" w:space="0" w:color="auto"/>
            </w:tcBorders>
            <w:shd w:val="clear" w:color="auto" w:fill="auto"/>
            <w:noWrap/>
            <w:vAlign w:val="bottom"/>
            <w:hideMark/>
          </w:tcPr>
          <w:p w14:paraId="39737598"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8,370 </w:t>
            </w:r>
          </w:p>
        </w:tc>
        <w:tc>
          <w:tcPr>
            <w:tcW w:w="1137" w:type="dxa"/>
            <w:tcBorders>
              <w:top w:val="nil"/>
              <w:left w:val="single" w:sz="4" w:space="0" w:color="auto"/>
              <w:bottom w:val="nil"/>
              <w:right w:val="single" w:sz="4" w:space="0" w:color="auto"/>
            </w:tcBorders>
            <w:shd w:val="clear" w:color="auto" w:fill="auto"/>
            <w:noWrap/>
            <w:vAlign w:val="bottom"/>
            <w:hideMark/>
          </w:tcPr>
          <w:p w14:paraId="1D731805"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8,080 </w:t>
            </w:r>
          </w:p>
        </w:tc>
        <w:tc>
          <w:tcPr>
            <w:tcW w:w="1217" w:type="dxa"/>
            <w:tcBorders>
              <w:top w:val="nil"/>
              <w:left w:val="single" w:sz="4" w:space="0" w:color="auto"/>
              <w:bottom w:val="nil"/>
              <w:right w:val="nil"/>
            </w:tcBorders>
            <w:shd w:val="clear" w:color="auto" w:fill="auto"/>
            <w:noWrap/>
            <w:vAlign w:val="bottom"/>
            <w:hideMark/>
          </w:tcPr>
          <w:p w14:paraId="636D3C73"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7,491 </w:t>
            </w:r>
          </w:p>
        </w:tc>
      </w:tr>
      <w:tr w:rsidR="006477D2" w:rsidRPr="00AC05B0" w14:paraId="68230FA4" w14:textId="77777777" w:rsidTr="006477D2">
        <w:trPr>
          <w:trHeight w:val="300"/>
        </w:trPr>
        <w:tc>
          <w:tcPr>
            <w:tcW w:w="4320" w:type="dxa"/>
            <w:tcBorders>
              <w:top w:val="nil"/>
              <w:left w:val="nil"/>
              <w:bottom w:val="nil"/>
              <w:right w:val="nil"/>
            </w:tcBorders>
            <w:shd w:val="clear" w:color="auto" w:fill="auto"/>
            <w:noWrap/>
            <w:vAlign w:val="bottom"/>
            <w:hideMark/>
          </w:tcPr>
          <w:p w14:paraId="6873A2B8" w14:textId="41B9371C" w:rsidR="00AC05B0" w:rsidRPr="00AC05B0" w:rsidRDefault="00AC05B0" w:rsidP="00AC05B0">
            <w:pPr>
              <w:spacing w:after="0" w:line="240" w:lineRule="auto"/>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Arrests for violent offenses:</w:t>
            </w:r>
          </w:p>
        </w:tc>
        <w:tc>
          <w:tcPr>
            <w:tcW w:w="990" w:type="dxa"/>
            <w:tcBorders>
              <w:top w:val="nil"/>
              <w:left w:val="nil"/>
              <w:bottom w:val="nil"/>
              <w:right w:val="single" w:sz="4" w:space="0" w:color="auto"/>
            </w:tcBorders>
            <w:shd w:val="clear" w:color="auto" w:fill="auto"/>
            <w:noWrap/>
            <w:vAlign w:val="bottom"/>
            <w:hideMark/>
          </w:tcPr>
          <w:p w14:paraId="37366AA6"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1,524</w:t>
            </w:r>
          </w:p>
        </w:tc>
        <w:tc>
          <w:tcPr>
            <w:tcW w:w="1170" w:type="dxa"/>
            <w:tcBorders>
              <w:top w:val="nil"/>
              <w:left w:val="single" w:sz="4" w:space="0" w:color="auto"/>
              <w:bottom w:val="nil"/>
              <w:right w:val="single" w:sz="4" w:space="0" w:color="auto"/>
            </w:tcBorders>
            <w:shd w:val="clear" w:color="auto" w:fill="auto"/>
            <w:noWrap/>
            <w:vAlign w:val="bottom"/>
            <w:hideMark/>
          </w:tcPr>
          <w:p w14:paraId="3DA63B2C"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1,657 </w:t>
            </w:r>
          </w:p>
        </w:tc>
        <w:tc>
          <w:tcPr>
            <w:tcW w:w="1099" w:type="dxa"/>
            <w:tcBorders>
              <w:top w:val="nil"/>
              <w:left w:val="single" w:sz="4" w:space="0" w:color="auto"/>
              <w:bottom w:val="nil"/>
              <w:right w:val="nil"/>
            </w:tcBorders>
            <w:shd w:val="clear" w:color="auto" w:fill="auto"/>
            <w:noWrap/>
            <w:vAlign w:val="bottom"/>
            <w:hideMark/>
          </w:tcPr>
          <w:p w14:paraId="2D38CACC"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1,532 </w:t>
            </w:r>
          </w:p>
        </w:tc>
        <w:tc>
          <w:tcPr>
            <w:tcW w:w="971" w:type="dxa"/>
            <w:tcBorders>
              <w:top w:val="nil"/>
              <w:left w:val="nil"/>
              <w:bottom w:val="nil"/>
              <w:right w:val="nil"/>
            </w:tcBorders>
            <w:shd w:val="clear" w:color="auto" w:fill="auto"/>
            <w:noWrap/>
            <w:vAlign w:val="bottom"/>
            <w:hideMark/>
          </w:tcPr>
          <w:p w14:paraId="76C8B658"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1,504 </w:t>
            </w:r>
          </w:p>
        </w:tc>
        <w:tc>
          <w:tcPr>
            <w:tcW w:w="990" w:type="dxa"/>
            <w:tcBorders>
              <w:top w:val="nil"/>
              <w:left w:val="nil"/>
              <w:bottom w:val="nil"/>
              <w:right w:val="nil"/>
            </w:tcBorders>
            <w:shd w:val="clear" w:color="auto" w:fill="auto"/>
            <w:noWrap/>
            <w:vAlign w:val="bottom"/>
            <w:hideMark/>
          </w:tcPr>
          <w:p w14:paraId="0D083DB1"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1,408 </w:t>
            </w:r>
          </w:p>
        </w:tc>
        <w:tc>
          <w:tcPr>
            <w:tcW w:w="990" w:type="dxa"/>
            <w:tcBorders>
              <w:top w:val="nil"/>
              <w:left w:val="nil"/>
              <w:bottom w:val="nil"/>
              <w:right w:val="single" w:sz="4" w:space="0" w:color="auto"/>
            </w:tcBorders>
            <w:shd w:val="clear" w:color="auto" w:fill="auto"/>
            <w:noWrap/>
            <w:vAlign w:val="bottom"/>
            <w:hideMark/>
          </w:tcPr>
          <w:p w14:paraId="10335C30"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1,454 </w:t>
            </w:r>
          </w:p>
        </w:tc>
        <w:tc>
          <w:tcPr>
            <w:tcW w:w="1137" w:type="dxa"/>
            <w:tcBorders>
              <w:top w:val="nil"/>
              <w:left w:val="single" w:sz="4" w:space="0" w:color="auto"/>
              <w:bottom w:val="nil"/>
              <w:right w:val="single" w:sz="4" w:space="0" w:color="auto"/>
            </w:tcBorders>
            <w:shd w:val="clear" w:color="auto" w:fill="auto"/>
            <w:noWrap/>
            <w:vAlign w:val="bottom"/>
            <w:hideMark/>
          </w:tcPr>
          <w:p w14:paraId="1D644959"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1,348 </w:t>
            </w:r>
          </w:p>
        </w:tc>
        <w:tc>
          <w:tcPr>
            <w:tcW w:w="1217" w:type="dxa"/>
            <w:tcBorders>
              <w:top w:val="nil"/>
              <w:left w:val="single" w:sz="4" w:space="0" w:color="auto"/>
              <w:bottom w:val="nil"/>
              <w:right w:val="nil"/>
            </w:tcBorders>
            <w:shd w:val="clear" w:color="auto" w:fill="auto"/>
            <w:noWrap/>
            <w:vAlign w:val="bottom"/>
            <w:hideMark/>
          </w:tcPr>
          <w:p w14:paraId="2B5E9FBE"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1,287 </w:t>
            </w:r>
          </w:p>
        </w:tc>
      </w:tr>
      <w:tr w:rsidR="006477D2" w:rsidRPr="00AC05B0" w14:paraId="27FB0558" w14:textId="77777777" w:rsidTr="006477D2">
        <w:trPr>
          <w:trHeight w:val="300"/>
        </w:trPr>
        <w:tc>
          <w:tcPr>
            <w:tcW w:w="4320" w:type="dxa"/>
            <w:tcBorders>
              <w:top w:val="nil"/>
              <w:left w:val="nil"/>
              <w:bottom w:val="nil"/>
              <w:right w:val="nil"/>
            </w:tcBorders>
            <w:shd w:val="clear" w:color="auto" w:fill="auto"/>
            <w:noWrap/>
            <w:vAlign w:val="bottom"/>
            <w:hideMark/>
          </w:tcPr>
          <w:p w14:paraId="241BFBB1" w14:textId="5A2A62F5" w:rsidR="00AC05B0" w:rsidRPr="00AC05B0" w:rsidRDefault="00AC05B0" w:rsidP="00AC05B0">
            <w:pPr>
              <w:spacing w:after="0" w:line="240" w:lineRule="auto"/>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Weapon-related arrests:</w:t>
            </w:r>
          </w:p>
        </w:tc>
        <w:tc>
          <w:tcPr>
            <w:tcW w:w="990" w:type="dxa"/>
            <w:tcBorders>
              <w:top w:val="nil"/>
              <w:left w:val="nil"/>
              <w:bottom w:val="nil"/>
              <w:right w:val="single" w:sz="4" w:space="0" w:color="auto"/>
            </w:tcBorders>
            <w:shd w:val="clear" w:color="auto" w:fill="auto"/>
            <w:noWrap/>
            <w:vAlign w:val="bottom"/>
            <w:hideMark/>
          </w:tcPr>
          <w:p w14:paraId="60938B77"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640</w:t>
            </w:r>
          </w:p>
        </w:tc>
        <w:tc>
          <w:tcPr>
            <w:tcW w:w="1170" w:type="dxa"/>
            <w:tcBorders>
              <w:top w:val="nil"/>
              <w:left w:val="single" w:sz="4" w:space="0" w:color="auto"/>
              <w:bottom w:val="nil"/>
              <w:right w:val="single" w:sz="4" w:space="0" w:color="auto"/>
            </w:tcBorders>
            <w:shd w:val="clear" w:color="auto" w:fill="auto"/>
            <w:noWrap/>
            <w:vAlign w:val="bottom"/>
            <w:hideMark/>
          </w:tcPr>
          <w:p w14:paraId="175A5017"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620 </w:t>
            </w:r>
          </w:p>
        </w:tc>
        <w:tc>
          <w:tcPr>
            <w:tcW w:w="1099" w:type="dxa"/>
            <w:tcBorders>
              <w:top w:val="nil"/>
              <w:left w:val="single" w:sz="4" w:space="0" w:color="auto"/>
              <w:bottom w:val="nil"/>
              <w:right w:val="nil"/>
            </w:tcBorders>
            <w:shd w:val="clear" w:color="auto" w:fill="auto"/>
            <w:noWrap/>
            <w:vAlign w:val="bottom"/>
            <w:hideMark/>
          </w:tcPr>
          <w:p w14:paraId="7EBF3F7E"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525 </w:t>
            </w:r>
          </w:p>
        </w:tc>
        <w:tc>
          <w:tcPr>
            <w:tcW w:w="971" w:type="dxa"/>
            <w:tcBorders>
              <w:top w:val="nil"/>
              <w:left w:val="nil"/>
              <w:bottom w:val="nil"/>
              <w:right w:val="nil"/>
            </w:tcBorders>
            <w:shd w:val="clear" w:color="auto" w:fill="auto"/>
            <w:noWrap/>
            <w:vAlign w:val="bottom"/>
            <w:hideMark/>
          </w:tcPr>
          <w:p w14:paraId="09F3CD5F"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438 </w:t>
            </w:r>
          </w:p>
        </w:tc>
        <w:tc>
          <w:tcPr>
            <w:tcW w:w="990" w:type="dxa"/>
            <w:tcBorders>
              <w:top w:val="nil"/>
              <w:left w:val="nil"/>
              <w:bottom w:val="nil"/>
              <w:right w:val="nil"/>
            </w:tcBorders>
            <w:shd w:val="clear" w:color="auto" w:fill="auto"/>
            <w:noWrap/>
            <w:vAlign w:val="bottom"/>
            <w:hideMark/>
          </w:tcPr>
          <w:p w14:paraId="691A6E15"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481 </w:t>
            </w:r>
          </w:p>
        </w:tc>
        <w:tc>
          <w:tcPr>
            <w:tcW w:w="990" w:type="dxa"/>
            <w:tcBorders>
              <w:top w:val="nil"/>
              <w:left w:val="nil"/>
              <w:bottom w:val="nil"/>
              <w:right w:val="single" w:sz="4" w:space="0" w:color="auto"/>
            </w:tcBorders>
            <w:shd w:val="clear" w:color="auto" w:fill="auto"/>
            <w:noWrap/>
            <w:vAlign w:val="bottom"/>
            <w:hideMark/>
          </w:tcPr>
          <w:p w14:paraId="35FDFACA"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533 </w:t>
            </w:r>
          </w:p>
        </w:tc>
        <w:tc>
          <w:tcPr>
            <w:tcW w:w="1137" w:type="dxa"/>
            <w:tcBorders>
              <w:top w:val="nil"/>
              <w:left w:val="single" w:sz="4" w:space="0" w:color="auto"/>
              <w:bottom w:val="nil"/>
              <w:right w:val="single" w:sz="4" w:space="0" w:color="auto"/>
            </w:tcBorders>
            <w:shd w:val="clear" w:color="auto" w:fill="auto"/>
            <w:noWrap/>
            <w:vAlign w:val="bottom"/>
            <w:hideMark/>
          </w:tcPr>
          <w:p w14:paraId="6B8AE515"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393 </w:t>
            </w:r>
          </w:p>
        </w:tc>
        <w:tc>
          <w:tcPr>
            <w:tcW w:w="1217" w:type="dxa"/>
            <w:tcBorders>
              <w:top w:val="nil"/>
              <w:left w:val="single" w:sz="4" w:space="0" w:color="auto"/>
              <w:bottom w:val="nil"/>
              <w:right w:val="nil"/>
            </w:tcBorders>
            <w:shd w:val="clear" w:color="auto" w:fill="auto"/>
            <w:noWrap/>
            <w:vAlign w:val="bottom"/>
            <w:hideMark/>
          </w:tcPr>
          <w:p w14:paraId="4A833E54"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410 </w:t>
            </w:r>
          </w:p>
        </w:tc>
      </w:tr>
      <w:tr w:rsidR="006477D2" w:rsidRPr="00AC05B0" w14:paraId="7AD4CEFF" w14:textId="77777777" w:rsidTr="006477D2">
        <w:trPr>
          <w:trHeight w:val="300"/>
        </w:trPr>
        <w:tc>
          <w:tcPr>
            <w:tcW w:w="4320" w:type="dxa"/>
            <w:tcBorders>
              <w:top w:val="nil"/>
              <w:left w:val="nil"/>
              <w:bottom w:val="nil"/>
              <w:right w:val="nil"/>
            </w:tcBorders>
            <w:shd w:val="clear" w:color="auto" w:fill="auto"/>
            <w:noWrap/>
            <w:vAlign w:val="bottom"/>
            <w:hideMark/>
          </w:tcPr>
          <w:p w14:paraId="6408B8DD" w14:textId="730D90EC" w:rsidR="00AC05B0" w:rsidRPr="00AC05B0" w:rsidRDefault="00AC05B0" w:rsidP="00AC05B0">
            <w:pPr>
              <w:spacing w:after="0" w:line="240" w:lineRule="auto"/>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Homicide</w:t>
            </w:r>
            <w:r w:rsidR="00545AAF">
              <w:rPr>
                <w:rFonts w:ascii="Times New Roman" w:eastAsia="Times New Roman" w:hAnsi="Times New Roman"/>
                <w:color w:val="000000"/>
                <w:sz w:val="24"/>
                <w:szCs w:val="24"/>
              </w:rPr>
              <w:t xml:space="preserve"> arrest</w:t>
            </w:r>
            <w:r w:rsidRPr="00AC05B0">
              <w:rPr>
                <w:rFonts w:ascii="Times New Roman" w:eastAsia="Times New Roman" w:hAnsi="Times New Roman"/>
                <w:color w:val="000000"/>
                <w:sz w:val="24"/>
                <w:szCs w:val="24"/>
              </w:rPr>
              <w:t>s:</w:t>
            </w:r>
          </w:p>
        </w:tc>
        <w:tc>
          <w:tcPr>
            <w:tcW w:w="990" w:type="dxa"/>
            <w:tcBorders>
              <w:top w:val="nil"/>
              <w:left w:val="nil"/>
              <w:bottom w:val="nil"/>
              <w:right w:val="single" w:sz="4" w:space="0" w:color="auto"/>
            </w:tcBorders>
            <w:shd w:val="clear" w:color="auto" w:fill="auto"/>
            <w:noWrap/>
            <w:vAlign w:val="bottom"/>
            <w:hideMark/>
          </w:tcPr>
          <w:p w14:paraId="3DA8E375"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38</w:t>
            </w:r>
          </w:p>
        </w:tc>
        <w:tc>
          <w:tcPr>
            <w:tcW w:w="1170" w:type="dxa"/>
            <w:tcBorders>
              <w:top w:val="nil"/>
              <w:left w:val="single" w:sz="4" w:space="0" w:color="auto"/>
              <w:bottom w:val="nil"/>
              <w:right w:val="single" w:sz="4" w:space="0" w:color="auto"/>
            </w:tcBorders>
            <w:shd w:val="clear" w:color="auto" w:fill="auto"/>
            <w:noWrap/>
            <w:vAlign w:val="bottom"/>
            <w:hideMark/>
          </w:tcPr>
          <w:p w14:paraId="132ACBEF"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22 </w:t>
            </w:r>
          </w:p>
        </w:tc>
        <w:tc>
          <w:tcPr>
            <w:tcW w:w="1099" w:type="dxa"/>
            <w:tcBorders>
              <w:top w:val="nil"/>
              <w:left w:val="single" w:sz="4" w:space="0" w:color="auto"/>
              <w:bottom w:val="nil"/>
              <w:right w:val="nil"/>
            </w:tcBorders>
            <w:shd w:val="clear" w:color="auto" w:fill="auto"/>
            <w:noWrap/>
            <w:vAlign w:val="bottom"/>
            <w:hideMark/>
          </w:tcPr>
          <w:p w14:paraId="6BDE4DCA"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23 </w:t>
            </w:r>
          </w:p>
        </w:tc>
        <w:tc>
          <w:tcPr>
            <w:tcW w:w="971" w:type="dxa"/>
            <w:tcBorders>
              <w:top w:val="nil"/>
              <w:left w:val="nil"/>
              <w:bottom w:val="nil"/>
              <w:right w:val="nil"/>
            </w:tcBorders>
            <w:shd w:val="clear" w:color="auto" w:fill="auto"/>
            <w:noWrap/>
            <w:vAlign w:val="bottom"/>
            <w:hideMark/>
          </w:tcPr>
          <w:p w14:paraId="4A5B208A"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29 </w:t>
            </w:r>
          </w:p>
        </w:tc>
        <w:tc>
          <w:tcPr>
            <w:tcW w:w="990" w:type="dxa"/>
            <w:tcBorders>
              <w:top w:val="nil"/>
              <w:left w:val="nil"/>
              <w:bottom w:val="nil"/>
              <w:right w:val="nil"/>
            </w:tcBorders>
            <w:shd w:val="clear" w:color="auto" w:fill="auto"/>
            <w:noWrap/>
            <w:vAlign w:val="bottom"/>
            <w:hideMark/>
          </w:tcPr>
          <w:p w14:paraId="24FC262D"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24 </w:t>
            </w:r>
          </w:p>
        </w:tc>
        <w:tc>
          <w:tcPr>
            <w:tcW w:w="990" w:type="dxa"/>
            <w:tcBorders>
              <w:top w:val="nil"/>
              <w:left w:val="nil"/>
              <w:bottom w:val="nil"/>
              <w:right w:val="single" w:sz="4" w:space="0" w:color="auto"/>
            </w:tcBorders>
            <w:shd w:val="clear" w:color="auto" w:fill="auto"/>
            <w:noWrap/>
            <w:vAlign w:val="bottom"/>
            <w:hideMark/>
          </w:tcPr>
          <w:p w14:paraId="7851503B"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16 </w:t>
            </w:r>
          </w:p>
        </w:tc>
        <w:tc>
          <w:tcPr>
            <w:tcW w:w="1137" w:type="dxa"/>
            <w:tcBorders>
              <w:top w:val="nil"/>
              <w:left w:val="single" w:sz="4" w:space="0" w:color="auto"/>
              <w:bottom w:val="nil"/>
              <w:right w:val="single" w:sz="4" w:space="0" w:color="auto"/>
            </w:tcBorders>
            <w:shd w:val="clear" w:color="auto" w:fill="auto"/>
            <w:noWrap/>
            <w:vAlign w:val="bottom"/>
            <w:hideMark/>
          </w:tcPr>
          <w:p w14:paraId="627FD700"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4 </w:t>
            </w:r>
          </w:p>
        </w:tc>
        <w:tc>
          <w:tcPr>
            <w:tcW w:w="1217" w:type="dxa"/>
            <w:tcBorders>
              <w:top w:val="nil"/>
              <w:left w:val="single" w:sz="4" w:space="0" w:color="auto"/>
              <w:bottom w:val="nil"/>
              <w:right w:val="nil"/>
            </w:tcBorders>
            <w:shd w:val="clear" w:color="auto" w:fill="auto"/>
            <w:noWrap/>
            <w:vAlign w:val="bottom"/>
            <w:hideMark/>
          </w:tcPr>
          <w:p w14:paraId="5D6806AC" w14:textId="77777777" w:rsidR="00AC05B0" w:rsidRPr="00AC05B0" w:rsidRDefault="00AC05B0" w:rsidP="00AC05B0">
            <w:pPr>
              <w:spacing w:after="0" w:line="240" w:lineRule="auto"/>
              <w:jc w:val="right"/>
              <w:rPr>
                <w:rFonts w:ascii="Times New Roman" w:eastAsia="Times New Roman" w:hAnsi="Times New Roman"/>
                <w:color w:val="000000"/>
                <w:sz w:val="24"/>
                <w:szCs w:val="24"/>
              </w:rPr>
            </w:pPr>
            <w:r w:rsidRPr="00AC05B0">
              <w:rPr>
                <w:rFonts w:ascii="Times New Roman" w:eastAsia="Times New Roman" w:hAnsi="Times New Roman"/>
                <w:color w:val="000000"/>
                <w:sz w:val="24"/>
                <w:szCs w:val="24"/>
              </w:rPr>
              <w:t xml:space="preserve">                 11 </w:t>
            </w:r>
          </w:p>
        </w:tc>
      </w:tr>
      <w:tr w:rsidR="00860C15" w:rsidRPr="00AC05B0" w14:paraId="7864D2C9" w14:textId="77777777" w:rsidTr="00157139">
        <w:trPr>
          <w:trHeight w:val="300"/>
        </w:trPr>
        <w:tc>
          <w:tcPr>
            <w:tcW w:w="4320" w:type="dxa"/>
            <w:tcBorders>
              <w:top w:val="nil"/>
              <w:left w:val="nil"/>
              <w:bottom w:val="nil"/>
              <w:right w:val="nil"/>
            </w:tcBorders>
            <w:shd w:val="clear" w:color="auto" w:fill="auto"/>
            <w:noWrap/>
            <w:vAlign w:val="bottom"/>
          </w:tcPr>
          <w:p w14:paraId="4FCF5F04" w14:textId="77777777" w:rsidR="00860C15" w:rsidRDefault="00860C15" w:rsidP="00185CED">
            <w:pPr>
              <w:spacing w:after="0" w:line="240" w:lineRule="auto"/>
              <w:rPr>
                <w:rFonts w:ascii="Times New Roman" w:hAnsi="Times New Roman"/>
                <w:color w:val="000000"/>
                <w:sz w:val="24"/>
                <w:szCs w:val="24"/>
              </w:rPr>
            </w:pPr>
          </w:p>
          <w:p w14:paraId="456C0F69" w14:textId="5A3F7744" w:rsidR="00185CED" w:rsidRPr="00185CED" w:rsidRDefault="00185CED" w:rsidP="00185CED">
            <w:pPr>
              <w:spacing w:after="0" w:line="240" w:lineRule="auto"/>
              <w:rPr>
                <w:rFonts w:ascii="Times New Roman" w:eastAsia="Times New Roman" w:hAnsi="Times New Roman"/>
                <w:color w:val="000000"/>
                <w:sz w:val="24"/>
                <w:szCs w:val="24"/>
              </w:rPr>
            </w:pPr>
            <w:r w:rsidRPr="00185CED">
              <w:rPr>
                <w:rFonts w:ascii="Times New Roman" w:hAnsi="Times New Roman"/>
                <w:color w:val="000000"/>
                <w:sz w:val="24"/>
                <w:szCs w:val="24"/>
              </w:rPr>
              <w:t xml:space="preserve">Juvenile </w:t>
            </w:r>
            <w:r w:rsidR="00860C15">
              <w:rPr>
                <w:rFonts w:ascii="Times New Roman" w:hAnsi="Times New Roman"/>
                <w:color w:val="000000"/>
                <w:sz w:val="24"/>
                <w:szCs w:val="24"/>
              </w:rPr>
              <w:t>c</w:t>
            </w:r>
            <w:r w:rsidRPr="00185CED">
              <w:rPr>
                <w:rFonts w:ascii="Times New Roman" w:hAnsi="Times New Roman"/>
                <w:color w:val="000000"/>
                <w:sz w:val="24"/>
                <w:szCs w:val="24"/>
              </w:rPr>
              <w:t>ourt referrals for violent crimes:</w:t>
            </w:r>
          </w:p>
        </w:tc>
        <w:tc>
          <w:tcPr>
            <w:tcW w:w="990" w:type="dxa"/>
            <w:tcBorders>
              <w:top w:val="nil"/>
              <w:left w:val="nil"/>
              <w:bottom w:val="nil"/>
              <w:right w:val="single" w:sz="4" w:space="0" w:color="auto"/>
            </w:tcBorders>
            <w:shd w:val="clear" w:color="auto" w:fill="auto"/>
            <w:noWrap/>
            <w:vAlign w:val="bottom"/>
          </w:tcPr>
          <w:p w14:paraId="5D980B28" w14:textId="594380E2"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1</w:t>
            </w:r>
            <w:r w:rsidR="00860C15">
              <w:rPr>
                <w:rFonts w:ascii="Times New Roman" w:hAnsi="Times New Roman"/>
                <w:color w:val="000000"/>
                <w:sz w:val="24"/>
                <w:szCs w:val="24"/>
              </w:rPr>
              <w:t>,</w:t>
            </w:r>
            <w:r w:rsidRPr="00185CED">
              <w:rPr>
                <w:rFonts w:ascii="Times New Roman" w:hAnsi="Times New Roman"/>
                <w:color w:val="000000"/>
                <w:sz w:val="24"/>
                <w:szCs w:val="24"/>
              </w:rPr>
              <w:t>832</w:t>
            </w:r>
          </w:p>
        </w:tc>
        <w:tc>
          <w:tcPr>
            <w:tcW w:w="1170" w:type="dxa"/>
            <w:tcBorders>
              <w:top w:val="nil"/>
              <w:left w:val="single" w:sz="4" w:space="0" w:color="auto"/>
              <w:bottom w:val="nil"/>
              <w:right w:val="single" w:sz="4" w:space="0" w:color="auto"/>
            </w:tcBorders>
            <w:shd w:val="clear" w:color="auto" w:fill="auto"/>
            <w:noWrap/>
            <w:vAlign w:val="bottom"/>
          </w:tcPr>
          <w:p w14:paraId="2CF0D978" w14:textId="0DB45577"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1</w:t>
            </w:r>
            <w:r w:rsidR="00860C15">
              <w:rPr>
                <w:rFonts w:ascii="Times New Roman" w:hAnsi="Times New Roman"/>
                <w:color w:val="000000"/>
                <w:sz w:val="24"/>
                <w:szCs w:val="24"/>
              </w:rPr>
              <w:t>,</w:t>
            </w:r>
            <w:r w:rsidRPr="00185CED">
              <w:rPr>
                <w:rFonts w:ascii="Times New Roman" w:hAnsi="Times New Roman"/>
                <w:color w:val="000000"/>
                <w:sz w:val="24"/>
                <w:szCs w:val="24"/>
              </w:rPr>
              <w:t>575</w:t>
            </w:r>
          </w:p>
        </w:tc>
        <w:tc>
          <w:tcPr>
            <w:tcW w:w="1099" w:type="dxa"/>
            <w:tcBorders>
              <w:top w:val="nil"/>
              <w:left w:val="single" w:sz="4" w:space="0" w:color="auto"/>
              <w:bottom w:val="nil"/>
              <w:right w:val="nil"/>
            </w:tcBorders>
            <w:shd w:val="clear" w:color="auto" w:fill="auto"/>
            <w:noWrap/>
            <w:vAlign w:val="bottom"/>
          </w:tcPr>
          <w:p w14:paraId="2ED3A590" w14:textId="617D0B32"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1</w:t>
            </w:r>
            <w:r w:rsidR="00860C15">
              <w:rPr>
                <w:rFonts w:ascii="Times New Roman" w:hAnsi="Times New Roman"/>
                <w:color w:val="000000"/>
                <w:sz w:val="24"/>
                <w:szCs w:val="24"/>
              </w:rPr>
              <w:t>,</w:t>
            </w:r>
            <w:r w:rsidRPr="00185CED">
              <w:rPr>
                <w:rFonts w:ascii="Times New Roman" w:hAnsi="Times New Roman"/>
                <w:color w:val="000000"/>
                <w:sz w:val="24"/>
                <w:szCs w:val="24"/>
              </w:rPr>
              <w:t>228</w:t>
            </w:r>
          </w:p>
        </w:tc>
        <w:tc>
          <w:tcPr>
            <w:tcW w:w="971" w:type="dxa"/>
            <w:tcBorders>
              <w:top w:val="nil"/>
              <w:left w:val="nil"/>
              <w:bottom w:val="nil"/>
              <w:right w:val="nil"/>
            </w:tcBorders>
            <w:shd w:val="clear" w:color="auto" w:fill="auto"/>
            <w:noWrap/>
            <w:vAlign w:val="bottom"/>
          </w:tcPr>
          <w:p w14:paraId="08835E68" w14:textId="3D153230"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711</w:t>
            </w:r>
          </w:p>
        </w:tc>
        <w:tc>
          <w:tcPr>
            <w:tcW w:w="990" w:type="dxa"/>
            <w:tcBorders>
              <w:top w:val="nil"/>
              <w:left w:val="nil"/>
              <w:bottom w:val="nil"/>
              <w:right w:val="nil"/>
            </w:tcBorders>
            <w:shd w:val="clear" w:color="auto" w:fill="auto"/>
            <w:noWrap/>
            <w:vAlign w:val="bottom"/>
          </w:tcPr>
          <w:p w14:paraId="32C96E22" w14:textId="55338F18"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649</w:t>
            </w:r>
          </w:p>
        </w:tc>
        <w:tc>
          <w:tcPr>
            <w:tcW w:w="990" w:type="dxa"/>
            <w:tcBorders>
              <w:top w:val="nil"/>
              <w:left w:val="nil"/>
              <w:bottom w:val="nil"/>
              <w:right w:val="single" w:sz="4" w:space="0" w:color="auto"/>
            </w:tcBorders>
            <w:shd w:val="clear" w:color="auto" w:fill="auto"/>
            <w:noWrap/>
            <w:vAlign w:val="bottom"/>
          </w:tcPr>
          <w:p w14:paraId="7492EA96" w14:textId="0752796B"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618</w:t>
            </w:r>
          </w:p>
        </w:tc>
        <w:tc>
          <w:tcPr>
            <w:tcW w:w="1137" w:type="dxa"/>
            <w:tcBorders>
              <w:top w:val="nil"/>
              <w:left w:val="single" w:sz="4" w:space="0" w:color="auto"/>
              <w:bottom w:val="nil"/>
              <w:right w:val="single" w:sz="4" w:space="0" w:color="auto"/>
            </w:tcBorders>
            <w:shd w:val="clear" w:color="auto" w:fill="auto"/>
            <w:noWrap/>
            <w:vAlign w:val="bottom"/>
          </w:tcPr>
          <w:p w14:paraId="433E6D56" w14:textId="2437A19B"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577</w:t>
            </w:r>
          </w:p>
        </w:tc>
        <w:tc>
          <w:tcPr>
            <w:tcW w:w="1217" w:type="dxa"/>
            <w:tcBorders>
              <w:top w:val="nil"/>
              <w:left w:val="single" w:sz="4" w:space="0" w:color="auto"/>
              <w:bottom w:val="nil"/>
              <w:right w:val="nil"/>
            </w:tcBorders>
            <w:shd w:val="clear" w:color="auto" w:fill="auto"/>
            <w:noWrap/>
            <w:vAlign w:val="bottom"/>
          </w:tcPr>
          <w:p w14:paraId="4CF544FF" w14:textId="053F8C5C" w:rsidR="00185CED" w:rsidRPr="00185CED" w:rsidRDefault="00185CED" w:rsidP="00185CED">
            <w:pPr>
              <w:spacing w:after="0" w:line="240" w:lineRule="auto"/>
              <w:jc w:val="right"/>
              <w:rPr>
                <w:rFonts w:ascii="Times New Roman" w:eastAsia="Times New Roman" w:hAnsi="Times New Roman"/>
                <w:color w:val="000000"/>
                <w:sz w:val="24"/>
                <w:szCs w:val="24"/>
              </w:rPr>
            </w:pPr>
            <w:r w:rsidRPr="00185CED">
              <w:rPr>
                <w:rFonts w:ascii="Times New Roman" w:hAnsi="Times New Roman"/>
                <w:color w:val="000000"/>
                <w:sz w:val="24"/>
                <w:szCs w:val="24"/>
              </w:rPr>
              <w:t>424</w:t>
            </w:r>
          </w:p>
        </w:tc>
      </w:tr>
    </w:tbl>
    <w:p w14:paraId="481B530C" w14:textId="2014A7BE" w:rsidR="00521F9F" w:rsidRDefault="00521F9F" w:rsidP="00903EF0">
      <w:pPr>
        <w:rPr>
          <w:rFonts w:ascii="Times New Roman" w:hAnsi="Times New Roman"/>
          <w:sz w:val="24"/>
        </w:rPr>
      </w:pPr>
      <w:r>
        <w:rPr>
          <w:rFonts w:ascii="Times New Roman" w:hAnsi="Times New Roman"/>
          <w:sz w:val="24"/>
        </w:rPr>
        <w:br w:type="page"/>
      </w:r>
    </w:p>
    <w:p w14:paraId="5B4DE0C1" w14:textId="77777777" w:rsidR="00521F9F" w:rsidRDefault="00BE0FC8" w:rsidP="00903EF0">
      <w:pPr>
        <w:rPr>
          <w:rFonts w:ascii="Times New Roman" w:hAnsi="Times New Roman"/>
          <w:sz w:val="24"/>
        </w:rPr>
      </w:pPr>
      <w:r>
        <w:rPr>
          <w:rFonts w:ascii="Times New Roman" w:hAnsi="Times New Roman"/>
          <w:noProof/>
          <w:sz w:val="24"/>
        </w:rPr>
        <w:lastRenderedPageBreak/>
        <w:drawing>
          <wp:inline distT="0" distB="0" distL="0" distR="0" wp14:anchorId="1A2489DC" wp14:editId="06C983E2">
            <wp:extent cx="5419725" cy="2686050"/>
            <wp:effectExtent l="0" t="0" r="9525" b="0"/>
            <wp:docPr id="1"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2686050"/>
                    </a:xfrm>
                    <a:prstGeom prst="rect">
                      <a:avLst/>
                    </a:prstGeom>
                    <a:noFill/>
                    <a:ln>
                      <a:noFill/>
                    </a:ln>
                  </pic:spPr>
                </pic:pic>
              </a:graphicData>
            </a:graphic>
          </wp:inline>
        </w:drawing>
      </w:r>
    </w:p>
    <w:p w14:paraId="55B42D72" w14:textId="77777777" w:rsidR="00521F9F" w:rsidRPr="008F1624" w:rsidRDefault="00521F9F" w:rsidP="008F1624">
      <w:pPr>
        <w:rPr>
          <w:rFonts w:ascii="Times New Roman" w:hAnsi="Times New Roman"/>
          <w:sz w:val="24"/>
        </w:rPr>
      </w:pPr>
      <w:r w:rsidRPr="005947B1">
        <w:rPr>
          <w:rFonts w:ascii="Times New Roman" w:hAnsi="Times New Roman"/>
          <w:i/>
          <w:sz w:val="24"/>
        </w:rPr>
        <w:t>Figure 1.</w:t>
      </w:r>
      <w:r>
        <w:rPr>
          <w:rFonts w:ascii="Times New Roman" w:hAnsi="Times New Roman"/>
          <w:sz w:val="24"/>
        </w:rPr>
        <w:t xml:space="preserve"> Organizational Collaboration-Year </w:t>
      </w:r>
      <w:r w:rsidRPr="008F1624">
        <w:rPr>
          <w:rFonts w:ascii="Times New Roman" w:hAnsi="Times New Roman"/>
          <w:sz w:val="24"/>
        </w:rPr>
        <w:t>1: White = Coalition Participant; Black = Non-Participant</w:t>
      </w:r>
    </w:p>
    <w:p w14:paraId="7C404660" w14:textId="77777777" w:rsidR="00521F9F" w:rsidRDefault="00BE0FC8" w:rsidP="00903EF0">
      <w:pPr>
        <w:rPr>
          <w:rFonts w:ascii="Times New Roman" w:hAnsi="Times New Roman"/>
          <w:sz w:val="24"/>
        </w:rPr>
      </w:pPr>
      <w:r>
        <w:rPr>
          <w:rFonts w:ascii="Times New Roman" w:hAnsi="Times New Roman"/>
          <w:noProof/>
          <w:sz w:val="24"/>
        </w:rPr>
        <w:lastRenderedPageBreak/>
        <w:drawing>
          <wp:inline distT="0" distB="0" distL="0" distR="0" wp14:anchorId="7BD52919" wp14:editId="3B96A688">
            <wp:extent cx="5419725" cy="2686050"/>
            <wp:effectExtent l="0" t="0" r="9525" b="0"/>
            <wp:docPr id="2"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2686050"/>
                    </a:xfrm>
                    <a:prstGeom prst="rect">
                      <a:avLst/>
                    </a:prstGeom>
                    <a:noFill/>
                    <a:ln>
                      <a:noFill/>
                    </a:ln>
                  </pic:spPr>
                </pic:pic>
              </a:graphicData>
            </a:graphic>
          </wp:inline>
        </w:drawing>
      </w:r>
    </w:p>
    <w:p w14:paraId="48D8DA85" w14:textId="77777777" w:rsidR="00521F9F" w:rsidRPr="008F1624" w:rsidRDefault="00521F9F" w:rsidP="007E1F9F">
      <w:pPr>
        <w:rPr>
          <w:rFonts w:ascii="Times New Roman" w:hAnsi="Times New Roman"/>
          <w:sz w:val="24"/>
        </w:rPr>
      </w:pPr>
      <w:r w:rsidRPr="005947B1">
        <w:rPr>
          <w:rFonts w:ascii="Times New Roman" w:hAnsi="Times New Roman"/>
          <w:i/>
          <w:sz w:val="24"/>
        </w:rPr>
        <w:t>Figure 2</w:t>
      </w:r>
      <w:r>
        <w:rPr>
          <w:rFonts w:ascii="Times New Roman" w:hAnsi="Times New Roman"/>
          <w:sz w:val="24"/>
        </w:rPr>
        <w:t>. Organizational Collaboration-Year 3</w:t>
      </w:r>
      <w:r w:rsidRPr="008F1624">
        <w:rPr>
          <w:rFonts w:ascii="Times New Roman" w:hAnsi="Times New Roman"/>
          <w:sz w:val="24"/>
        </w:rPr>
        <w:t>: White = Coalition Participant; Black = Non-Participant</w:t>
      </w:r>
    </w:p>
    <w:p w14:paraId="4243EDB8" w14:textId="77777777" w:rsidR="00521F9F" w:rsidRDefault="00BE0FC8" w:rsidP="00903EF0">
      <w:pPr>
        <w:rPr>
          <w:rFonts w:ascii="Times New Roman" w:hAnsi="Times New Roman"/>
          <w:sz w:val="24"/>
        </w:rPr>
      </w:pPr>
      <w:r>
        <w:rPr>
          <w:rFonts w:ascii="Times New Roman" w:hAnsi="Times New Roman"/>
          <w:noProof/>
          <w:sz w:val="24"/>
        </w:rPr>
        <w:lastRenderedPageBreak/>
        <w:drawing>
          <wp:inline distT="0" distB="0" distL="0" distR="0" wp14:anchorId="1D7F9264" wp14:editId="421FB7C8">
            <wp:extent cx="5419725" cy="2686050"/>
            <wp:effectExtent l="0" t="0" r="9525" b="0"/>
            <wp:docPr id="3" nam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686050"/>
                    </a:xfrm>
                    <a:prstGeom prst="rect">
                      <a:avLst/>
                    </a:prstGeom>
                    <a:noFill/>
                    <a:ln>
                      <a:noFill/>
                    </a:ln>
                  </pic:spPr>
                </pic:pic>
              </a:graphicData>
            </a:graphic>
          </wp:inline>
        </w:drawing>
      </w:r>
    </w:p>
    <w:p w14:paraId="430377AC" w14:textId="77777777" w:rsidR="00521F9F" w:rsidRPr="008F1624" w:rsidRDefault="00521F9F" w:rsidP="007E1F9F">
      <w:pPr>
        <w:rPr>
          <w:rFonts w:ascii="Times New Roman" w:hAnsi="Times New Roman"/>
          <w:sz w:val="24"/>
        </w:rPr>
      </w:pPr>
      <w:r w:rsidRPr="005947B1">
        <w:rPr>
          <w:rFonts w:ascii="Times New Roman" w:hAnsi="Times New Roman"/>
          <w:i/>
          <w:sz w:val="24"/>
        </w:rPr>
        <w:t>Figure 3</w:t>
      </w:r>
      <w:r>
        <w:rPr>
          <w:rFonts w:ascii="Times New Roman" w:hAnsi="Times New Roman"/>
          <w:sz w:val="24"/>
        </w:rPr>
        <w:t>. Organizational Collaboration-Year 5</w:t>
      </w:r>
      <w:r w:rsidRPr="008F1624">
        <w:rPr>
          <w:rFonts w:ascii="Times New Roman" w:hAnsi="Times New Roman"/>
          <w:sz w:val="24"/>
        </w:rPr>
        <w:t>: White = Coalition Participant; Black = Non-Participant</w:t>
      </w:r>
    </w:p>
    <w:p w14:paraId="7712D46D" w14:textId="77777777" w:rsidR="00521F9F" w:rsidRDefault="00521F9F" w:rsidP="00903EF0">
      <w:pPr>
        <w:rPr>
          <w:rFonts w:ascii="Times New Roman" w:hAnsi="Times New Roman"/>
          <w:sz w:val="24"/>
        </w:rPr>
      </w:pPr>
    </w:p>
    <w:p w14:paraId="286C5CB9" w14:textId="77777777" w:rsidR="00521F9F" w:rsidRDefault="00521F9F" w:rsidP="00903EF0">
      <w:pPr>
        <w:rPr>
          <w:rFonts w:ascii="Times New Roman" w:hAnsi="Times New Roman"/>
          <w:sz w:val="24"/>
        </w:rPr>
      </w:pPr>
    </w:p>
    <w:p w14:paraId="602DFA40" w14:textId="77777777" w:rsidR="00521F9F" w:rsidRDefault="00521F9F" w:rsidP="00903EF0">
      <w:pPr>
        <w:rPr>
          <w:rFonts w:ascii="Times New Roman" w:hAnsi="Times New Roman"/>
          <w:sz w:val="24"/>
        </w:rPr>
      </w:pPr>
    </w:p>
    <w:p w14:paraId="5EE6494E" w14:textId="77777777" w:rsidR="00521F9F" w:rsidRDefault="00521F9F" w:rsidP="00903EF0">
      <w:pPr>
        <w:rPr>
          <w:rFonts w:ascii="Times New Roman" w:hAnsi="Times New Roman"/>
          <w:sz w:val="24"/>
        </w:rPr>
      </w:pPr>
    </w:p>
    <w:p w14:paraId="4397304B" w14:textId="77777777" w:rsidR="00521F9F" w:rsidRPr="009D4235" w:rsidRDefault="00521F9F" w:rsidP="004C066E">
      <w:pPr>
        <w:rPr>
          <w:rFonts w:ascii="Times New Roman" w:hAnsi="Times New Roman"/>
          <w:sz w:val="24"/>
          <w:szCs w:val="24"/>
        </w:rPr>
      </w:pPr>
    </w:p>
    <w:sectPr w:rsidR="00521F9F" w:rsidRPr="009D4235" w:rsidSect="00540F0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3F894" w14:textId="77777777" w:rsidR="00DD061C" w:rsidRDefault="00DD061C" w:rsidP="00BB288F">
      <w:pPr>
        <w:spacing w:after="0" w:line="240" w:lineRule="auto"/>
      </w:pPr>
      <w:r>
        <w:separator/>
      </w:r>
    </w:p>
  </w:endnote>
  <w:endnote w:type="continuationSeparator" w:id="0">
    <w:p w14:paraId="191CB17F" w14:textId="77777777" w:rsidR="00DD061C" w:rsidRDefault="00DD061C" w:rsidP="00BB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
    <w:altName w:val="Times New Roman"/>
    <w:panose1 w:val="020B0604020202020204"/>
    <w:charset w:val="50"/>
    <w:family w:val="auto"/>
    <w:pitch w:val="variable"/>
    <w:sig w:usb0="00000001" w:usb1="00000000" w:usb2="00000000" w:usb3="00000000" w:csb0="00000000" w:csb1="00000000"/>
  </w:font>
  <w:font w:name="Lucida Grande">
    <w:panose1 w:val="020B0600040502020204"/>
    <w:charset w:val="00"/>
    <w:family w:val="swiss"/>
    <w:pitch w:val="variable"/>
    <w:sig w:usb0="E1000AEF" w:usb1="5000A1FF" w:usb2="00000000" w:usb3="00000000" w:csb0="000001BF" w:csb1="00000000"/>
  </w:font>
  <w:font w:name="Andale Sans UI">
    <w:altName w:val="Yu Gothic"/>
    <w:panose1 w:val="020B0604020202020204"/>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²Ó©úÅé">
    <w:panose1 w:val="020B0604020202020204"/>
    <w:charset w:val="51"/>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3E210" w14:textId="77777777" w:rsidR="00DD061C" w:rsidRDefault="00DD061C" w:rsidP="00BB288F">
      <w:pPr>
        <w:spacing w:after="0" w:line="240" w:lineRule="auto"/>
      </w:pPr>
      <w:r>
        <w:separator/>
      </w:r>
    </w:p>
  </w:footnote>
  <w:footnote w:type="continuationSeparator" w:id="0">
    <w:p w14:paraId="095C7BF9" w14:textId="77777777" w:rsidR="00DD061C" w:rsidRDefault="00DD061C" w:rsidP="00BB288F">
      <w:pPr>
        <w:spacing w:after="0" w:line="240" w:lineRule="auto"/>
      </w:pPr>
      <w:r>
        <w:continuationSeparator/>
      </w:r>
    </w:p>
  </w:footnote>
  <w:footnote w:id="1">
    <w:p w14:paraId="4805C9A3" w14:textId="77777777" w:rsidR="00DF5AC1" w:rsidRDefault="00DF5AC1">
      <w:pPr>
        <w:pStyle w:val="FootnoteText"/>
      </w:pPr>
      <w:r w:rsidRPr="00FC6EB2">
        <w:rPr>
          <w:rStyle w:val="FootnoteReference"/>
          <w:rFonts w:ascii="Times New Roman" w:hAnsi="Times New Roman"/>
        </w:rPr>
        <w:footnoteRef/>
      </w:r>
      <w:r w:rsidRPr="00FC6EB2">
        <w:rPr>
          <w:rFonts w:ascii="Times New Roman" w:hAnsi="Times New Roman"/>
        </w:rPr>
        <w:t xml:space="preserve"> Coalition quarterly meetings and other events (other than work group meetings, which typically had 2 or 3 coalition/research staff and 5 or 6 coalition members attending) often had 25-40 people attending, but usually representing just 10-20 different organizations plus a few unaffiliated persons.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4361" w14:textId="02E449FC" w:rsidR="00DF5AC1" w:rsidRDefault="00DF5AC1" w:rsidP="00BB288F">
    <w:pPr>
      <w:pStyle w:val="Header"/>
    </w:pPr>
    <w:r>
      <w:rPr>
        <w:rFonts w:ascii="Times New Roman" w:hAnsi="Times New Roman"/>
        <w:sz w:val="24"/>
        <w:szCs w:val="24"/>
      </w:rPr>
      <w:t>ORGANIZATIONAL NETWORKS &amp; YVP STRATEGIES</w:t>
    </w:r>
    <w:r w:rsidRPr="00BB288F">
      <w:rPr>
        <w:rFonts w:ascii="Times New Roman" w:hAnsi="Times New Roman"/>
        <w:sz w:val="24"/>
        <w:szCs w:val="24"/>
      </w:rPr>
      <w:tab/>
    </w:r>
    <w:r>
      <w:fldChar w:fldCharType="begin"/>
    </w:r>
    <w:r>
      <w:instrText xml:space="preserve"> PAGE   \* MERGEFORMAT </w:instrText>
    </w:r>
    <w:r>
      <w:fldChar w:fldCharType="separate"/>
    </w:r>
    <w:r w:rsidRPr="009B1647">
      <w:rPr>
        <w:rFonts w:ascii="Times New Roman" w:hAnsi="Times New Roman"/>
        <w:noProof/>
        <w:sz w:val="24"/>
        <w:szCs w:val="24"/>
      </w:rPr>
      <w:t>11</w:t>
    </w:r>
    <w:r>
      <w:rPr>
        <w:rFonts w:ascii="Times New Roman" w:hAnsi="Times New Roman"/>
        <w:noProof/>
        <w:sz w:val="24"/>
        <w:szCs w:val="24"/>
      </w:rPr>
      <w:fldChar w:fldCharType="end"/>
    </w:r>
  </w:p>
  <w:p w14:paraId="3CFDB4C2" w14:textId="77777777" w:rsidR="00DF5AC1" w:rsidRDefault="00DF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0C57" w14:textId="77777777" w:rsidR="00DF5AC1" w:rsidRPr="00BB288F" w:rsidRDefault="00DF5AC1" w:rsidP="00BB288F">
    <w:pPr>
      <w:pStyle w:val="Header"/>
      <w:rPr>
        <w:rFonts w:ascii="Times New Roman" w:hAnsi="Times New Roman"/>
        <w:sz w:val="24"/>
        <w:szCs w:val="24"/>
      </w:rPr>
    </w:pPr>
    <w:r>
      <w:rPr>
        <w:rFonts w:ascii="Times New Roman" w:hAnsi="Times New Roman"/>
        <w:sz w:val="24"/>
        <w:szCs w:val="24"/>
      </w:rPr>
      <w:t>Running head: ORGANIZATIONAL NETWORKS &amp; YVP STRATEGIES</w:t>
    </w:r>
    <w:r>
      <w:rPr>
        <w:rFonts w:ascii="Times New Roman" w:hAnsi="Times New Roman"/>
        <w:sz w:val="24"/>
        <w:szCs w:val="24"/>
      </w:rPr>
      <w:tab/>
    </w:r>
    <w:r>
      <w:fldChar w:fldCharType="begin"/>
    </w:r>
    <w:r>
      <w:instrText xml:space="preserve"> PAGE   \* MERGEFORMAT </w:instrText>
    </w:r>
    <w:r>
      <w:fldChar w:fldCharType="separate"/>
    </w:r>
    <w:r w:rsidRPr="009B1647">
      <w:rPr>
        <w:rFonts w:ascii="Times New Roman" w:hAnsi="Times New Roman"/>
        <w:noProof/>
        <w:sz w:val="24"/>
        <w:szCs w:val="24"/>
      </w:rPr>
      <w:t>2</w:t>
    </w:r>
    <w:r>
      <w:rPr>
        <w:rFonts w:ascii="Times New Roman" w:hAnsi="Times New Roman"/>
        <w:noProof/>
        <w:sz w:val="24"/>
        <w:szCs w:val="24"/>
      </w:rPr>
      <w:fldChar w:fldCharType="end"/>
    </w:r>
  </w:p>
  <w:p w14:paraId="24D33FBF" w14:textId="77777777" w:rsidR="00DF5AC1" w:rsidRPr="00BB288F" w:rsidRDefault="00DF5AC1">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6C06"/>
    <w:multiLevelType w:val="hybridMultilevel"/>
    <w:tmpl w:val="558C6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9483C"/>
    <w:multiLevelType w:val="hybridMultilevel"/>
    <w:tmpl w:val="9452B45E"/>
    <w:lvl w:ilvl="0" w:tplc="90FEFB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1213F65"/>
    <w:multiLevelType w:val="multilevel"/>
    <w:tmpl w:val="B17090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79E10C62"/>
    <w:multiLevelType w:val="multilevel"/>
    <w:tmpl w:val="63122D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num>
  <w:num w:numId="2">
    <w:abstractNumId w:val="2"/>
    <w:lvlOverride w:ilvl="0"/>
    <w:lvlOverride w:ilvl="1">
      <w:startOverride w:val="1"/>
    </w:lvlOverride>
  </w:num>
  <w:num w:numId="3">
    <w:abstractNumId w:val="2"/>
    <w:lvlOverride w:ilvl="0"/>
    <w:lvlOverride w:ilvl="1">
      <w:startOverride w:val="2"/>
    </w:lvlOverride>
  </w:num>
  <w:num w:numId="4">
    <w:abstractNumId w:val="2"/>
    <w:lvlOverride w:ilvl="0"/>
    <w:lvlOverride w:ilvl="1">
      <w:startOverride w:val="3"/>
    </w:lvlOverride>
  </w:num>
  <w:num w:numId="5">
    <w:abstractNumId w:val="2"/>
    <w:lvlOverride w:ilvl="0"/>
    <w:lvlOverride w:ilvl="1"/>
    <w:lvlOverride w:ilvl="2">
      <w:startOverride w:val="1"/>
    </w:lvlOverride>
  </w:num>
  <w:num w:numId="6">
    <w:abstractNumId w:val="2"/>
    <w:lvlOverride w:ilvl="0"/>
    <w:lvlOverride w:ilvl="1"/>
    <w:lvlOverride w:ilvl="2">
      <w:startOverride w:val="2"/>
    </w:lvlOverride>
  </w:num>
  <w:num w:numId="7">
    <w:abstractNumId w:val="2"/>
    <w:lvlOverride w:ilvl="0"/>
    <w:lvlOverride w:ilvl="1"/>
    <w:lvlOverride w:ilvl="2">
      <w:startOverride w:val="3"/>
    </w:lvlOverride>
  </w:num>
  <w:num w:numId="8">
    <w:abstractNumId w:val="2"/>
    <w:lvlOverride w:ilvl="0"/>
    <w:lvlOverride w:ilvl="1">
      <w:startOverride w:val="4"/>
    </w:lvlOverride>
    <w:lvlOverride w:ilvl="2"/>
  </w:num>
  <w:num w:numId="9">
    <w:abstractNumId w:val="3"/>
    <w:lvlOverride w:ilvl="0">
      <w:startOverride w:val="1"/>
    </w:lvlOverride>
  </w:num>
  <w:num w:numId="10">
    <w:abstractNumId w:val="3"/>
    <w:lvlOverride w:ilvl="0"/>
    <w:lvlOverride w:ilvl="1">
      <w:startOverride w:val="1"/>
    </w:lvlOverride>
  </w:num>
  <w:num w:numId="11">
    <w:abstractNumId w:val="3"/>
    <w:lvlOverride w:ilvl="0"/>
    <w:lvlOverride w:ilvl="1"/>
    <w:lvlOverride w:ilvl="2">
      <w:startOverride w:val="1"/>
    </w:lvlOverride>
  </w:num>
  <w:num w:numId="12">
    <w:abstractNumId w:val="3"/>
    <w:lvlOverride w:ilvl="0"/>
    <w:lvlOverride w:ilvl="1"/>
    <w:lvlOverride w:ilvl="2">
      <w:startOverride w:val="2"/>
    </w:lvlOverride>
  </w:num>
  <w:num w:numId="13">
    <w:abstractNumId w:val="3"/>
    <w:lvlOverride w:ilvl="0"/>
    <w:lvlOverride w:ilvl="1"/>
    <w:lvlOverride w:ilvl="2">
      <w:startOverride w:val="3"/>
    </w:lvlOverride>
  </w:num>
  <w:num w:numId="14">
    <w:abstractNumId w:val="3"/>
    <w:lvlOverride w:ilvl="0"/>
    <w:lvlOverride w:ilvl="1">
      <w:startOverride w:val="2"/>
    </w:lvlOverride>
    <w:lvlOverride w:ilvl="2"/>
  </w:num>
  <w:num w:numId="15">
    <w:abstractNumId w:val="3"/>
    <w:lvlOverride w:ilvl="0"/>
    <w:lvlOverride w:ilvl="1">
      <w:startOverride w:val="3"/>
    </w:lvlOverride>
    <w:lvlOverride w:ilvl="2"/>
  </w:num>
  <w:num w:numId="16">
    <w:abstractNumId w:val="3"/>
    <w:lvlOverride w:ilvl="0"/>
    <w:lvlOverride w:ilvl="1">
      <w:startOverride w:val="4"/>
    </w:lvlOverride>
    <w:lvlOverride w:ilvl="2"/>
  </w:num>
  <w:num w:numId="17">
    <w:abstractNumId w:val="3"/>
    <w:lvlOverride w:ilvl="0"/>
    <w:lvlOverride w:ilvl="1"/>
    <w:lvlOverride w:ilvl="2">
      <w:startOverride w:val="1"/>
    </w:lvlOverride>
  </w:num>
  <w:num w:numId="18">
    <w:abstractNumId w:val="3"/>
    <w:lvlOverride w:ilvl="0"/>
    <w:lvlOverride w:ilvl="1"/>
    <w:lvlOverride w:ilvl="2"/>
    <w:lvlOverride w:ilvl="3">
      <w:startOverride w:val="1"/>
    </w:lvlOverride>
  </w:num>
  <w:num w:numId="19">
    <w:abstractNumId w:val="3"/>
    <w:lvlOverride w:ilvl="0"/>
    <w:lvlOverride w:ilvl="1"/>
    <w:lvlOverride w:ilvl="2"/>
    <w:lvlOverride w:ilvl="3">
      <w:startOverride w:val="2"/>
    </w:lvlOverride>
  </w:num>
  <w:num w:numId="20">
    <w:abstractNumId w:val="3"/>
    <w:lvlOverride w:ilvl="0"/>
    <w:lvlOverride w:ilvl="1"/>
    <w:lvlOverride w:ilvl="2"/>
    <w:lvlOverride w:ilvl="3"/>
    <w:lvlOverride w:ilvl="4">
      <w:startOverride w:val="1"/>
    </w:lvlOverride>
  </w:num>
  <w:num w:numId="21">
    <w:abstractNumId w:val="3"/>
    <w:lvlOverride w:ilvl="0"/>
    <w:lvlOverride w:ilvl="1"/>
    <w:lvlOverride w:ilvl="2">
      <w:startOverride w:val="2"/>
    </w:lvlOverride>
    <w:lvlOverride w:ilvl="3"/>
    <w:lvlOverride w:ilvl="4"/>
  </w:num>
  <w:num w:numId="22">
    <w:abstractNumId w:val="3"/>
    <w:lvlOverride w:ilvl="0"/>
    <w:lvlOverride w:ilvl="1"/>
    <w:lvlOverride w:ilvl="2"/>
    <w:lvlOverride w:ilvl="3">
      <w:startOverride w:val="1"/>
    </w:lvlOverride>
    <w:lvlOverride w:ilvl="4"/>
  </w:num>
  <w:num w:numId="23">
    <w:abstractNumId w:val="3"/>
    <w:lvlOverride w:ilvl="0"/>
    <w:lvlOverride w:ilvl="1"/>
    <w:lvlOverride w:ilvl="2"/>
    <w:lvlOverride w:ilvl="3"/>
    <w:lvlOverride w:ilvl="4">
      <w:startOverride w:val="1"/>
    </w:lvlOverride>
  </w:num>
  <w:num w:numId="24">
    <w:abstractNumId w:val="3"/>
    <w:lvlOverride w:ilvl="0"/>
    <w:lvlOverride w:ilvl="1"/>
    <w:lvlOverride w:ilvl="2"/>
    <w:lvlOverride w:ilvl="3"/>
    <w:lvlOverride w:ilvl="4"/>
    <w:lvlOverride w:ilvl="5">
      <w:startOverride w:val="1"/>
    </w:lvlOverride>
  </w:num>
  <w:num w:numId="25">
    <w:abstractNumId w:val="3"/>
    <w:lvlOverride w:ilvl="0"/>
    <w:lvlOverride w:ilvl="1"/>
    <w:lvlOverride w:ilvl="2"/>
    <w:lvlOverride w:ilvl="3">
      <w:startOverride w:val="2"/>
    </w:lvlOverride>
    <w:lvlOverride w:ilvl="4"/>
    <w:lvlOverride w:ilvl="5"/>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6D"/>
    <w:rsid w:val="00000645"/>
    <w:rsid w:val="000008ED"/>
    <w:rsid w:val="00001431"/>
    <w:rsid w:val="00002BBF"/>
    <w:rsid w:val="00002FD4"/>
    <w:rsid w:val="00003279"/>
    <w:rsid w:val="0000424B"/>
    <w:rsid w:val="0000677C"/>
    <w:rsid w:val="00006B8E"/>
    <w:rsid w:val="000070BE"/>
    <w:rsid w:val="00010DE4"/>
    <w:rsid w:val="000127B2"/>
    <w:rsid w:val="0001364E"/>
    <w:rsid w:val="000141F6"/>
    <w:rsid w:val="00014E78"/>
    <w:rsid w:val="00017E3C"/>
    <w:rsid w:val="00022277"/>
    <w:rsid w:val="000248AC"/>
    <w:rsid w:val="000260B8"/>
    <w:rsid w:val="00027E9B"/>
    <w:rsid w:val="000306C1"/>
    <w:rsid w:val="00031618"/>
    <w:rsid w:val="00032F16"/>
    <w:rsid w:val="00034BC6"/>
    <w:rsid w:val="00035FF0"/>
    <w:rsid w:val="0004728A"/>
    <w:rsid w:val="00050F30"/>
    <w:rsid w:val="00052885"/>
    <w:rsid w:val="00064A69"/>
    <w:rsid w:val="00064B42"/>
    <w:rsid w:val="00065043"/>
    <w:rsid w:val="00065F97"/>
    <w:rsid w:val="00072187"/>
    <w:rsid w:val="000739DA"/>
    <w:rsid w:val="00076E2A"/>
    <w:rsid w:val="000770C6"/>
    <w:rsid w:val="000771FC"/>
    <w:rsid w:val="00081EB6"/>
    <w:rsid w:val="0008445C"/>
    <w:rsid w:val="00086C19"/>
    <w:rsid w:val="00086FE6"/>
    <w:rsid w:val="00091CA0"/>
    <w:rsid w:val="00093D98"/>
    <w:rsid w:val="000A060F"/>
    <w:rsid w:val="000A3822"/>
    <w:rsid w:val="000A4B6A"/>
    <w:rsid w:val="000A6900"/>
    <w:rsid w:val="000A717C"/>
    <w:rsid w:val="000B0061"/>
    <w:rsid w:val="000B0D6B"/>
    <w:rsid w:val="000B30E8"/>
    <w:rsid w:val="000B4B1C"/>
    <w:rsid w:val="000B5D98"/>
    <w:rsid w:val="000B712C"/>
    <w:rsid w:val="000C1D8A"/>
    <w:rsid w:val="000C363F"/>
    <w:rsid w:val="000C3FBD"/>
    <w:rsid w:val="000C6558"/>
    <w:rsid w:val="000C65E7"/>
    <w:rsid w:val="000D1806"/>
    <w:rsid w:val="000D2367"/>
    <w:rsid w:val="000D349D"/>
    <w:rsid w:val="000D64EE"/>
    <w:rsid w:val="000E3029"/>
    <w:rsid w:val="000E3894"/>
    <w:rsid w:val="000E4699"/>
    <w:rsid w:val="000E4807"/>
    <w:rsid w:val="000F2BDD"/>
    <w:rsid w:val="000F351C"/>
    <w:rsid w:val="000F57F4"/>
    <w:rsid w:val="000F5844"/>
    <w:rsid w:val="0010069A"/>
    <w:rsid w:val="00100AF8"/>
    <w:rsid w:val="00100D32"/>
    <w:rsid w:val="00103C4D"/>
    <w:rsid w:val="0010426C"/>
    <w:rsid w:val="00104CDB"/>
    <w:rsid w:val="0010550E"/>
    <w:rsid w:val="0010662B"/>
    <w:rsid w:val="00106EDA"/>
    <w:rsid w:val="001114A6"/>
    <w:rsid w:val="00112602"/>
    <w:rsid w:val="00113473"/>
    <w:rsid w:val="00121784"/>
    <w:rsid w:val="00122A72"/>
    <w:rsid w:val="00124EEF"/>
    <w:rsid w:val="001271EF"/>
    <w:rsid w:val="00127737"/>
    <w:rsid w:val="0013056F"/>
    <w:rsid w:val="00130A00"/>
    <w:rsid w:val="00130B30"/>
    <w:rsid w:val="00130E11"/>
    <w:rsid w:val="00134942"/>
    <w:rsid w:val="00134CFF"/>
    <w:rsid w:val="00136A36"/>
    <w:rsid w:val="0013735E"/>
    <w:rsid w:val="00141BFA"/>
    <w:rsid w:val="0014472A"/>
    <w:rsid w:val="00147B9D"/>
    <w:rsid w:val="00150222"/>
    <w:rsid w:val="0015094F"/>
    <w:rsid w:val="001513EB"/>
    <w:rsid w:val="0015202F"/>
    <w:rsid w:val="00153BA6"/>
    <w:rsid w:val="0015564A"/>
    <w:rsid w:val="00157139"/>
    <w:rsid w:val="00164D6B"/>
    <w:rsid w:val="00165F66"/>
    <w:rsid w:val="001660B3"/>
    <w:rsid w:val="0016612C"/>
    <w:rsid w:val="00166ED6"/>
    <w:rsid w:val="00167132"/>
    <w:rsid w:val="001733FB"/>
    <w:rsid w:val="00173507"/>
    <w:rsid w:val="00174B88"/>
    <w:rsid w:val="00175698"/>
    <w:rsid w:val="00180FB6"/>
    <w:rsid w:val="00181ABF"/>
    <w:rsid w:val="00185CED"/>
    <w:rsid w:val="00187200"/>
    <w:rsid w:val="00192FAD"/>
    <w:rsid w:val="001933FD"/>
    <w:rsid w:val="0019454A"/>
    <w:rsid w:val="00194CC3"/>
    <w:rsid w:val="00195C25"/>
    <w:rsid w:val="001A0A55"/>
    <w:rsid w:val="001A278A"/>
    <w:rsid w:val="001A45BD"/>
    <w:rsid w:val="001B1157"/>
    <w:rsid w:val="001B29F0"/>
    <w:rsid w:val="001B2FB8"/>
    <w:rsid w:val="001B36EA"/>
    <w:rsid w:val="001B6010"/>
    <w:rsid w:val="001B6AAE"/>
    <w:rsid w:val="001C22F6"/>
    <w:rsid w:val="001C2F43"/>
    <w:rsid w:val="001C4AB9"/>
    <w:rsid w:val="001C5B96"/>
    <w:rsid w:val="001C5D3A"/>
    <w:rsid w:val="001D09BC"/>
    <w:rsid w:val="001D1F58"/>
    <w:rsid w:val="001D2E43"/>
    <w:rsid w:val="001D2ECF"/>
    <w:rsid w:val="001D30C5"/>
    <w:rsid w:val="001D3DB6"/>
    <w:rsid w:val="001D5B3F"/>
    <w:rsid w:val="001E6C21"/>
    <w:rsid w:val="001F1495"/>
    <w:rsid w:val="001F169F"/>
    <w:rsid w:val="001F2666"/>
    <w:rsid w:val="001F3607"/>
    <w:rsid w:val="001F5DC6"/>
    <w:rsid w:val="001F693C"/>
    <w:rsid w:val="001F761A"/>
    <w:rsid w:val="00200AF0"/>
    <w:rsid w:val="00200F4A"/>
    <w:rsid w:val="00206FCB"/>
    <w:rsid w:val="00207915"/>
    <w:rsid w:val="002117A5"/>
    <w:rsid w:val="00213FA1"/>
    <w:rsid w:val="00215173"/>
    <w:rsid w:val="002206AF"/>
    <w:rsid w:val="002211D8"/>
    <w:rsid w:val="00221468"/>
    <w:rsid w:val="0022424F"/>
    <w:rsid w:val="00224D92"/>
    <w:rsid w:val="002259A8"/>
    <w:rsid w:val="00226DAD"/>
    <w:rsid w:val="00231DA6"/>
    <w:rsid w:val="002326B8"/>
    <w:rsid w:val="00234931"/>
    <w:rsid w:val="0024044C"/>
    <w:rsid w:val="00241649"/>
    <w:rsid w:val="00241B82"/>
    <w:rsid w:val="002423A3"/>
    <w:rsid w:val="0024351C"/>
    <w:rsid w:val="00252734"/>
    <w:rsid w:val="0025410B"/>
    <w:rsid w:val="00254A92"/>
    <w:rsid w:val="002557AB"/>
    <w:rsid w:val="002667B3"/>
    <w:rsid w:val="00270680"/>
    <w:rsid w:val="0027149A"/>
    <w:rsid w:val="002741A0"/>
    <w:rsid w:val="002812F8"/>
    <w:rsid w:val="00281CD4"/>
    <w:rsid w:val="00290A06"/>
    <w:rsid w:val="0029109D"/>
    <w:rsid w:val="002924D6"/>
    <w:rsid w:val="00292922"/>
    <w:rsid w:val="0029292F"/>
    <w:rsid w:val="0029429E"/>
    <w:rsid w:val="00294388"/>
    <w:rsid w:val="00295C2F"/>
    <w:rsid w:val="00295C63"/>
    <w:rsid w:val="00296B2B"/>
    <w:rsid w:val="00297B51"/>
    <w:rsid w:val="002A0BBD"/>
    <w:rsid w:val="002A2238"/>
    <w:rsid w:val="002A7790"/>
    <w:rsid w:val="002B126B"/>
    <w:rsid w:val="002B2597"/>
    <w:rsid w:val="002B33CF"/>
    <w:rsid w:val="002B46CB"/>
    <w:rsid w:val="002C216A"/>
    <w:rsid w:val="002C294F"/>
    <w:rsid w:val="002C3C65"/>
    <w:rsid w:val="002C557C"/>
    <w:rsid w:val="002C6443"/>
    <w:rsid w:val="002C6F2F"/>
    <w:rsid w:val="002D1B7B"/>
    <w:rsid w:val="002D5497"/>
    <w:rsid w:val="002D5D2C"/>
    <w:rsid w:val="002D6CF1"/>
    <w:rsid w:val="002E0979"/>
    <w:rsid w:val="002E0EC9"/>
    <w:rsid w:val="002E15E2"/>
    <w:rsid w:val="002E2D6B"/>
    <w:rsid w:val="002E6E22"/>
    <w:rsid w:val="002E7656"/>
    <w:rsid w:val="002F0394"/>
    <w:rsid w:val="002F13B5"/>
    <w:rsid w:val="002F3C4A"/>
    <w:rsid w:val="002F4160"/>
    <w:rsid w:val="002F63BD"/>
    <w:rsid w:val="002F7399"/>
    <w:rsid w:val="002F7769"/>
    <w:rsid w:val="002F7C24"/>
    <w:rsid w:val="00301C2F"/>
    <w:rsid w:val="003023F1"/>
    <w:rsid w:val="00302486"/>
    <w:rsid w:val="00302F36"/>
    <w:rsid w:val="00304F2F"/>
    <w:rsid w:val="00306F81"/>
    <w:rsid w:val="00307109"/>
    <w:rsid w:val="00310EDA"/>
    <w:rsid w:val="00312FCC"/>
    <w:rsid w:val="00314C4B"/>
    <w:rsid w:val="00315C7B"/>
    <w:rsid w:val="00316DDF"/>
    <w:rsid w:val="00323125"/>
    <w:rsid w:val="00324FF9"/>
    <w:rsid w:val="00326C6F"/>
    <w:rsid w:val="0032738F"/>
    <w:rsid w:val="00327710"/>
    <w:rsid w:val="0033027F"/>
    <w:rsid w:val="00330CC4"/>
    <w:rsid w:val="0033111C"/>
    <w:rsid w:val="00331E4F"/>
    <w:rsid w:val="0033236E"/>
    <w:rsid w:val="00343D1A"/>
    <w:rsid w:val="003454E6"/>
    <w:rsid w:val="003465C9"/>
    <w:rsid w:val="00350D4B"/>
    <w:rsid w:val="00353607"/>
    <w:rsid w:val="003544D6"/>
    <w:rsid w:val="00356071"/>
    <w:rsid w:val="0035624C"/>
    <w:rsid w:val="00362489"/>
    <w:rsid w:val="00363A88"/>
    <w:rsid w:val="0036546E"/>
    <w:rsid w:val="003669CE"/>
    <w:rsid w:val="00367A48"/>
    <w:rsid w:val="00370358"/>
    <w:rsid w:val="00373DC6"/>
    <w:rsid w:val="00374294"/>
    <w:rsid w:val="00375065"/>
    <w:rsid w:val="0037636D"/>
    <w:rsid w:val="0037672D"/>
    <w:rsid w:val="00387911"/>
    <w:rsid w:val="00390645"/>
    <w:rsid w:val="00394D3A"/>
    <w:rsid w:val="0039503D"/>
    <w:rsid w:val="00396857"/>
    <w:rsid w:val="00397490"/>
    <w:rsid w:val="003A0BB8"/>
    <w:rsid w:val="003A44D3"/>
    <w:rsid w:val="003A46A0"/>
    <w:rsid w:val="003A4B1F"/>
    <w:rsid w:val="003A6BBF"/>
    <w:rsid w:val="003B1416"/>
    <w:rsid w:val="003B2E89"/>
    <w:rsid w:val="003B4C83"/>
    <w:rsid w:val="003B57EC"/>
    <w:rsid w:val="003C0907"/>
    <w:rsid w:val="003C2780"/>
    <w:rsid w:val="003C337A"/>
    <w:rsid w:val="003C5204"/>
    <w:rsid w:val="003C7A7D"/>
    <w:rsid w:val="003D161C"/>
    <w:rsid w:val="003D4D5B"/>
    <w:rsid w:val="003D5BC4"/>
    <w:rsid w:val="003D5D24"/>
    <w:rsid w:val="003D6B80"/>
    <w:rsid w:val="003E0D06"/>
    <w:rsid w:val="003E1B89"/>
    <w:rsid w:val="003E1E46"/>
    <w:rsid w:val="003E356B"/>
    <w:rsid w:val="003E48A3"/>
    <w:rsid w:val="003E5309"/>
    <w:rsid w:val="003F0464"/>
    <w:rsid w:val="003F118A"/>
    <w:rsid w:val="003F18F7"/>
    <w:rsid w:val="003F2BB0"/>
    <w:rsid w:val="003F416F"/>
    <w:rsid w:val="003F4B2E"/>
    <w:rsid w:val="003F787F"/>
    <w:rsid w:val="004028E4"/>
    <w:rsid w:val="00402EB9"/>
    <w:rsid w:val="00403095"/>
    <w:rsid w:val="00405077"/>
    <w:rsid w:val="00406557"/>
    <w:rsid w:val="00407112"/>
    <w:rsid w:val="00411062"/>
    <w:rsid w:val="0041525A"/>
    <w:rsid w:val="00415E8A"/>
    <w:rsid w:val="0041697F"/>
    <w:rsid w:val="0042095C"/>
    <w:rsid w:val="0042107A"/>
    <w:rsid w:val="004239E3"/>
    <w:rsid w:val="00425DFE"/>
    <w:rsid w:val="004269A8"/>
    <w:rsid w:val="004316A5"/>
    <w:rsid w:val="00431A2F"/>
    <w:rsid w:val="00431FA9"/>
    <w:rsid w:val="004326C7"/>
    <w:rsid w:val="0043408D"/>
    <w:rsid w:val="004342CE"/>
    <w:rsid w:val="0043469A"/>
    <w:rsid w:val="00435406"/>
    <w:rsid w:val="00435DCD"/>
    <w:rsid w:val="00436A0C"/>
    <w:rsid w:val="00437465"/>
    <w:rsid w:val="00444B6B"/>
    <w:rsid w:val="00446065"/>
    <w:rsid w:val="004465AE"/>
    <w:rsid w:val="00450655"/>
    <w:rsid w:val="00451F7C"/>
    <w:rsid w:val="00453040"/>
    <w:rsid w:val="00453BDE"/>
    <w:rsid w:val="00453DEE"/>
    <w:rsid w:val="00454990"/>
    <w:rsid w:val="004549E2"/>
    <w:rsid w:val="004556C2"/>
    <w:rsid w:val="004569E7"/>
    <w:rsid w:val="004621EF"/>
    <w:rsid w:val="00462771"/>
    <w:rsid w:val="004634CB"/>
    <w:rsid w:val="00463DA2"/>
    <w:rsid w:val="00465246"/>
    <w:rsid w:val="00465B56"/>
    <w:rsid w:val="004741D0"/>
    <w:rsid w:val="00474CF4"/>
    <w:rsid w:val="004774AD"/>
    <w:rsid w:val="00482A8B"/>
    <w:rsid w:val="00490BEC"/>
    <w:rsid w:val="00491B4E"/>
    <w:rsid w:val="00493633"/>
    <w:rsid w:val="00495313"/>
    <w:rsid w:val="00496642"/>
    <w:rsid w:val="00497DB6"/>
    <w:rsid w:val="004A374E"/>
    <w:rsid w:val="004A4137"/>
    <w:rsid w:val="004A43E1"/>
    <w:rsid w:val="004A6E98"/>
    <w:rsid w:val="004B0631"/>
    <w:rsid w:val="004B1262"/>
    <w:rsid w:val="004B3CF1"/>
    <w:rsid w:val="004B4C60"/>
    <w:rsid w:val="004C00A7"/>
    <w:rsid w:val="004C066E"/>
    <w:rsid w:val="004C4144"/>
    <w:rsid w:val="004C6C19"/>
    <w:rsid w:val="004D312A"/>
    <w:rsid w:val="004D6573"/>
    <w:rsid w:val="004E1B05"/>
    <w:rsid w:val="004E515F"/>
    <w:rsid w:val="004E6CDE"/>
    <w:rsid w:val="004E7BFB"/>
    <w:rsid w:val="004E7E24"/>
    <w:rsid w:val="004F1486"/>
    <w:rsid w:val="004F3033"/>
    <w:rsid w:val="004F422A"/>
    <w:rsid w:val="004F5E6B"/>
    <w:rsid w:val="004F612A"/>
    <w:rsid w:val="004F6488"/>
    <w:rsid w:val="004F79EF"/>
    <w:rsid w:val="0050097D"/>
    <w:rsid w:val="00503F85"/>
    <w:rsid w:val="005041CF"/>
    <w:rsid w:val="005072EF"/>
    <w:rsid w:val="00507E41"/>
    <w:rsid w:val="00510D1B"/>
    <w:rsid w:val="005127A0"/>
    <w:rsid w:val="005134AE"/>
    <w:rsid w:val="005218C5"/>
    <w:rsid w:val="00521F9F"/>
    <w:rsid w:val="0052267E"/>
    <w:rsid w:val="005231E1"/>
    <w:rsid w:val="00523624"/>
    <w:rsid w:val="00524F23"/>
    <w:rsid w:val="005251B2"/>
    <w:rsid w:val="005269D8"/>
    <w:rsid w:val="00526AAD"/>
    <w:rsid w:val="00526AFD"/>
    <w:rsid w:val="00526E4A"/>
    <w:rsid w:val="00530066"/>
    <w:rsid w:val="005311F0"/>
    <w:rsid w:val="005346F4"/>
    <w:rsid w:val="00540F06"/>
    <w:rsid w:val="00542B5C"/>
    <w:rsid w:val="005452F4"/>
    <w:rsid w:val="00545AAF"/>
    <w:rsid w:val="005475FB"/>
    <w:rsid w:val="005502C6"/>
    <w:rsid w:val="005504AB"/>
    <w:rsid w:val="00555259"/>
    <w:rsid w:val="00560753"/>
    <w:rsid w:val="00561D45"/>
    <w:rsid w:val="005627BC"/>
    <w:rsid w:val="00563556"/>
    <w:rsid w:val="00563EDC"/>
    <w:rsid w:val="00564D03"/>
    <w:rsid w:val="00565B69"/>
    <w:rsid w:val="00567012"/>
    <w:rsid w:val="00571223"/>
    <w:rsid w:val="00572FA7"/>
    <w:rsid w:val="00573F2E"/>
    <w:rsid w:val="00575380"/>
    <w:rsid w:val="00576E7D"/>
    <w:rsid w:val="0058294A"/>
    <w:rsid w:val="005834AA"/>
    <w:rsid w:val="005836F2"/>
    <w:rsid w:val="0058456C"/>
    <w:rsid w:val="00585438"/>
    <w:rsid w:val="0059057B"/>
    <w:rsid w:val="00590B17"/>
    <w:rsid w:val="00591705"/>
    <w:rsid w:val="00591EB0"/>
    <w:rsid w:val="0059257E"/>
    <w:rsid w:val="00593902"/>
    <w:rsid w:val="00594191"/>
    <w:rsid w:val="00594447"/>
    <w:rsid w:val="005947B1"/>
    <w:rsid w:val="00595408"/>
    <w:rsid w:val="0059681F"/>
    <w:rsid w:val="005A15E5"/>
    <w:rsid w:val="005A377A"/>
    <w:rsid w:val="005A3DEA"/>
    <w:rsid w:val="005B131F"/>
    <w:rsid w:val="005B2589"/>
    <w:rsid w:val="005B3D2A"/>
    <w:rsid w:val="005B3E31"/>
    <w:rsid w:val="005B4A4F"/>
    <w:rsid w:val="005B4B9C"/>
    <w:rsid w:val="005B5F7D"/>
    <w:rsid w:val="005B7989"/>
    <w:rsid w:val="005C6C9E"/>
    <w:rsid w:val="005C718D"/>
    <w:rsid w:val="005D301F"/>
    <w:rsid w:val="005D3977"/>
    <w:rsid w:val="005D4CA5"/>
    <w:rsid w:val="005D5EEB"/>
    <w:rsid w:val="005D6E30"/>
    <w:rsid w:val="005E512E"/>
    <w:rsid w:val="005E5160"/>
    <w:rsid w:val="00601FCA"/>
    <w:rsid w:val="00602186"/>
    <w:rsid w:val="00602314"/>
    <w:rsid w:val="006041E7"/>
    <w:rsid w:val="00610B8E"/>
    <w:rsid w:val="00611132"/>
    <w:rsid w:val="0061434C"/>
    <w:rsid w:val="00614F97"/>
    <w:rsid w:val="0061766C"/>
    <w:rsid w:val="00617B0B"/>
    <w:rsid w:val="00617BDA"/>
    <w:rsid w:val="00617D45"/>
    <w:rsid w:val="006236B8"/>
    <w:rsid w:val="0062587B"/>
    <w:rsid w:val="00630958"/>
    <w:rsid w:val="006318FE"/>
    <w:rsid w:val="00634CD1"/>
    <w:rsid w:val="00634E43"/>
    <w:rsid w:val="0063605D"/>
    <w:rsid w:val="00636A95"/>
    <w:rsid w:val="006475A9"/>
    <w:rsid w:val="006476E1"/>
    <w:rsid w:val="006477D2"/>
    <w:rsid w:val="00650B59"/>
    <w:rsid w:val="0065162D"/>
    <w:rsid w:val="00652564"/>
    <w:rsid w:val="00655D4D"/>
    <w:rsid w:val="00655EE9"/>
    <w:rsid w:val="0065612F"/>
    <w:rsid w:val="0066382B"/>
    <w:rsid w:val="00663F7D"/>
    <w:rsid w:val="006644EE"/>
    <w:rsid w:val="006646B2"/>
    <w:rsid w:val="00664C95"/>
    <w:rsid w:val="006669EC"/>
    <w:rsid w:val="00667144"/>
    <w:rsid w:val="006700BA"/>
    <w:rsid w:val="00674ED6"/>
    <w:rsid w:val="006768EC"/>
    <w:rsid w:val="006843EC"/>
    <w:rsid w:val="0068580A"/>
    <w:rsid w:val="00686702"/>
    <w:rsid w:val="00686B3E"/>
    <w:rsid w:val="0069058E"/>
    <w:rsid w:val="0069095C"/>
    <w:rsid w:val="0069648C"/>
    <w:rsid w:val="0069702D"/>
    <w:rsid w:val="006979C5"/>
    <w:rsid w:val="006A1E8C"/>
    <w:rsid w:val="006A3749"/>
    <w:rsid w:val="006A3B18"/>
    <w:rsid w:val="006A4EB3"/>
    <w:rsid w:val="006A4ED2"/>
    <w:rsid w:val="006A5226"/>
    <w:rsid w:val="006A6B81"/>
    <w:rsid w:val="006B133A"/>
    <w:rsid w:val="006B1DFB"/>
    <w:rsid w:val="006B2B7F"/>
    <w:rsid w:val="006B3474"/>
    <w:rsid w:val="006B3570"/>
    <w:rsid w:val="006B4635"/>
    <w:rsid w:val="006B46AC"/>
    <w:rsid w:val="006B490F"/>
    <w:rsid w:val="006B4E82"/>
    <w:rsid w:val="006B537B"/>
    <w:rsid w:val="006C03FC"/>
    <w:rsid w:val="006C12AB"/>
    <w:rsid w:val="006C2F36"/>
    <w:rsid w:val="006C4D9F"/>
    <w:rsid w:val="006C51C2"/>
    <w:rsid w:val="006C52D2"/>
    <w:rsid w:val="006D0822"/>
    <w:rsid w:val="006D2801"/>
    <w:rsid w:val="006D57ED"/>
    <w:rsid w:val="006E202E"/>
    <w:rsid w:val="006E5651"/>
    <w:rsid w:val="006E66FC"/>
    <w:rsid w:val="006F0B0B"/>
    <w:rsid w:val="006F0C2D"/>
    <w:rsid w:val="006F0D12"/>
    <w:rsid w:val="006F1CC6"/>
    <w:rsid w:val="006F3A58"/>
    <w:rsid w:val="006F45CF"/>
    <w:rsid w:val="006F5AB5"/>
    <w:rsid w:val="006F5BFB"/>
    <w:rsid w:val="006F5CC9"/>
    <w:rsid w:val="006F7139"/>
    <w:rsid w:val="006F7739"/>
    <w:rsid w:val="0070080D"/>
    <w:rsid w:val="007034B4"/>
    <w:rsid w:val="007048A4"/>
    <w:rsid w:val="00706ACC"/>
    <w:rsid w:val="0071282A"/>
    <w:rsid w:val="0071531B"/>
    <w:rsid w:val="007158DF"/>
    <w:rsid w:val="007173F5"/>
    <w:rsid w:val="00723336"/>
    <w:rsid w:val="0072367E"/>
    <w:rsid w:val="0072491D"/>
    <w:rsid w:val="00725802"/>
    <w:rsid w:val="00725E68"/>
    <w:rsid w:val="007265BE"/>
    <w:rsid w:val="00727E0F"/>
    <w:rsid w:val="0073306C"/>
    <w:rsid w:val="00733643"/>
    <w:rsid w:val="00737F49"/>
    <w:rsid w:val="00743182"/>
    <w:rsid w:val="00743271"/>
    <w:rsid w:val="00744409"/>
    <w:rsid w:val="00752516"/>
    <w:rsid w:val="0075362F"/>
    <w:rsid w:val="0075523B"/>
    <w:rsid w:val="0075546B"/>
    <w:rsid w:val="00755CF7"/>
    <w:rsid w:val="00756D38"/>
    <w:rsid w:val="0075743B"/>
    <w:rsid w:val="00760FFA"/>
    <w:rsid w:val="00762334"/>
    <w:rsid w:val="00762FB7"/>
    <w:rsid w:val="00763E67"/>
    <w:rsid w:val="00764608"/>
    <w:rsid w:val="00764940"/>
    <w:rsid w:val="00764C56"/>
    <w:rsid w:val="00765EA9"/>
    <w:rsid w:val="00767434"/>
    <w:rsid w:val="00767610"/>
    <w:rsid w:val="0077565D"/>
    <w:rsid w:val="00775B8D"/>
    <w:rsid w:val="00777DB1"/>
    <w:rsid w:val="00786969"/>
    <w:rsid w:val="00787119"/>
    <w:rsid w:val="00787A46"/>
    <w:rsid w:val="00790059"/>
    <w:rsid w:val="00790DA3"/>
    <w:rsid w:val="0079278C"/>
    <w:rsid w:val="00792860"/>
    <w:rsid w:val="007952CA"/>
    <w:rsid w:val="007970A1"/>
    <w:rsid w:val="0079793A"/>
    <w:rsid w:val="007A1215"/>
    <w:rsid w:val="007A5115"/>
    <w:rsid w:val="007B057D"/>
    <w:rsid w:val="007B0DC8"/>
    <w:rsid w:val="007B411E"/>
    <w:rsid w:val="007B4472"/>
    <w:rsid w:val="007B5565"/>
    <w:rsid w:val="007B5D5B"/>
    <w:rsid w:val="007B7EF1"/>
    <w:rsid w:val="007C3A99"/>
    <w:rsid w:val="007C5D81"/>
    <w:rsid w:val="007C6326"/>
    <w:rsid w:val="007D19BE"/>
    <w:rsid w:val="007D1D79"/>
    <w:rsid w:val="007D324A"/>
    <w:rsid w:val="007D5315"/>
    <w:rsid w:val="007D75C8"/>
    <w:rsid w:val="007E0EDB"/>
    <w:rsid w:val="007E1F9F"/>
    <w:rsid w:val="007E2455"/>
    <w:rsid w:val="007E7BE0"/>
    <w:rsid w:val="007F2DDE"/>
    <w:rsid w:val="007F5CDF"/>
    <w:rsid w:val="007F7343"/>
    <w:rsid w:val="00802D25"/>
    <w:rsid w:val="00812717"/>
    <w:rsid w:val="00813C4D"/>
    <w:rsid w:val="00814378"/>
    <w:rsid w:val="00814D85"/>
    <w:rsid w:val="008211BC"/>
    <w:rsid w:val="0082241B"/>
    <w:rsid w:val="008249CC"/>
    <w:rsid w:val="0082520D"/>
    <w:rsid w:val="00825EE4"/>
    <w:rsid w:val="00830411"/>
    <w:rsid w:val="00832351"/>
    <w:rsid w:val="00832907"/>
    <w:rsid w:val="00832A6B"/>
    <w:rsid w:val="00835117"/>
    <w:rsid w:val="00835B4C"/>
    <w:rsid w:val="00837677"/>
    <w:rsid w:val="008419B6"/>
    <w:rsid w:val="00845F99"/>
    <w:rsid w:val="00847800"/>
    <w:rsid w:val="008513F7"/>
    <w:rsid w:val="00851D2C"/>
    <w:rsid w:val="00854E89"/>
    <w:rsid w:val="00860112"/>
    <w:rsid w:val="00860C15"/>
    <w:rsid w:val="00860E60"/>
    <w:rsid w:val="00864B87"/>
    <w:rsid w:val="0086516E"/>
    <w:rsid w:val="008720B3"/>
    <w:rsid w:val="00874C70"/>
    <w:rsid w:val="00875870"/>
    <w:rsid w:val="00877954"/>
    <w:rsid w:val="00884497"/>
    <w:rsid w:val="00884905"/>
    <w:rsid w:val="00885BC4"/>
    <w:rsid w:val="0089000F"/>
    <w:rsid w:val="008900FC"/>
    <w:rsid w:val="008913DF"/>
    <w:rsid w:val="00892628"/>
    <w:rsid w:val="00892BBD"/>
    <w:rsid w:val="00893846"/>
    <w:rsid w:val="00895E47"/>
    <w:rsid w:val="00895FFE"/>
    <w:rsid w:val="008979F0"/>
    <w:rsid w:val="00897DCB"/>
    <w:rsid w:val="008A0199"/>
    <w:rsid w:val="008A04EC"/>
    <w:rsid w:val="008A0707"/>
    <w:rsid w:val="008A34E1"/>
    <w:rsid w:val="008A3888"/>
    <w:rsid w:val="008A3F41"/>
    <w:rsid w:val="008A5090"/>
    <w:rsid w:val="008B1067"/>
    <w:rsid w:val="008B10B3"/>
    <w:rsid w:val="008B30B5"/>
    <w:rsid w:val="008B68D6"/>
    <w:rsid w:val="008B73FF"/>
    <w:rsid w:val="008C1885"/>
    <w:rsid w:val="008C2861"/>
    <w:rsid w:val="008C5286"/>
    <w:rsid w:val="008C52E4"/>
    <w:rsid w:val="008C6DE4"/>
    <w:rsid w:val="008D1EFE"/>
    <w:rsid w:val="008D2BC0"/>
    <w:rsid w:val="008D726C"/>
    <w:rsid w:val="008E1D3C"/>
    <w:rsid w:val="008E3C65"/>
    <w:rsid w:val="008E53CA"/>
    <w:rsid w:val="008E5A08"/>
    <w:rsid w:val="008E68F9"/>
    <w:rsid w:val="008F1624"/>
    <w:rsid w:val="008F2C44"/>
    <w:rsid w:val="008F3EE3"/>
    <w:rsid w:val="008F3FAB"/>
    <w:rsid w:val="008F5E51"/>
    <w:rsid w:val="008F61FA"/>
    <w:rsid w:val="008F6CE7"/>
    <w:rsid w:val="00901132"/>
    <w:rsid w:val="00901302"/>
    <w:rsid w:val="009024D2"/>
    <w:rsid w:val="00903BF3"/>
    <w:rsid w:val="00903EF0"/>
    <w:rsid w:val="009054B7"/>
    <w:rsid w:val="0090556D"/>
    <w:rsid w:val="00907899"/>
    <w:rsid w:val="00910A65"/>
    <w:rsid w:val="00911EC0"/>
    <w:rsid w:val="00912197"/>
    <w:rsid w:val="00913BD2"/>
    <w:rsid w:val="0091442E"/>
    <w:rsid w:val="0091486D"/>
    <w:rsid w:val="0092036E"/>
    <w:rsid w:val="00922691"/>
    <w:rsid w:val="0092472E"/>
    <w:rsid w:val="00924D6B"/>
    <w:rsid w:val="00925143"/>
    <w:rsid w:val="00925B43"/>
    <w:rsid w:val="009262D2"/>
    <w:rsid w:val="0093081A"/>
    <w:rsid w:val="00930A2F"/>
    <w:rsid w:val="00930C1C"/>
    <w:rsid w:val="0093180E"/>
    <w:rsid w:val="00934349"/>
    <w:rsid w:val="009363E2"/>
    <w:rsid w:val="009366A0"/>
    <w:rsid w:val="00940436"/>
    <w:rsid w:val="00945215"/>
    <w:rsid w:val="00946CD7"/>
    <w:rsid w:val="009502C9"/>
    <w:rsid w:val="009507A2"/>
    <w:rsid w:val="00953B23"/>
    <w:rsid w:val="00956378"/>
    <w:rsid w:val="009608FB"/>
    <w:rsid w:val="00962E7C"/>
    <w:rsid w:val="00963936"/>
    <w:rsid w:val="00963D2B"/>
    <w:rsid w:val="009650C8"/>
    <w:rsid w:val="00967508"/>
    <w:rsid w:val="00967F4B"/>
    <w:rsid w:val="009761C0"/>
    <w:rsid w:val="00976EEA"/>
    <w:rsid w:val="00980938"/>
    <w:rsid w:val="00980F98"/>
    <w:rsid w:val="00986F0B"/>
    <w:rsid w:val="009876E2"/>
    <w:rsid w:val="009A0073"/>
    <w:rsid w:val="009A0763"/>
    <w:rsid w:val="009A1378"/>
    <w:rsid w:val="009A42BB"/>
    <w:rsid w:val="009A458B"/>
    <w:rsid w:val="009A662E"/>
    <w:rsid w:val="009B0D0E"/>
    <w:rsid w:val="009B1647"/>
    <w:rsid w:val="009B3306"/>
    <w:rsid w:val="009B5A06"/>
    <w:rsid w:val="009B7162"/>
    <w:rsid w:val="009C03E7"/>
    <w:rsid w:val="009C1C37"/>
    <w:rsid w:val="009C2584"/>
    <w:rsid w:val="009C5105"/>
    <w:rsid w:val="009C6223"/>
    <w:rsid w:val="009C67EA"/>
    <w:rsid w:val="009C7FD1"/>
    <w:rsid w:val="009D04E7"/>
    <w:rsid w:val="009D307A"/>
    <w:rsid w:val="009D37D3"/>
    <w:rsid w:val="009D4235"/>
    <w:rsid w:val="009D5979"/>
    <w:rsid w:val="009D6764"/>
    <w:rsid w:val="009D7C80"/>
    <w:rsid w:val="009E0DE2"/>
    <w:rsid w:val="009E14B0"/>
    <w:rsid w:val="009E1640"/>
    <w:rsid w:val="009E18C2"/>
    <w:rsid w:val="009E325D"/>
    <w:rsid w:val="009E3978"/>
    <w:rsid w:val="009E5E13"/>
    <w:rsid w:val="009E61A8"/>
    <w:rsid w:val="009E6B94"/>
    <w:rsid w:val="009F0F05"/>
    <w:rsid w:val="009F661F"/>
    <w:rsid w:val="009F7444"/>
    <w:rsid w:val="009F7752"/>
    <w:rsid w:val="00A01FEF"/>
    <w:rsid w:val="00A02B67"/>
    <w:rsid w:val="00A03218"/>
    <w:rsid w:val="00A03618"/>
    <w:rsid w:val="00A041DB"/>
    <w:rsid w:val="00A04F91"/>
    <w:rsid w:val="00A056DC"/>
    <w:rsid w:val="00A07692"/>
    <w:rsid w:val="00A07C7E"/>
    <w:rsid w:val="00A1064A"/>
    <w:rsid w:val="00A15555"/>
    <w:rsid w:val="00A15A8B"/>
    <w:rsid w:val="00A2223B"/>
    <w:rsid w:val="00A2254A"/>
    <w:rsid w:val="00A24729"/>
    <w:rsid w:val="00A26DA1"/>
    <w:rsid w:val="00A3017E"/>
    <w:rsid w:val="00A326D8"/>
    <w:rsid w:val="00A33D34"/>
    <w:rsid w:val="00A33E06"/>
    <w:rsid w:val="00A3572B"/>
    <w:rsid w:val="00A37BF3"/>
    <w:rsid w:val="00A4047F"/>
    <w:rsid w:val="00A445AA"/>
    <w:rsid w:val="00A4680C"/>
    <w:rsid w:val="00A47EA9"/>
    <w:rsid w:val="00A47FCC"/>
    <w:rsid w:val="00A504B5"/>
    <w:rsid w:val="00A50F5A"/>
    <w:rsid w:val="00A51992"/>
    <w:rsid w:val="00A52038"/>
    <w:rsid w:val="00A522D3"/>
    <w:rsid w:val="00A54B0C"/>
    <w:rsid w:val="00A55AAE"/>
    <w:rsid w:val="00A60F18"/>
    <w:rsid w:val="00A626F4"/>
    <w:rsid w:val="00A631F1"/>
    <w:rsid w:val="00A63C5C"/>
    <w:rsid w:val="00A6424D"/>
    <w:rsid w:val="00A71370"/>
    <w:rsid w:val="00A71C58"/>
    <w:rsid w:val="00A72DF3"/>
    <w:rsid w:val="00A72F17"/>
    <w:rsid w:val="00A73169"/>
    <w:rsid w:val="00A73224"/>
    <w:rsid w:val="00A73246"/>
    <w:rsid w:val="00A75985"/>
    <w:rsid w:val="00A761A0"/>
    <w:rsid w:val="00A7662E"/>
    <w:rsid w:val="00A776B7"/>
    <w:rsid w:val="00A77C7F"/>
    <w:rsid w:val="00A83A63"/>
    <w:rsid w:val="00A83CCB"/>
    <w:rsid w:val="00A85560"/>
    <w:rsid w:val="00A8692A"/>
    <w:rsid w:val="00A90857"/>
    <w:rsid w:val="00A915C9"/>
    <w:rsid w:val="00A93825"/>
    <w:rsid w:val="00A96930"/>
    <w:rsid w:val="00AA0C15"/>
    <w:rsid w:val="00AA1BE0"/>
    <w:rsid w:val="00AA2749"/>
    <w:rsid w:val="00AA3739"/>
    <w:rsid w:val="00AA3A70"/>
    <w:rsid w:val="00AA73B5"/>
    <w:rsid w:val="00AA79C7"/>
    <w:rsid w:val="00AB3AF0"/>
    <w:rsid w:val="00AB6545"/>
    <w:rsid w:val="00AB6AF1"/>
    <w:rsid w:val="00AB7A91"/>
    <w:rsid w:val="00AC05B0"/>
    <w:rsid w:val="00AC1D87"/>
    <w:rsid w:val="00AC3C53"/>
    <w:rsid w:val="00AC453D"/>
    <w:rsid w:val="00AC4A69"/>
    <w:rsid w:val="00AC6DF0"/>
    <w:rsid w:val="00AD05EC"/>
    <w:rsid w:val="00AD082A"/>
    <w:rsid w:val="00AD27E4"/>
    <w:rsid w:val="00AD3A9A"/>
    <w:rsid w:val="00AD4FA0"/>
    <w:rsid w:val="00AD66C2"/>
    <w:rsid w:val="00AD69DD"/>
    <w:rsid w:val="00AD7040"/>
    <w:rsid w:val="00AE1CAC"/>
    <w:rsid w:val="00AE42A7"/>
    <w:rsid w:val="00AE6257"/>
    <w:rsid w:val="00AE73EB"/>
    <w:rsid w:val="00AE7BFE"/>
    <w:rsid w:val="00AF2BEB"/>
    <w:rsid w:val="00AF39F1"/>
    <w:rsid w:val="00AF4FF4"/>
    <w:rsid w:val="00AF50E0"/>
    <w:rsid w:val="00AF5740"/>
    <w:rsid w:val="00B00C56"/>
    <w:rsid w:val="00B01746"/>
    <w:rsid w:val="00B01919"/>
    <w:rsid w:val="00B0666B"/>
    <w:rsid w:val="00B11A28"/>
    <w:rsid w:val="00B13AD1"/>
    <w:rsid w:val="00B143DA"/>
    <w:rsid w:val="00B15568"/>
    <w:rsid w:val="00B15631"/>
    <w:rsid w:val="00B15DBC"/>
    <w:rsid w:val="00B1733A"/>
    <w:rsid w:val="00B21BEF"/>
    <w:rsid w:val="00B21ED1"/>
    <w:rsid w:val="00B23DC5"/>
    <w:rsid w:val="00B25C9C"/>
    <w:rsid w:val="00B27EBD"/>
    <w:rsid w:val="00B32B9A"/>
    <w:rsid w:val="00B3523B"/>
    <w:rsid w:val="00B4116F"/>
    <w:rsid w:val="00B441AC"/>
    <w:rsid w:val="00B46960"/>
    <w:rsid w:val="00B46DA8"/>
    <w:rsid w:val="00B5013D"/>
    <w:rsid w:val="00B5439A"/>
    <w:rsid w:val="00B54C28"/>
    <w:rsid w:val="00B6061F"/>
    <w:rsid w:val="00B662F8"/>
    <w:rsid w:val="00B66B52"/>
    <w:rsid w:val="00B66DEF"/>
    <w:rsid w:val="00B66EB1"/>
    <w:rsid w:val="00B70CB2"/>
    <w:rsid w:val="00B72923"/>
    <w:rsid w:val="00B73144"/>
    <w:rsid w:val="00B748E1"/>
    <w:rsid w:val="00B751C3"/>
    <w:rsid w:val="00B756E5"/>
    <w:rsid w:val="00B7684D"/>
    <w:rsid w:val="00B76A03"/>
    <w:rsid w:val="00B76C24"/>
    <w:rsid w:val="00B80665"/>
    <w:rsid w:val="00B81AF3"/>
    <w:rsid w:val="00B86A50"/>
    <w:rsid w:val="00B87039"/>
    <w:rsid w:val="00B87171"/>
    <w:rsid w:val="00B90CE8"/>
    <w:rsid w:val="00B91441"/>
    <w:rsid w:val="00B9543C"/>
    <w:rsid w:val="00B97D52"/>
    <w:rsid w:val="00BA00A6"/>
    <w:rsid w:val="00BA384D"/>
    <w:rsid w:val="00BA6B9A"/>
    <w:rsid w:val="00BB288F"/>
    <w:rsid w:val="00BB5334"/>
    <w:rsid w:val="00BB5DC6"/>
    <w:rsid w:val="00BB7F28"/>
    <w:rsid w:val="00BC1000"/>
    <w:rsid w:val="00BC24BC"/>
    <w:rsid w:val="00BC5907"/>
    <w:rsid w:val="00BC5EC6"/>
    <w:rsid w:val="00BC6174"/>
    <w:rsid w:val="00BC6426"/>
    <w:rsid w:val="00BC7718"/>
    <w:rsid w:val="00BC7780"/>
    <w:rsid w:val="00BD42A0"/>
    <w:rsid w:val="00BD4A63"/>
    <w:rsid w:val="00BD5BD6"/>
    <w:rsid w:val="00BD679B"/>
    <w:rsid w:val="00BD72C2"/>
    <w:rsid w:val="00BE0A39"/>
    <w:rsid w:val="00BE0FC8"/>
    <w:rsid w:val="00BE7FB3"/>
    <w:rsid w:val="00BF0CAF"/>
    <w:rsid w:val="00BF26FF"/>
    <w:rsid w:val="00BF2A9C"/>
    <w:rsid w:val="00BF2DDE"/>
    <w:rsid w:val="00BF5124"/>
    <w:rsid w:val="00BF668C"/>
    <w:rsid w:val="00BF6F5D"/>
    <w:rsid w:val="00BF7737"/>
    <w:rsid w:val="00BF7BB4"/>
    <w:rsid w:val="00C03C39"/>
    <w:rsid w:val="00C04149"/>
    <w:rsid w:val="00C049E1"/>
    <w:rsid w:val="00C04EA7"/>
    <w:rsid w:val="00C052BD"/>
    <w:rsid w:val="00C1058C"/>
    <w:rsid w:val="00C118D3"/>
    <w:rsid w:val="00C11BC1"/>
    <w:rsid w:val="00C13924"/>
    <w:rsid w:val="00C14CA6"/>
    <w:rsid w:val="00C15BD2"/>
    <w:rsid w:val="00C17306"/>
    <w:rsid w:val="00C216AF"/>
    <w:rsid w:val="00C2407C"/>
    <w:rsid w:val="00C252D0"/>
    <w:rsid w:val="00C257D5"/>
    <w:rsid w:val="00C2616E"/>
    <w:rsid w:val="00C26697"/>
    <w:rsid w:val="00C30B91"/>
    <w:rsid w:val="00C30F4E"/>
    <w:rsid w:val="00C3570B"/>
    <w:rsid w:val="00C35FBF"/>
    <w:rsid w:val="00C37791"/>
    <w:rsid w:val="00C37970"/>
    <w:rsid w:val="00C3797D"/>
    <w:rsid w:val="00C402E5"/>
    <w:rsid w:val="00C4141F"/>
    <w:rsid w:val="00C4345B"/>
    <w:rsid w:val="00C46337"/>
    <w:rsid w:val="00C4733E"/>
    <w:rsid w:val="00C50D8F"/>
    <w:rsid w:val="00C546D8"/>
    <w:rsid w:val="00C55991"/>
    <w:rsid w:val="00C56259"/>
    <w:rsid w:val="00C56EB6"/>
    <w:rsid w:val="00C575C2"/>
    <w:rsid w:val="00C615D0"/>
    <w:rsid w:val="00C6194B"/>
    <w:rsid w:val="00C64E85"/>
    <w:rsid w:val="00C70035"/>
    <w:rsid w:val="00C73011"/>
    <w:rsid w:val="00C74F8F"/>
    <w:rsid w:val="00C818F8"/>
    <w:rsid w:val="00C84754"/>
    <w:rsid w:val="00C863AB"/>
    <w:rsid w:val="00C9151E"/>
    <w:rsid w:val="00C9156A"/>
    <w:rsid w:val="00C918E7"/>
    <w:rsid w:val="00C91A68"/>
    <w:rsid w:val="00C959E3"/>
    <w:rsid w:val="00C95A09"/>
    <w:rsid w:val="00C9700C"/>
    <w:rsid w:val="00C97033"/>
    <w:rsid w:val="00CA0631"/>
    <w:rsid w:val="00CA18BC"/>
    <w:rsid w:val="00CA2E7F"/>
    <w:rsid w:val="00CA51BD"/>
    <w:rsid w:val="00CA54B0"/>
    <w:rsid w:val="00CB0469"/>
    <w:rsid w:val="00CB049D"/>
    <w:rsid w:val="00CB215F"/>
    <w:rsid w:val="00CB3138"/>
    <w:rsid w:val="00CB515A"/>
    <w:rsid w:val="00CB66E8"/>
    <w:rsid w:val="00CB7E5F"/>
    <w:rsid w:val="00CC49D3"/>
    <w:rsid w:val="00CC5885"/>
    <w:rsid w:val="00CC692E"/>
    <w:rsid w:val="00CD1FCA"/>
    <w:rsid w:val="00CD2569"/>
    <w:rsid w:val="00CD26FC"/>
    <w:rsid w:val="00CD4809"/>
    <w:rsid w:val="00CD6192"/>
    <w:rsid w:val="00CE0F91"/>
    <w:rsid w:val="00CE3B1D"/>
    <w:rsid w:val="00CE3BB2"/>
    <w:rsid w:val="00CE4615"/>
    <w:rsid w:val="00CF2FA9"/>
    <w:rsid w:val="00CF3C42"/>
    <w:rsid w:val="00CF6451"/>
    <w:rsid w:val="00CF6E3E"/>
    <w:rsid w:val="00D00837"/>
    <w:rsid w:val="00D0168E"/>
    <w:rsid w:val="00D02691"/>
    <w:rsid w:val="00D027AD"/>
    <w:rsid w:val="00D02AF0"/>
    <w:rsid w:val="00D031A8"/>
    <w:rsid w:val="00D0463C"/>
    <w:rsid w:val="00D05409"/>
    <w:rsid w:val="00D06584"/>
    <w:rsid w:val="00D068FE"/>
    <w:rsid w:val="00D06AB7"/>
    <w:rsid w:val="00D07FB1"/>
    <w:rsid w:val="00D1175B"/>
    <w:rsid w:val="00D14BD9"/>
    <w:rsid w:val="00D14FBE"/>
    <w:rsid w:val="00D15BD6"/>
    <w:rsid w:val="00D1672E"/>
    <w:rsid w:val="00D23082"/>
    <w:rsid w:val="00D23B94"/>
    <w:rsid w:val="00D25A0C"/>
    <w:rsid w:val="00D26CB4"/>
    <w:rsid w:val="00D276A8"/>
    <w:rsid w:val="00D330B2"/>
    <w:rsid w:val="00D33550"/>
    <w:rsid w:val="00D33B69"/>
    <w:rsid w:val="00D34790"/>
    <w:rsid w:val="00D361E2"/>
    <w:rsid w:val="00D40524"/>
    <w:rsid w:val="00D41248"/>
    <w:rsid w:val="00D41DB8"/>
    <w:rsid w:val="00D43BD9"/>
    <w:rsid w:val="00D459AD"/>
    <w:rsid w:val="00D46AE2"/>
    <w:rsid w:val="00D505F2"/>
    <w:rsid w:val="00D51275"/>
    <w:rsid w:val="00D51A5E"/>
    <w:rsid w:val="00D559AD"/>
    <w:rsid w:val="00D567FC"/>
    <w:rsid w:val="00D577AE"/>
    <w:rsid w:val="00D6018D"/>
    <w:rsid w:val="00D60B07"/>
    <w:rsid w:val="00D673E8"/>
    <w:rsid w:val="00D72133"/>
    <w:rsid w:val="00D72945"/>
    <w:rsid w:val="00D74BF2"/>
    <w:rsid w:val="00D75D78"/>
    <w:rsid w:val="00D76BAD"/>
    <w:rsid w:val="00D77959"/>
    <w:rsid w:val="00D8283B"/>
    <w:rsid w:val="00D85D8F"/>
    <w:rsid w:val="00D86316"/>
    <w:rsid w:val="00D86717"/>
    <w:rsid w:val="00D9343B"/>
    <w:rsid w:val="00D94AB8"/>
    <w:rsid w:val="00DA1652"/>
    <w:rsid w:val="00DA349B"/>
    <w:rsid w:val="00DA46A2"/>
    <w:rsid w:val="00DA548C"/>
    <w:rsid w:val="00DA5AC6"/>
    <w:rsid w:val="00DA5CAD"/>
    <w:rsid w:val="00DA6489"/>
    <w:rsid w:val="00DA7959"/>
    <w:rsid w:val="00DB024B"/>
    <w:rsid w:val="00DB039A"/>
    <w:rsid w:val="00DB0708"/>
    <w:rsid w:val="00DB1FEA"/>
    <w:rsid w:val="00DB22A5"/>
    <w:rsid w:val="00DB33A2"/>
    <w:rsid w:val="00DB4DF8"/>
    <w:rsid w:val="00DB6575"/>
    <w:rsid w:val="00DB7BC2"/>
    <w:rsid w:val="00DC0F14"/>
    <w:rsid w:val="00DC4AC1"/>
    <w:rsid w:val="00DC66BD"/>
    <w:rsid w:val="00DD01CC"/>
    <w:rsid w:val="00DD061C"/>
    <w:rsid w:val="00DD1CC6"/>
    <w:rsid w:val="00DD2E6B"/>
    <w:rsid w:val="00DD4733"/>
    <w:rsid w:val="00DD61C2"/>
    <w:rsid w:val="00DD7DFD"/>
    <w:rsid w:val="00DE0B4E"/>
    <w:rsid w:val="00DE0CE1"/>
    <w:rsid w:val="00DE1F7E"/>
    <w:rsid w:val="00DE20CD"/>
    <w:rsid w:val="00DE2F64"/>
    <w:rsid w:val="00DE2F7C"/>
    <w:rsid w:val="00DE31D5"/>
    <w:rsid w:val="00DE3C9A"/>
    <w:rsid w:val="00DE3EAB"/>
    <w:rsid w:val="00DE6CF5"/>
    <w:rsid w:val="00DF5AC1"/>
    <w:rsid w:val="00DF5CF0"/>
    <w:rsid w:val="00DF6B4E"/>
    <w:rsid w:val="00DF7359"/>
    <w:rsid w:val="00E00763"/>
    <w:rsid w:val="00E02379"/>
    <w:rsid w:val="00E05F4C"/>
    <w:rsid w:val="00E073C6"/>
    <w:rsid w:val="00E07CF2"/>
    <w:rsid w:val="00E12CE2"/>
    <w:rsid w:val="00E13F73"/>
    <w:rsid w:val="00E16D39"/>
    <w:rsid w:val="00E177B4"/>
    <w:rsid w:val="00E22737"/>
    <w:rsid w:val="00E23672"/>
    <w:rsid w:val="00E244A7"/>
    <w:rsid w:val="00E248FD"/>
    <w:rsid w:val="00E25F7E"/>
    <w:rsid w:val="00E3114D"/>
    <w:rsid w:val="00E31E5E"/>
    <w:rsid w:val="00E3415A"/>
    <w:rsid w:val="00E34C28"/>
    <w:rsid w:val="00E35AA0"/>
    <w:rsid w:val="00E42D0E"/>
    <w:rsid w:val="00E50522"/>
    <w:rsid w:val="00E51EED"/>
    <w:rsid w:val="00E529BA"/>
    <w:rsid w:val="00E6340F"/>
    <w:rsid w:val="00E64EE0"/>
    <w:rsid w:val="00E668C8"/>
    <w:rsid w:val="00E67390"/>
    <w:rsid w:val="00E67723"/>
    <w:rsid w:val="00E72815"/>
    <w:rsid w:val="00E7328B"/>
    <w:rsid w:val="00E73AB7"/>
    <w:rsid w:val="00E74527"/>
    <w:rsid w:val="00E827F5"/>
    <w:rsid w:val="00E8426C"/>
    <w:rsid w:val="00E84D8D"/>
    <w:rsid w:val="00E87E73"/>
    <w:rsid w:val="00E90A69"/>
    <w:rsid w:val="00E95B5B"/>
    <w:rsid w:val="00EA24FE"/>
    <w:rsid w:val="00EA2571"/>
    <w:rsid w:val="00EA3DF1"/>
    <w:rsid w:val="00EA42DF"/>
    <w:rsid w:val="00EA618E"/>
    <w:rsid w:val="00EA7005"/>
    <w:rsid w:val="00EB05DA"/>
    <w:rsid w:val="00EB3245"/>
    <w:rsid w:val="00EB3597"/>
    <w:rsid w:val="00EB4139"/>
    <w:rsid w:val="00EB5918"/>
    <w:rsid w:val="00EB61D8"/>
    <w:rsid w:val="00EC1AE4"/>
    <w:rsid w:val="00EC55E0"/>
    <w:rsid w:val="00EC7BCA"/>
    <w:rsid w:val="00ED272A"/>
    <w:rsid w:val="00ED3B04"/>
    <w:rsid w:val="00ED5747"/>
    <w:rsid w:val="00ED654A"/>
    <w:rsid w:val="00ED738D"/>
    <w:rsid w:val="00EE0812"/>
    <w:rsid w:val="00EE13C9"/>
    <w:rsid w:val="00EE1C15"/>
    <w:rsid w:val="00EE1E00"/>
    <w:rsid w:val="00EE2FCB"/>
    <w:rsid w:val="00EF0308"/>
    <w:rsid w:val="00EF040C"/>
    <w:rsid w:val="00EF0CD7"/>
    <w:rsid w:val="00EF299C"/>
    <w:rsid w:val="00EF2C04"/>
    <w:rsid w:val="00EF36AA"/>
    <w:rsid w:val="00EF5696"/>
    <w:rsid w:val="00EF5DC7"/>
    <w:rsid w:val="00EF7D6E"/>
    <w:rsid w:val="00F01A77"/>
    <w:rsid w:val="00F03A63"/>
    <w:rsid w:val="00F045B7"/>
    <w:rsid w:val="00F0592C"/>
    <w:rsid w:val="00F07098"/>
    <w:rsid w:val="00F07C07"/>
    <w:rsid w:val="00F10D30"/>
    <w:rsid w:val="00F111A0"/>
    <w:rsid w:val="00F13F28"/>
    <w:rsid w:val="00F15160"/>
    <w:rsid w:val="00F15585"/>
    <w:rsid w:val="00F15F9A"/>
    <w:rsid w:val="00F222D0"/>
    <w:rsid w:val="00F27AE4"/>
    <w:rsid w:val="00F32246"/>
    <w:rsid w:val="00F3342A"/>
    <w:rsid w:val="00F33511"/>
    <w:rsid w:val="00F35075"/>
    <w:rsid w:val="00F35584"/>
    <w:rsid w:val="00F409BB"/>
    <w:rsid w:val="00F41BF5"/>
    <w:rsid w:val="00F424AA"/>
    <w:rsid w:val="00F4344E"/>
    <w:rsid w:val="00F43B69"/>
    <w:rsid w:val="00F47A1E"/>
    <w:rsid w:val="00F51392"/>
    <w:rsid w:val="00F519B2"/>
    <w:rsid w:val="00F52AC0"/>
    <w:rsid w:val="00F546BD"/>
    <w:rsid w:val="00F556CE"/>
    <w:rsid w:val="00F559D1"/>
    <w:rsid w:val="00F57302"/>
    <w:rsid w:val="00F578AF"/>
    <w:rsid w:val="00F579C5"/>
    <w:rsid w:val="00F62D6A"/>
    <w:rsid w:val="00F63605"/>
    <w:rsid w:val="00F66599"/>
    <w:rsid w:val="00F66C9B"/>
    <w:rsid w:val="00F67789"/>
    <w:rsid w:val="00F67E4A"/>
    <w:rsid w:val="00F70193"/>
    <w:rsid w:val="00F7083C"/>
    <w:rsid w:val="00F71F72"/>
    <w:rsid w:val="00F72BCF"/>
    <w:rsid w:val="00F7756D"/>
    <w:rsid w:val="00F828A4"/>
    <w:rsid w:val="00F83AA5"/>
    <w:rsid w:val="00F84C06"/>
    <w:rsid w:val="00F86ABD"/>
    <w:rsid w:val="00F879EA"/>
    <w:rsid w:val="00F87E66"/>
    <w:rsid w:val="00F902BA"/>
    <w:rsid w:val="00F9080D"/>
    <w:rsid w:val="00F90BBA"/>
    <w:rsid w:val="00F923F1"/>
    <w:rsid w:val="00F93BED"/>
    <w:rsid w:val="00F94242"/>
    <w:rsid w:val="00F96999"/>
    <w:rsid w:val="00FA1ACA"/>
    <w:rsid w:val="00FA22E8"/>
    <w:rsid w:val="00FA58AA"/>
    <w:rsid w:val="00FA5CA2"/>
    <w:rsid w:val="00FA6F19"/>
    <w:rsid w:val="00FA7F53"/>
    <w:rsid w:val="00FB0AD8"/>
    <w:rsid w:val="00FB1B20"/>
    <w:rsid w:val="00FB41D7"/>
    <w:rsid w:val="00FB4C08"/>
    <w:rsid w:val="00FB54DC"/>
    <w:rsid w:val="00FB57A3"/>
    <w:rsid w:val="00FB6648"/>
    <w:rsid w:val="00FC378D"/>
    <w:rsid w:val="00FC3F37"/>
    <w:rsid w:val="00FC5993"/>
    <w:rsid w:val="00FC6EB1"/>
    <w:rsid w:val="00FC6EB2"/>
    <w:rsid w:val="00FD0BEB"/>
    <w:rsid w:val="00FD39D8"/>
    <w:rsid w:val="00FD6AE8"/>
    <w:rsid w:val="00FD7E9E"/>
    <w:rsid w:val="00FD7EC9"/>
    <w:rsid w:val="00FE1BED"/>
    <w:rsid w:val="00FE225C"/>
    <w:rsid w:val="00FE2A3B"/>
    <w:rsid w:val="00FE3708"/>
    <w:rsid w:val="00FE407B"/>
    <w:rsid w:val="00FE487B"/>
    <w:rsid w:val="00FF17DA"/>
    <w:rsid w:val="00FF1FB1"/>
    <w:rsid w:val="00FF216B"/>
    <w:rsid w:val="00FF26F5"/>
    <w:rsid w:val="00FF6E60"/>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74373"/>
  <w15:docId w15:val="{A4F2AA73-479B-194A-93B9-F9E029E8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 w:hAnsi="Calibr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1FA"/>
    <w:pPr>
      <w:spacing w:after="20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C9151E"/>
    <w:pPr>
      <w:spacing w:after="0" w:line="240" w:lineRule="auto"/>
    </w:pPr>
    <w:rPr>
      <w:rFonts w:ascii="Lucida Grande" w:hAnsi="Lucida Grande"/>
      <w:sz w:val="18"/>
      <w:szCs w:val="18"/>
    </w:rPr>
  </w:style>
  <w:style w:type="character" w:customStyle="1" w:styleId="BalloonTextChar">
    <w:name w:val="Balloon Text Char"/>
    <w:basedOn w:val="DefaultParagraphFont"/>
    <w:uiPriority w:val="99"/>
    <w:semiHidden/>
    <w:rPr>
      <w:rFonts w:ascii="Lucida Grande" w:hAnsi="Lucida Grande" w:cs="Lucida Grande"/>
      <w:sz w:val="18"/>
      <w:szCs w:val="18"/>
    </w:rPr>
  </w:style>
  <w:style w:type="paragraph" w:styleId="NormalWeb">
    <w:name w:val="Normal (Web)"/>
    <w:basedOn w:val="Normal"/>
    <w:uiPriority w:val="99"/>
    <w:rsid w:val="009055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F9080D"/>
    <w:rPr>
      <w:rFonts w:cs="Times New Roman"/>
      <w:b/>
      <w:bCs/>
    </w:rPr>
  </w:style>
  <w:style w:type="paragraph" w:customStyle="1" w:styleId="apaindent">
    <w:name w:val="apaindent"/>
    <w:basedOn w:val="Normal"/>
    <w:uiPriority w:val="99"/>
    <w:rsid w:val="00F9080D"/>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F9080D"/>
    <w:rPr>
      <w:rFonts w:cs="Times New Roman"/>
      <w:i/>
      <w:iCs/>
    </w:rPr>
  </w:style>
  <w:style w:type="paragraph" w:styleId="Header">
    <w:name w:val="header"/>
    <w:basedOn w:val="Normal"/>
    <w:link w:val="HeaderChar"/>
    <w:uiPriority w:val="99"/>
    <w:rsid w:val="00BB288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288F"/>
    <w:rPr>
      <w:rFonts w:cs="Times New Roman"/>
    </w:rPr>
  </w:style>
  <w:style w:type="paragraph" w:styleId="Footer">
    <w:name w:val="footer"/>
    <w:basedOn w:val="Normal"/>
    <w:link w:val="FooterChar"/>
    <w:uiPriority w:val="99"/>
    <w:rsid w:val="00BB288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288F"/>
    <w:rPr>
      <w:rFonts w:cs="Times New Roman"/>
    </w:rPr>
  </w:style>
  <w:style w:type="paragraph" w:customStyle="1" w:styleId="TableContents">
    <w:name w:val="Table Contents"/>
    <w:basedOn w:val="Normal"/>
    <w:uiPriority w:val="99"/>
    <w:rsid w:val="00A04F91"/>
    <w:pPr>
      <w:widowControl w:val="0"/>
      <w:suppressLineNumbers/>
      <w:suppressAutoHyphens/>
      <w:spacing w:after="0" w:line="240" w:lineRule="auto"/>
    </w:pPr>
    <w:rPr>
      <w:rFonts w:ascii="Times New Roman" w:eastAsia="Andale Sans UI" w:hAnsi="Times New Roman"/>
      <w:sz w:val="24"/>
      <w:szCs w:val="24"/>
      <w:lang w:eastAsia="zh-CN"/>
    </w:rPr>
  </w:style>
  <w:style w:type="character" w:customStyle="1" w:styleId="BalloonTextChar1">
    <w:name w:val="Balloon Text Char1"/>
    <w:basedOn w:val="DefaultParagraphFont"/>
    <w:link w:val="BalloonText"/>
    <w:uiPriority w:val="99"/>
    <w:semiHidden/>
    <w:locked/>
    <w:rsid w:val="00C9151E"/>
    <w:rPr>
      <w:rFonts w:ascii="Lucida Grande" w:hAnsi="Lucida Grande" w:cs="Times New Roman"/>
      <w:sz w:val="18"/>
      <w:szCs w:val="18"/>
    </w:rPr>
  </w:style>
  <w:style w:type="character" w:styleId="CommentReference">
    <w:name w:val="annotation reference"/>
    <w:basedOn w:val="DefaultParagraphFont"/>
    <w:uiPriority w:val="99"/>
    <w:semiHidden/>
    <w:rsid w:val="006D0822"/>
    <w:rPr>
      <w:rFonts w:cs="Times New Roman"/>
      <w:sz w:val="18"/>
      <w:szCs w:val="18"/>
    </w:rPr>
  </w:style>
  <w:style w:type="paragraph" w:styleId="CommentText">
    <w:name w:val="annotation text"/>
    <w:basedOn w:val="Normal"/>
    <w:link w:val="CommentTextChar"/>
    <w:uiPriority w:val="99"/>
    <w:semiHidden/>
    <w:rsid w:val="006D0822"/>
    <w:pPr>
      <w:spacing w:line="240" w:lineRule="auto"/>
    </w:pPr>
    <w:rPr>
      <w:sz w:val="24"/>
      <w:szCs w:val="24"/>
    </w:rPr>
  </w:style>
  <w:style w:type="character" w:customStyle="1" w:styleId="CommentTextChar">
    <w:name w:val="Comment Text Char"/>
    <w:basedOn w:val="DefaultParagraphFont"/>
    <w:link w:val="CommentText"/>
    <w:uiPriority w:val="99"/>
    <w:semiHidden/>
    <w:locked/>
    <w:rsid w:val="006D0822"/>
    <w:rPr>
      <w:rFonts w:cs="Times New Roman"/>
      <w:sz w:val="24"/>
      <w:szCs w:val="24"/>
    </w:rPr>
  </w:style>
  <w:style w:type="paragraph" w:styleId="CommentSubject">
    <w:name w:val="annotation subject"/>
    <w:basedOn w:val="CommentText"/>
    <w:next w:val="CommentText"/>
    <w:link w:val="CommentSubjectChar"/>
    <w:uiPriority w:val="99"/>
    <w:semiHidden/>
    <w:rsid w:val="006D0822"/>
    <w:rPr>
      <w:b/>
      <w:bCs/>
      <w:sz w:val="20"/>
      <w:szCs w:val="20"/>
    </w:rPr>
  </w:style>
  <w:style w:type="character" w:customStyle="1" w:styleId="CommentSubjectChar">
    <w:name w:val="Comment Subject Char"/>
    <w:basedOn w:val="CommentTextChar"/>
    <w:link w:val="CommentSubject"/>
    <w:uiPriority w:val="99"/>
    <w:semiHidden/>
    <w:locked/>
    <w:rsid w:val="006D0822"/>
    <w:rPr>
      <w:rFonts w:cs="Times New Roman"/>
      <w:b/>
      <w:bCs/>
      <w:sz w:val="20"/>
      <w:szCs w:val="20"/>
    </w:rPr>
  </w:style>
  <w:style w:type="character" w:customStyle="1" w:styleId="FootnoteTextChar">
    <w:name w:val="Footnote Text Char"/>
    <w:basedOn w:val="DefaultParagraphFont"/>
    <w:link w:val="FootnoteText"/>
    <w:uiPriority w:val="99"/>
    <w:semiHidden/>
    <w:locked/>
    <w:rsid w:val="00EF2C04"/>
    <w:rPr>
      <w:rFonts w:cs="Times New Roman"/>
      <w:sz w:val="20"/>
      <w:szCs w:val="20"/>
    </w:rPr>
  </w:style>
  <w:style w:type="paragraph" w:styleId="FootnoteText">
    <w:name w:val="footnote text"/>
    <w:basedOn w:val="Normal"/>
    <w:link w:val="FootnoteTextChar"/>
    <w:uiPriority w:val="99"/>
    <w:semiHidden/>
    <w:rsid w:val="00EF2C04"/>
    <w:pPr>
      <w:spacing w:after="0" w:line="240" w:lineRule="auto"/>
    </w:pPr>
    <w:rPr>
      <w:sz w:val="20"/>
      <w:szCs w:val="20"/>
    </w:rPr>
  </w:style>
  <w:style w:type="character" w:customStyle="1" w:styleId="FootnoteTextChar1">
    <w:name w:val="Footnote Text Char1"/>
    <w:basedOn w:val="DefaultParagraphFont"/>
    <w:uiPriority w:val="99"/>
    <w:semiHidden/>
    <w:rsid w:val="00F278CC"/>
    <w:rPr>
      <w:sz w:val="20"/>
      <w:szCs w:val="20"/>
    </w:rPr>
  </w:style>
  <w:style w:type="character" w:styleId="FootnoteReference">
    <w:name w:val="footnote reference"/>
    <w:basedOn w:val="DefaultParagraphFont"/>
    <w:uiPriority w:val="99"/>
    <w:semiHidden/>
    <w:rsid w:val="00EF2C04"/>
    <w:rPr>
      <w:rFonts w:cs="Times New Roman"/>
      <w:vertAlign w:val="superscript"/>
    </w:rPr>
  </w:style>
  <w:style w:type="character" w:styleId="Hyperlink">
    <w:name w:val="Hyperlink"/>
    <w:basedOn w:val="DefaultParagraphFont"/>
    <w:uiPriority w:val="99"/>
    <w:rsid w:val="00980938"/>
    <w:rPr>
      <w:rFonts w:cs="Times New Roman"/>
      <w:color w:val="0000FF"/>
      <w:u w:val="single"/>
    </w:rPr>
  </w:style>
  <w:style w:type="table" w:styleId="TableGrid">
    <w:name w:val="Table Grid"/>
    <w:basedOn w:val="TableNormal"/>
    <w:uiPriority w:val="99"/>
    <w:rsid w:val="004C414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411062"/>
    <w:pPr>
      <w:ind w:left="720"/>
      <w:contextualSpacing/>
    </w:pPr>
  </w:style>
  <w:style w:type="table" w:customStyle="1" w:styleId="TableGrid1">
    <w:name w:val="Table Grid1"/>
    <w:uiPriority w:val="99"/>
    <w:rsid w:val="00497DB6"/>
    <w:rPr>
      <w:rFonts w:eastAsia="SimSu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A45B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1525A"/>
    <w:rPr>
      <w:color w:val="605E5C"/>
      <w:shd w:val="clear" w:color="auto" w:fill="E1DFDD"/>
    </w:rPr>
  </w:style>
  <w:style w:type="paragraph" w:styleId="Revision">
    <w:name w:val="Revision"/>
    <w:hidden/>
    <w:uiPriority w:val="99"/>
    <w:semiHidden/>
    <w:rsid w:val="002C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3058">
      <w:marLeft w:val="0"/>
      <w:marRight w:val="0"/>
      <w:marTop w:val="0"/>
      <w:marBottom w:val="0"/>
      <w:divBdr>
        <w:top w:val="none" w:sz="0" w:space="0" w:color="auto"/>
        <w:left w:val="none" w:sz="0" w:space="0" w:color="auto"/>
        <w:bottom w:val="none" w:sz="0" w:space="0" w:color="auto"/>
        <w:right w:val="none" w:sz="0" w:space="0" w:color="auto"/>
      </w:divBdr>
    </w:div>
    <w:div w:id="19283059">
      <w:marLeft w:val="0"/>
      <w:marRight w:val="0"/>
      <w:marTop w:val="0"/>
      <w:marBottom w:val="0"/>
      <w:divBdr>
        <w:top w:val="none" w:sz="0" w:space="0" w:color="auto"/>
        <w:left w:val="none" w:sz="0" w:space="0" w:color="auto"/>
        <w:bottom w:val="none" w:sz="0" w:space="0" w:color="auto"/>
        <w:right w:val="none" w:sz="0" w:space="0" w:color="auto"/>
      </w:divBdr>
    </w:div>
    <w:div w:id="19283061">
      <w:marLeft w:val="0"/>
      <w:marRight w:val="0"/>
      <w:marTop w:val="0"/>
      <w:marBottom w:val="0"/>
      <w:divBdr>
        <w:top w:val="none" w:sz="0" w:space="0" w:color="auto"/>
        <w:left w:val="none" w:sz="0" w:space="0" w:color="auto"/>
        <w:bottom w:val="none" w:sz="0" w:space="0" w:color="auto"/>
        <w:right w:val="none" w:sz="0" w:space="0" w:color="auto"/>
      </w:divBdr>
      <w:divsChild>
        <w:div w:id="19283060">
          <w:marLeft w:val="187"/>
          <w:marRight w:val="0"/>
          <w:marTop w:val="0"/>
          <w:marBottom w:val="0"/>
          <w:divBdr>
            <w:top w:val="none" w:sz="0" w:space="0" w:color="auto"/>
            <w:left w:val="none" w:sz="0" w:space="0" w:color="auto"/>
            <w:bottom w:val="none" w:sz="0" w:space="0" w:color="auto"/>
            <w:right w:val="none" w:sz="0" w:space="0" w:color="auto"/>
          </w:divBdr>
        </w:div>
      </w:divsChild>
    </w:div>
    <w:div w:id="19283062">
      <w:marLeft w:val="0"/>
      <w:marRight w:val="0"/>
      <w:marTop w:val="0"/>
      <w:marBottom w:val="0"/>
      <w:divBdr>
        <w:top w:val="none" w:sz="0" w:space="0" w:color="auto"/>
        <w:left w:val="none" w:sz="0" w:space="0" w:color="auto"/>
        <w:bottom w:val="none" w:sz="0" w:space="0" w:color="auto"/>
        <w:right w:val="none" w:sz="0" w:space="0" w:color="auto"/>
      </w:divBdr>
    </w:div>
    <w:div w:id="19283063">
      <w:marLeft w:val="0"/>
      <w:marRight w:val="0"/>
      <w:marTop w:val="0"/>
      <w:marBottom w:val="0"/>
      <w:divBdr>
        <w:top w:val="none" w:sz="0" w:space="0" w:color="auto"/>
        <w:left w:val="none" w:sz="0" w:space="0" w:color="auto"/>
        <w:bottom w:val="none" w:sz="0" w:space="0" w:color="auto"/>
        <w:right w:val="none" w:sz="0" w:space="0" w:color="auto"/>
      </w:divBdr>
    </w:div>
    <w:div w:id="85343123">
      <w:bodyDiv w:val="1"/>
      <w:marLeft w:val="0"/>
      <w:marRight w:val="0"/>
      <w:marTop w:val="0"/>
      <w:marBottom w:val="0"/>
      <w:divBdr>
        <w:top w:val="none" w:sz="0" w:space="0" w:color="auto"/>
        <w:left w:val="none" w:sz="0" w:space="0" w:color="auto"/>
        <w:bottom w:val="none" w:sz="0" w:space="0" w:color="auto"/>
        <w:right w:val="none" w:sz="0" w:space="0" w:color="auto"/>
      </w:divBdr>
    </w:div>
    <w:div w:id="443691047">
      <w:bodyDiv w:val="1"/>
      <w:marLeft w:val="0"/>
      <w:marRight w:val="0"/>
      <w:marTop w:val="0"/>
      <w:marBottom w:val="0"/>
      <w:divBdr>
        <w:top w:val="none" w:sz="0" w:space="0" w:color="auto"/>
        <w:left w:val="none" w:sz="0" w:space="0" w:color="auto"/>
        <w:bottom w:val="none" w:sz="0" w:space="0" w:color="auto"/>
        <w:right w:val="none" w:sz="0" w:space="0" w:color="auto"/>
      </w:divBdr>
    </w:div>
    <w:div w:id="902326612">
      <w:bodyDiv w:val="1"/>
      <w:marLeft w:val="0"/>
      <w:marRight w:val="0"/>
      <w:marTop w:val="0"/>
      <w:marBottom w:val="0"/>
      <w:divBdr>
        <w:top w:val="none" w:sz="0" w:space="0" w:color="auto"/>
        <w:left w:val="none" w:sz="0" w:space="0" w:color="auto"/>
        <w:bottom w:val="none" w:sz="0" w:space="0" w:color="auto"/>
        <w:right w:val="none" w:sz="0" w:space="0" w:color="auto"/>
      </w:divBdr>
    </w:div>
    <w:div w:id="934826057">
      <w:bodyDiv w:val="1"/>
      <w:marLeft w:val="0"/>
      <w:marRight w:val="0"/>
      <w:marTop w:val="0"/>
      <w:marBottom w:val="0"/>
      <w:divBdr>
        <w:top w:val="none" w:sz="0" w:space="0" w:color="auto"/>
        <w:left w:val="none" w:sz="0" w:space="0" w:color="auto"/>
        <w:bottom w:val="none" w:sz="0" w:space="0" w:color="auto"/>
        <w:right w:val="none" w:sz="0" w:space="0" w:color="auto"/>
      </w:divBdr>
    </w:div>
    <w:div w:id="941454469">
      <w:bodyDiv w:val="1"/>
      <w:marLeft w:val="0"/>
      <w:marRight w:val="0"/>
      <w:marTop w:val="0"/>
      <w:marBottom w:val="0"/>
      <w:divBdr>
        <w:top w:val="none" w:sz="0" w:space="0" w:color="auto"/>
        <w:left w:val="none" w:sz="0" w:space="0" w:color="auto"/>
        <w:bottom w:val="none" w:sz="0" w:space="0" w:color="auto"/>
        <w:right w:val="none" w:sz="0" w:space="0" w:color="auto"/>
      </w:divBdr>
    </w:div>
    <w:div w:id="1119032333">
      <w:bodyDiv w:val="1"/>
      <w:marLeft w:val="0"/>
      <w:marRight w:val="0"/>
      <w:marTop w:val="0"/>
      <w:marBottom w:val="0"/>
      <w:divBdr>
        <w:top w:val="none" w:sz="0" w:space="0" w:color="auto"/>
        <w:left w:val="none" w:sz="0" w:space="0" w:color="auto"/>
        <w:bottom w:val="none" w:sz="0" w:space="0" w:color="auto"/>
        <w:right w:val="none" w:sz="0" w:space="0" w:color="auto"/>
      </w:divBdr>
    </w:div>
    <w:div w:id="1165244109">
      <w:bodyDiv w:val="1"/>
      <w:marLeft w:val="0"/>
      <w:marRight w:val="0"/>
      <w:marTop w:val="0"/>
      <w:marBottom w:val="0"/>
      <w:divBdr>
        <w:top w:val="none" w:sz="0" w:space="0" w:color="auto"/>
        <w:left w:val="none" w:sz="0" w:space="0" w:color="auto"/>
        <w:bottom w:val="none" w:sz="0" w:space="0" w:color="auto"/>
        <w:right w:val="none" w:sz="0" w:space="0" w:color="auto"/>
      </w:divBdr>
    </w:div>
    <w:div w:id="1208373555">
      <w:bodyDiv w:val="1"/>
      <w:marLeft w:val="0"/>
      <w:marRight w:val="0"/>
      <w:marTop w:val="0"/>
      <w:marBottom w:val="0"/>
      <w:divBdr>
        <w:top w:val="none" w:sz="0" w:space="0" w:color="auto"/>
        <w:left w:val="none" w:sz="0" w:space="0" w:color="auto"/>
        <w:bottom w:val="none" w:sz="0" w:space="0" w:color="auto"/>
        <w:right w:val="none" w:sz="0" w:space="0" w:color="auto"/>
      </w:divBdr>
    </w:div>
    <w:div w:id="1413813709">
      <w:bodyDiv w:val="1"/>
      <w:marLeft w:val="0"/>
      <w:marRight w:val="0"/>
      <w:marTop w:val="0"/>
      <w:marBottom w:val="0"/>
      <w:divBdr>
        <w:top w:val="none" w:sz="0" w:space="0" w:color="auto"/>
        <w:left w:val="none" w:sz="0" w:space="0" w:color="auto"/>
        <w:bottom w:val="none" w:sz="0" w:space="0" w:color="auto"/>
        <w:right w:val="none" w:sz="0" w:space="0" w:color="auto"/>
      </w:divBdr>
    </w:div>
    <w:div w:id="1439255355">
      <w:bodyDiv w:val="1"/>
      <w:marLeft w:val="0"/>
      <w:marRight w:val="0"/>
      <w:marTop w:val="0"/>
      <w:marBottom w:val="0"/>
      <w:divBdr>
        <w:top w:val="none" w:sz="0" w:space="0" w:color="auto"/>
        <w:left w:val="none" w:sz="0" w:space="0" w:color="auto"/>
        <w:bottom w:val="none" w:sz="0" w:space="0" w:color="auto"/>
        <w:right w:val="none" w:sz="0" w:space="0" w:color="auto"/>
      </w:divBdr>
    </w:div>
    <w:div w:id="1443719418">
      <w:bodyDiv w:val="1"/>
      <w:marLeft w:val="0"/>
      <w:marRight w:val="0"/>
      <w:marTop w:val="0"/>
      <w:marBottom w:val="0"/>
      <w:divBdr>
        <w:top w:val="none" w:sz="0" w:space="0" w:color="auto"/>
        <w:left w:val="none" w:sz="0" w:space="0" w:color="auto"/>
        <w:bottom w:val="none" w:sz="0" w:space="0" w:color="auto"/>
        <w:right w:val="none" w:sz="0" w:space="0" w:color="auto"/>
      </w:divBdr>
    </w:div>
    <w:div w:id="1664968021">
      <w:bodyDiv w:val="1"/>
      <w:marLeft w:val="0"/>
      <w:marRight w:val="0"/>
      <w:marTop w:val="0"/>
      <w:marBottom w:val="0"/>
      <w:divBdr>
        <w:top w:val="none" w:sz="0" w:space="0" w:color="auto"/>
        <w:left w:val="none" w:sz="0" w:space="0" w:color="auto"/>
        <w:bottom w:val="none" w:sz="0" w:space="0" w:color="auto"/>
        <w:right w:val="none" w:sz="0" w:space="0" w:color="auto"/>
      </w:divBdr>
    </w:div>
    <w:div w:id="1703626423">
      <w:bodyDiv w:val="1"/>
      <w:marLeft w:val="0"/>
      <w:marRight w:val="0"/>
      <w:marTop w:val="0"/>
      <w:marBottom w:val="0"/>
      <w:divBdr>
        <w:top w:val="none" w:sz="0" w:space="0" w:color="auto"/>
        <w:left w:val="none" w:sz="0" w:space="0" w:color="auto"/>
        <w:bottom w:val="none" w:sz="0" w:space="0" w:color="auto"/>
        <w:right w:val="none" w:sz="0" w:space="0" w:color="auto"/>
      </w:divBdr>
    </w:div>
    <w:div w:id="1824078420">
      <w:bodyDiv w:val="1"/>
      <w:marLeft w:val="0"/>
      <w:marRight w:val="0"/>
      <w:marTop w:val="0"/>
      <w:marBottom w:val="0"/>
      <w:divBdr>
        <w:top w:val="none" w:sz="0" w:space="0" w:color="auto"/>
        <w:left w:val="none" w:sz="0" w:space="0" w:color="auto"/>
        <w:bottom w:val="none" w:sz="0" w:space="0" w:color="auto"/>
        <w:right w:val="none" w:sz="0" w:space="0" w:color="auto"/>
      </w:divBdr>
    </w:div>
    <w:div w:id="1868370048">
      <w:bodyDiv w:val="1"/>
      <w:marLeft w:val="0"/>
      <w:marRight w:val="0"/>
      <w:marTop w:val="0"/>
      <w:marBottom w:val="0"/>
      <w:divBdr>
        <w:top w:val="none" w:sz="0" w:space="0" w:color="auto"/>
        <w:left w:val="none" w:sz="0" w:space="0" w:color="auto"/>
        <w:bottom w:val="none" w:sz="0" w:space="0" w:color="auto"/>
        <w:right w:val="none" w:sz="0" w:space="0" w:color="auto"/>
      </w:divBdr>
    </w:div>
    <w:div w:id="1871381965">
      <w:bodyDiv w:val="1"/>
      <w:marLeft w:val="0"/>
      <w:marRight w:val="0"/>
      <w:marTop w:val="0"/>
      <w:marBottom w:val="0"/>
      <w:divBdr>
        <w:top w:val="none" w:sz="0" w:space="0" w:color="auto"/>
        <w:left w:val="none" w:sz="0" w:space="0" w:color="auto"/>
        <w:bottom w:val="none" w:sz="0" w:space="0" w:color="auto"/>
        <w:right w:val="none" w:sz="0" w:space="0" w:color="auto"/>
      </w:divBdr>
    </w:div>
    <w:div w:id="1912083025">
      <w:bodyDiv w:val="1"/>
      <w:marLeft w:val="0"/>
      <w:marRight w:val="0"/>
      <w:marTop w:val="0"/>
      <w:marBottom w:val="0"/>
      <w:divBdr>
        <w:top w:val="none" w:sz="0" w:space="0" w:color="auto"/>
        <w:left w:val="none" w:sz="0" w:space="0" w:color="auto"/>
        <w:bottom w:val="none" w:sz="0" w:space="0" w:color="auto"/>
        <w:right w:val="none" w:sz="0" w:space="0" w:color="auto"/>
      </w:divBdr>
    </w:div>
    <w:div w:id="1959750157">
      <w:bodyDiv w:val="1"/>
      <w:marLeft w:val="0"/>
      <w:marRight w:val="0"/>
      <w:marTop w:val="0"/>
      <w:marBottom w:val="0"/>
      <w:divBdr>
        <w:top w:val="none" w:sz="0" w:space="0" w:color="auto"/>
        <w:left w:val="none" w:sz="0" w:space="0" w:color="auto"/>
        <w:bottom w:val="none" w:sz="0" w:space="0" w:color="auto"/>
        <w:right w:val="none" w:sz="0" w:space="0" w:color="auto"/>
      </w:divBdr>
    </w:div>
    <w:div w:id="2109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7/s12310-018-9269-0" TargetMode="External"/><Relationship Id="rId4" Type="http://schemas.openxmlformats.org/officeDocument/2006/relationships/webSettings" Target="webSettings.xml"/><Relationship Id="rId9" Type="http://schemas.openxmlformats.org/officeDocument/2006/relationships/hyperlink" Target="https://www.childtrends.org/indicators/teen-homicide-suicide-and-firearm-death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9027</Words>
  <Characters>55613</Characters>
  <Application>Microsoft Office Word</Application>
  <DocSecurity>0</DocSecurity>
  <Lines>830</Lines>
  <Paragraphs>209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Mihaylov</dc:creator>
  <cp:lastModifiedBy>Perkins, Douglas D</cp:lastModifiedBy>
  <cp:revision>2</cp:revision>
  <cp:lastPrinted>2010-10-20T19:54:00Z</cp:lastPrinted>
  <dcterms:created xsi:type="dcterms:W3CDTF">2020-08-11T13:34:00Z</dcterms:created>
  <dcterms:modified xsi:type="dcterms:W3CDTF">2020-08-11T13:34:00Z</dcterms:modified>
</cp:coreProperties>
</file>