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5457"/>
        <w:gridCol w:w="2749"/>
      </w:tblGrid>
      <w:tr w:rsidR="00113F52" w:rsidRPr="005834E7" w:rsidTr="00492B9C">
        <w:trPr>
          <w:trHeight w:val="285"/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13F52" w:rsidRDefault="00113F52" w:rsidP="009573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Garamond" w:eastAsia="Times New Roman" w:hAnsi="Garamond" w:cs="Times New Roman"/>
                <w:bCs/>
                <w:sz w:val="40"/>
                <w:szCs w:val="40"/>
              </w:rPr>
              <w:t>Course Outline / Syllabus</w:t>
            </w:r>
          </w:p>
          <w:p w:rsidR="00113F52" w:rsidRPr="007D6DFF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 w:rsidRPr="007D6DFF">
              <w:rPr>
                <w:rFonts w:ascii="Garamond" w:eastAsia="Times New Roman" w:hAnsi="Garamond" w:cs="Times New Roman"/>
                <w:bCs/>
                <w:sz w:val="40"/>
                <w:szCs w:val="40"/>
              </w:rPr>
              <w:t xml:space="preserve">BME </w:t>
            </w:r>
            <w:r w:rsidR="00F8533F">
              <w:rPr>
                <w:rFonts w:ascii="Garamond" w:eastAsia="Times New Roman" w:hAnsi="Garamond" w:cs="Times New Roman"/>
                <w:bCs/>
                <w:sz w:val="40"/>
                <w:szCs w:val="40"/>
              </w:rPr>
              <w:t>4951</w:t>
            </w:r>
            <w:r w:rsidRPr="007D6DFF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 xml:space="preserve"> </w:t>
            </w:r>
          </w:p>
          <w:p w:rsidR="00241ABE" w:rsidRDefault="00113F52" w:rsidP="009D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8"/>
                <w:u w:val="single"/>
              </w:rPr>
            </w:pPr>
            <w:r w:rsidRPr="007D6DFF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Spring 201</w:t>
            </w:r>
            <w:r w:rsidR="00F8533F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6</w:t>
            </w:r>
            <w:r w:rsidR="009D3E34">
              <w:rPr>
                <w:rFonts w:ascii="Times New Roman" w:eastAsia="Times New Roman" w:hAnsi="Times New Roman" w:cs="Times New Roman"/>
                <w:b/>
                <w:bCs/>
                <w:sz w:val="44"/>
                <w:szCs w:val="48"/>
                <w:u w:val="single"/>
              </w:rPr>
              <w:t xml:space="preserve"> </w:t>
            </w:r>
          </w:p>
          <w:p w:rsidR="00113F52" w:rsidRPr="005834E7" w:rsidRDefault="00241ABE" w:rsidP="0036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8"/>
                <w:u w:val="single"/>
              </w:rPr>
              <w:t xml:space="preserve">Form 1 of </w:t>
            </w:r>
            <w:r w:rsidR="00364A97">
              <w:rPr>
                <w:rFonts w:ascii="Times New Roman" w:eastAsia="Times New Roman" w:hAnsi="Times New Roman" w:cs="Times New Roman"/>
                <w:b/>
                <w:bCs/>
                <w:sz w:val="44"/>
                <w:szCs w:val="48"/>
                <w:u w:val="single"/>
              </w:rPr>
              <w:t>3</w:t>
            </w:r>
            <w:r w:rsidR="00113F52">
              <w:rPr>
                <w:rFonts w:ascii="Times New Roman" w:eastAsia="Times New Roman" w:hAnsi="Times New Roman" w:cs="Times New Roman"/>
                <w:b/>
                <w:bCs/>
                <w:sz w:val="44"/>
                <w:szCs w:val="48"/>
                <w:u w:val="single"/>
              </w:rPr>
              <w:t xml:space="preserve">  </w:t>
            </w:r>
          </w:p>
        </w:tc>
      </w:tr>
      <w:tr w:rsidR="00113F52" w:rsidRPr="005834E7" w:rsidTr="00957382">
        <w:trPr>
          <w:trHeight w:val="285"/>
          <w:tblCellSpacing w:w="15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13F52" w:rsidRPr="007D6DFF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113F52" w:rsidRPr="005834E7" w:rsidTr="00957382">
        <w:trPr>
          <w:trHeight w:val="285"/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13F52" w:rsidRPr="00C77E7F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Professor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13F52" w:rsidRPr="00C77E7F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M. Walker III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13F52" w:rsidRPr="00C77E7F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Assessment</w:t>
            </w:r>
          </w:p>
        </w:tc>
      </w:tr>
      <w:tr w:rsidR="00113F52" w:rsidRPr="005834E7" w:rsidTr="00957382">
        <w:trPr>
          <w:trHeight w:val="285"/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:rsidR="00113F52" w:rsidRPr="007D6DFF" w:rsidRDefault="00113F52" w:rsidP="009573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00"/>
                <w:sz w:val="24"/>
                <w:szCs w:val="24"/>
              </w:rPr>
            </w:pPr>
            <w:r w:rsidRPr="007D6DFF">
              <w:rPr>
                <w:rFonts w:ascii="Garamond" w:eastAsia="Times New Roman" w:hAnsi="Garamond" w:cs="Times New Roman"/>
                <w:b/>
                <w:bCs/>
                <w:color w:val="FFFF00"/>
                <w:sz w:val="24"/>
                <w:szCs w:val="24"/>
              </w:rPr>
              <w:t>Item Number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:rsidR="00113F52" w:rsidRPr="007D6DFF" w:rsidRDefault="00113F52" w:rsidP="0095738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FFFF00"/>
                <w:sz w:val="24"/>
                <w:szCs w:val="24"/>
              </w:rPr>
            </w:pPr>
            <w:r w:rsidRPr="007D6DFF">
              <w:rPr>
                <w:rFonts w:ascii="Garamond" w:eastAsia="Times New Roman" w:hAnsi="Garamond" w:cs="Times New Roman"/>
                <w:b/>
                <w:bCs/>
                <w:color w:val="FFFF00"/>
                <w:sz w:val="24"/>
                <w:szCs w:val="24"/>
              </w:rPr>
              <w:t xml:space="preserve"> Item Description    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:rsidR="00113F52" w:rsidRPr="007D6DFF" w:rsidRDefault="00113F52" w:rsidP="009573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00"/>
                <w:sz w:val="24"/>
                <w:szCs w:val="24"/>
              </w:rPr>
            </w:pPr>
            <w:r w:rsidRPr="007D6DFF">
              <w:rPr>
                <w:rFonts w:ascii="Garamond" w:eastAsia="Times New Roman" w:hAnsi="Garamond" w:cs="Times New Roman"/>
                <w:b/>
                <w:bCs/>
                <w:color w:val="FFFF00"/>
                <w:sz w:val="24"/>
                <w:szCs w:val="24"/>
              </w:rPr>
              <w:t>Total Point Value</w:t>
            </w:r>
          </w:p>
        </w:tc>
      </w:tr>
      <w:tr w:rsidR="00113F52" w:rsidRPr="005834E7" w:rsidTr="00957382">
        <w:trPr>
          <w:trHeight w:val="285"/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F52" w:rsidRPr="007D6DFF" w:rsidRDefault="00113F52" w:rsidP="009573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00"/>
                <w:sz w:val="24"/>
                <w:szCs w:val="24"/>
              </w:rPr>
            </w:pPr>
            <w:r w:rsidRPr="007D6DFF">
              <w:rPr>
                <w:rFonts w:ascii="Garamond" w:eastAsia="Times New Roman" w:hAnsi="Garamond" w:cs="Times New Roman"/>
                <w:color w:val="FFFF00"/>
                <w:sz w:val="24"/>
                <w:szCs w:val="24"/>
              </w:rPr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:rsidR="00113F52" w:rsidRPr="007D6DFF" w:rsidRDefault="00113F52" w:rsidP="009573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00"/>
                <w:sz w:val="24"/>
                <w:szCs w:val="24"/>
              </w:rPr>
            </w:pPr>
            <w:r w:rsidRPr="007D6DFF">
              <w:rPr>
                <w:rFonts w:ascii="Garamond" w:eastAsia="Times New Roman" w:hAnsi="Garamond" w:cs="Times New Roman"/>
                <w:color w:val="FFFF00"/>
                <w:sz w:val="24"/>
                <w:szCs w:val="24"/>
              </w:rPr>
              <w:t>NO IN-CLASS LECTURES, ALL DESIGN INSTRUCTION BY THE PROFESSOR IS TEAM-INTERACTIVE AND PROJECT BASED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F52" w:rsidRPr="007D6DFF" w:rsidRDefault="00113F52" w:rsidP="009573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00"/>
                <w:sz w:val="24"/>
                <w:szCs w:val="24"/>
              </w:rPr>
            </w:pPr>
            <w:r w:rsidRPr="007D6DFF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All 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e</w:t>
            </w:r>
            <w:r w:rsidRPr="007D6DFF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valuation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 and</w:t>
            </w:r>
            <w:r w:rsidRPr="007D6DFF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class meeting is </w:t>
            </w:r>
            <w:r w:rsidRPr="007D6DFF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done in 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BME </w:t>
            </w:r>
            <w:r w:rsidRPr="007D6DFF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Design Loft </w:t>
            </w:r>
          </w:p>
        </w:tc>
      </w:tr>
      <w:tr w:rsidR="00113F52" w:rsidRPr="005834E7" w:rsidTr="00957382">
        <w:trPr>
          <w:trHeight w:val="285"/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5834E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Default="00D30EBF" w:rsidP="0095738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Oral </w:t>
            </w:r>
            <w:r w:rsidR="00113F52" w:rsidRPr="004A576D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owerPoint</w:t>
            </w:r>
            <w:r w:rsidR="00113F52" w:rsidRPr="004A576D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Presentations</w:t>
            </w:r>
            <w:r w:rsidR="00113F52" w:rsidRPr="004A576D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B50AB6" w:rsidRDefault="00B50AB6" w:rsidP="0095738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B50AB6" w:rsidRDefault="00B50AB6" w:rsidP="00113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Each week, the two peer teams will alternate Oral Exam Presentation. This will engage the team presenting with problem solving/quiz sessions with professor, and peer team.  </w:t>
            </w:r>
          </w:p>
          <w:p w:rsidR="00D1650B" w:rsidRDefault="00D1650B" w:rsidP="00113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Team grades</w:t>
            </w:r>
          </w:p>
          <w:p w:rsidR="00113F52" w:rsidRDefault="00113F52" w:rsidP="00113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A576D">
              <w:rPr>
                <w:rFonts w:ascii="Garamond" w:eastAsia="Times New Roman" w:hAnsi="Garamond" w:cs="Times New Roman"/>
                <w:sz w:val="24"/>
                <w:szCs w:val="24"/>
              </w:rPr>
              <w:t>The final "oral" presentation will be with a draft final poster.</w:t>
            </w:r>
          </w:p>
          <w:p w:rsidR="00516A56" w:rsidRPr="004A576D" w:rsidRDefault="00516A56" w:rsidP="00113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The Oral exams should contain content that resulted from at least 6 to 10 hours per week of project work.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486F7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92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86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3F52" w:rsidRPr="005834E7" w:rsidRDefault="00113F52" w:rsidP="00D1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492B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430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="00492B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430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points each</w:t>
            </w:r>
            <w:r w:rsidRPr="005834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presentation</w:t>
            </w:r>
            <w:r w:rsidRPr="00430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see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Excel Sheet</w:t>
            </w:r>
            <w:r w:rsidRPr="00430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schedule of assigned dates per team</w:t>
            </w:r>
          </w:p>
        </w:tc>
      </w:tr>
      <w:tr w:rsidR="00113F52" w:rsidRPr="005834E7" w:rsidTr="00957382">
        <w:trPr>
          <w:trHeight w:val="285"/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5834E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430BDC" w:rsidRDefault="00113F52" w:rsidP="00957382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430BD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Peer to Peer Observation and </w:t>
            </w:r>
            <w:r w:rsidRPr="005834E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Weekly reports the </w:t>
            </w:r>
            <w:r w:rsidRPr="00430BD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opposite week of the Oral Presentation.   </w:t>
            </w:r>
          </w:p>
          <w:p w:rsidR="00113F52" w:rsidRDefault="007A5371" w:rsidP="00113F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Progress r</w:t>
            </w:r>
            <w:r w:rsidR="00113F52" w:rsidRPr="00430BDC">
              <w:rPr>
                <w:rFonts w:ascii="Garamond" w:eastAsia="Times New Roman" w:hAnsi="Garamond" w:cs="Times New Roman"/>
                <w:sz w:val="24"/>
                <w:szCs w:val="24"/>
              </w:rPr>
              <w:t xml:space="preserve">eports will be 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posted</w:t>
            </w:r>
            <w:r w:rsidR="00113F52" w:rsidRPr="00430BDC">
              <w:rPr>
                <w:rFonts w:ascii="Garamond" w:eastAsia="Times New Roman" w:hAnsi="Garamond" w:cs="Times New Roman"/>
                <w:sz w:val="24"/>
                <w:szCs w:val="24"/>
              </w:rPr>
              <w:t xml:space="preserve"> online </w:t>
            </w:r>
            <w:r w:rsidR="00113F52">
              <w:rPr>
                <w:rFonts w:ascii="Garamond" w:eastAsia="Times New Roman" w:hAnsi="Garamond" w:cs="Times New Roman"/>
                <w:sz w:val="24"/>
                <w:szCs w:val="24"/>
              </w:rPr>
              <w:t>at the time of your</w:t>
            </w:r>
            <w:r w:rsidR="00113F52" w:rsidRPr="00430BDC">
              <w:rPr>
                <w:rFonts w:ascii="Garamond" w:eastAsia="Times New Roman" w:hAnsi="Garamond" w:cs="Times New Roman"/>
                <w:sz w:val="24"/>
                <w:szCs w:val="24"/>
              </w:rPr>
              <w:t xml:space="preserve"> team’s observation of the paired team</w:t>
            </w:r>
            <w:r w:rsidR="00113F52">
              <w:rPr>
                <w:rFonts w:ascii="Garamond" w:eastAsia="Times New Roman" w:hAnsi="Garamond" w:cs="Times New Roman"/>
                <w:sz w:val="24"/>
                <w:szCs w:val="24"/>
              </w:rPr>
              <w:t>’s Oral presentation</w:t>
            </w:r>
            <w:r w:rsidR="00113F52" w:rsidRPr="00430BDC">
              <w:rPr>
                <w:rFonts w:ascii="Garamond" w:eastAsia="Times New Roman" w:hAnsi="Garamond" w:cs="Times New Roman"/>
                <w:sz w:val="24"/>
                <w:szCs w:val="24"/>
              </w:rPr>
              <w:t>…</w:t>
            </w:r>
          </w:p>
          <w:p w:rsidR="009A34D8" w:rsidRDefault="009A34D8" w:rsidP="009A34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9A34D8">
              <w:rPr>
                <w:rFonts w:ascii="Garamond" w:eastAsia="Times New Roman" w:hAnsi="Garamond" w:cs="Times New Roman"/>
                <w:sz w:val="24"/>
                <w:szCs w:val="24"/>
              </w:rPr>
              <w:t>All drawings (Solid Works and other sketches) and all code developed must be included!  This is a professional report!</w:t>
            </w:r>
          </w:p>
          <w:p w:rsidR="00113F52" w:rsidRDefault="00113F52" w:rsidP="00113F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30BDC">
              <w:rPr>
                <w:rFonts w:ascii="Garamond" w:eastAsia="Times New Roman" w:hAnsi="Garamond" w:cs="Times New Roman"/>
                <w:sz w:val="24"/>
                <w:szCs w:val="24"/>
              </w:rPr>
              <w:t>Paired team is color matched on Excel Sheet Schedule.</w:t>
            </w:r>
          </w:p>
          <w:p w:rsidR="00113F52" w:rsidRPr="00430BDC" w:rsidRDefault="00113F52" w:rsidP="00113F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Follow the guidelines for both the written report and the Peer-to-Peer Observations (see OAK Upload). *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486F7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92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113F52" w:rsidRPr="005834E7" w:rsidRDefault="00113F52" w:rsidP="0049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92B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r w:rsidR="00492B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 each) </w:t>
            </w:r>
            <w:r w:rsidRPr="00430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see schedule of assigned dates per team</w:t>
            </w: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F52" w:rsidRPr="005834E7" w:rsidTr="00957382">
        <w:trPr>
          <w:trHeight w:val="285"/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5834E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055CE8" w:rsidRDefault="00113F52" w:rsidP="00957382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Complete W</w:t>
            </w:r>
            <w:r w:rsidRPr="005834E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eb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Content P</w:t>
            </w:r>
            <w:r w:rsidRPr="005834E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resentation </w:t>
            </w:r>
          </w:p>
          <w:p w:rsidR="007A5371" w:rsidRPr="00E15116" w:rsidRDefault="00113F52" w:rsidP="00E1511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135FA">
              <w:rPr>
                <w:rFonts w:ascii="Garamond" w:eastAsia="Times New Roman" w:hAnsi="Garamond" w:cs="Times New Roman"/>
                <w:sz w:val="24"/>
                <w:szCs w:val="24"/>
              </w:rPr>
              <w:t xml:space="preserve">Lifelong 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Self </w:t>
            </w:r>
            <w:r w:rsidRPr="005135FA">
              <w:rPr>
                <w:rFonts w:ascii="Garamond" w:eastAsia="Times New Roman" w:hAnsi="Garamond" w:cs="Times New Roman"/>
                <w:sz w:val="24"/>
                <w:szCs w:val="24"/>
              </w:rPr>
              <w:t>learning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assignments</w:t>
            </w:r>
            <w:r w:rsidRPr="005135FA">
              <w:rPr>
                <w:rFonts w:ascii="Garamond" w:eastAsia="Times New Roman" w:hAnsi="Garamond" w:cs="Times New Roman"/>
                <w:sz w:val="24"/>
                <w:szCs w:val="24"/>
              </w:rPr>
              <w:t xml:space="preserve"> Web checks</w:t>
            </w:r>
            <w:r w:rsidR="00E15116">
              <w:rPr>
                <w:rFonts w:ascii="Garamond" w:eastAsia="Times New Roman" w:hAnsi="Garamond" w:cs="Times New Roman"/>
                <w:sz w:val="24"/>
                <w:szCs w:val="24"/>
              </w:rPr>
              <w:t xml:space="preserve">: </w:t>
            </w:r>
            <w:r w:rsidR="007A5371" w:rsidRPr="00E15116">
              <w:rPr>
                <w:rFonts w:ascii="Garamond" w:eastAsia="Times New Roman" w:hAnsi="Garamond" w:cs="Times New Roman"/>
                <w:sz w:val="24"/>
                <w:szCs w:val="24"/>
              </w:rPr>
              <w:t>3 Assessments of updated Web Pages</w:t>
            </w:r>
          </w:p>
          <w:p w:rsidR="00113F52" w:rsidRPr="00055CE8" w:rsidRDefault="00F642BE" w:rsidP="00113F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CREO </w:t>
            </w:r>
            <w:r w:rsidR="00D1266A">
              <w:rPr>
                <w:rFonts w:ascii="Garamond" w:eastAsia="Times New Roman" w:hAnsi="Garamond" w:cs="Times New Roman"/>
                <w:sz w:val="24"/>
                <w:szCs w:val="24"/>
              </w:rPr>
              <w:t>Engineering drawings</w:t>
            </w:r>
          </w:p>
          <w:p w:rsidR="00113F52" w:rsidRPr="00055CE8" w:rsidRDefault="00113F52" w:rsidP="00113F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55CE8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>Full and update MS Project Plan of your Teams Project</w:t>
            </w:r>
          </w:p>
          <w:p w:rsidR="00113F52" w:rsidRDefault="00FB2ABC" w:rsidP="00113F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</w:rPr>
              <w:t>Designs</w:t>
            </w:r>
            <w:r w:rsidR="00113F52" w:rsidRPr="00055CE8">
              <w:rPr>
                <w:rFonts w:ascii="Garamond" w:eastAsia="Times New Roman" w:hAnsi="Garamond" w:cs="Times New Roman"/>
                <w:sz w:val="24"/>
                <w:szCs w:val="24"/>
              </w:rPr>
              <w:t>afe</w:t>
            </w:r>
            <w:proofErr w:type="spellEnd"/>
            <w:r w:rsidR="00F642BE">
              <w:rPr>
                <w:rFonts w:ascii="Garamond" w:eastAsia="Times New Roman" w:hAnsi="Garamond" w:cs="Times New Roman"/>
                <w:sz w:val="24"/>
                <w:szCs w:val="24"/>
              </w:rPr>
              <w:t xml:space="preserve"> (if applicable)</w:t>
            </w:r>
          </w:p>
          <w:p w:rsidR="00492B9C" w:rsidRDefault="00E15116" w:rsidP="00113F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Updated content on Team’s</w:t>
            </w:r>
            <w:r w:rsidR="00492B9C">
              <w:rPr>
                <w:rFonts w:ascii="Garamond" w:eastAsia="Times New Roman" w:hAnsi="Garamond" w:cs="Times New Roman"/>
                <w:sz w:val="24"/>
                <w:szCs w:val="24"/>
              </w:rPr>
              <w:t xml:space="preserve"> Web Pages</w:t>
            </w:r>
          </w:p>
          <w:p w:rsidR="006F0001" w:rsidRPr="00055CE8" w:rsidRDefault="006F0001" w:rsidP="00113F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Final Grant submission to the web site</w:t>
            </w:r>
          </w:p>
          <w:p w:rsidR="00113F52" w:rsidRPr="005834E7" w:rsidRDefault="00113F52" w:rsidP="0095738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486F7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113F52" w:rsidRDefault="00113F52" w:rsidP="0049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checks, value</w:t>
            </w:r>
            <w:r w:rsidR="00D12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1266A" w:rsidRDefault="00D1266A" w:rsidP="0049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Check 1:Feb 5, </w:t>
            </w:r>
          </w:p>
          <w:p w:rsidR="00D1266A" w:rsidRDefault="00D1266A" w:rsidP="0049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 2:  March 4,</w:t>
            </w:r>
          </w:p>
          <w:p w:rsidR="00D1266A" w:rsidRPr="005834E7" w:rsidRDefault="00D1266A" w:rsidP="0049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 3:  April 8</w:t>
            </w:r>
          </w:p>
        </w:tc>
      </w:tr>
      <w:tr w:rsidR="00113F52" w:rsidRPr="005834E7" w:rsidTr="00957382">
        <w:trPr>
          <w:trHeight w:val="285"/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5834E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486F77" w:rsidRDefault="00113F52" w:rsidP="00957382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486F7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Poster session judge 1 </w:t>
            </w:r>
          </w:p>
          <w:p w:rsidR="00113F52" w:rsidRPr="00486F77" w:rsidRDefault="00791E80" w:rsidP="00F85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color w:val="000000"/>
              </w:rPr>
              <w:t>Design Day (Mon. April 2</w:t>
            </w:r>
            <w:r w:rsidR="00F8533F">
              <w:rPr>
                <w:color w:val="000000"/>
              </w:rPr>
              <w:t>5</w:t>
            </w:r>
            <w:r>
              <w:rPr>
                <w:color w:val="000000"/>
              </w:rPr>
              <w:t>, 201</w:t>
            </w:r>
            <w:r w:rsidR="00F8533F">
              <w:rPr>
                <w:color w:val="000000"/>
              </w:rPr>
              <w:t>6</w:t>
            </w:r>
            <w:r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486F7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13F52" w:rsidRPr="005834E7" w:rsidTr="00957382">
        <w:trPr>
          <w:trHeight w:val="285"/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5834E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Default="00113F52" w:rsidP="00957382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486F7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Poster session judge 2</w:t>
            </w:r>
          </w:p>
          <w:p w:rsidR="00F75E7B" w:rsidRPr="00486F77" w:rsidRDefault="00791E80" w:rsidP="00F8533F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Design Day (Mon. April 2</w:t>
            </w:r>
            <w:r w:rsidR="00F8533F">
              <w:rPr>
                <w:color w:val="000000"/>
              </w:rPr>
              <w:t>5</w:t>
            </w:r>
            <w:r>
              <w:rPr>
                <w:color w:val="000000"/>
              </w:rPr>
              <w:t>, 20</w:t>
            </w:r>
            <w:r w:rsidR="00F8533F">
              <w:rPr>
                <w:color w:val="000000"/>
              </w:rPr>
              <w:t>16</w:t>
            </w:r>
            <w:r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486F7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13F52" w:rsidRPr="005834E7" w:rsidTr="00957382">
        <w:trPr>
          <w:trHeight w:val="285"/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5834E7" w:rsidRDefault="00113F52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486F77" w:rsidRDefault="00113F52" w:rsidP="00957382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486F7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Advisor grade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F52" w:rsidRPr="00486F77" w:rsidRDefault="007F72A7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113F52" w:rsidRPr="00486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492B9C" w:rsidRPr="005834E7" w:rsidTr="00492B9C">
        <w:trPr>
          <w:trHeight w:val="285"/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C" w:rsidRPr="005834E7" w:rsidRDefault="00492B9C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B9C" w:rsidRPr="005834E7" w:rsidRDefault="00492B9C" w:rsidP="00BB19DC">
            <w:pPr>
              <w:spacing w:before="100" w:beforeAutospacing="1" w:after="100" w:afterAutospacing="1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32"/>
                <w:szCs w:val="24"/>
                <w:u w:val="single"/>
              </w:rPr>
              <w:t>T</w:t>
            </w:r>
            <w:r w:rsidRPr="00113F52">
              <w:rPr>
                <w:rFonts w:ascii="Garamond" w:eastAsia="Times New Roman" w:hAnsi="Garamond" w:cs="Times New Roman"/>
                <w:sz w:val="32"/>
                <w:szCs w:val="24"/>
                <w:u w:val="single"/>
              </w:rPr>
              <w:t>otal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B9C" w:rsidRPr="00FB2ABC" w:rsidRDefault="00492B9C" w:rsidP="007F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AB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0</w:t>
            </w:r>
            <w:r w:rsidR="007F72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0</w:t>
            </w:r>
            <w:r w:rsidRPr="00FB2AB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**</w:t>
            </w:r>
          </w:p>
        </w:tc>
      </w:tr>
      <w:tr w:rsidR="00492B9C" w:rsidRPr="005834E7" w:rsidTr="00492B9C">
        <w:trPr>
          <w:trHeight w:val="285"/>
          <w:tblCellSpacing w:w="15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C" w:rsidRPr="005834E7" w:rsidRDefault="00492B9C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B9C" w:rsidRPr="005834E7" w:rsidRDefault="00492B9C" w:rsidP="00957382">
            <w:pPr>
              <w:spacing w:before="100" w:beforeAutospacing="1" w:after="100" w:afterAutospacing="1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B9C" w:rsidRPr="00FB2ABC" w:rsidRDefault="00492B9C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B9C" w:rsidRPr="005834E7" w:rsidTr="00492B9C">
        <w:trPr>
          <w:trHeight w:val="285"/>
          <w:tblCellSpacing w:w="15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C" w:rsidRPr="005834E7" w:rsidRDefault="00492B9C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C" w:rsidRDefault="00AC6DE7" w:rsidP="00957382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92B9C" w:rsidRPr="00486F77" w:rsidRDefault="00492B9C" w:rsidP="00FB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There</w:t>
            </w:r>
            <w:r w:rsidRPr="00486F7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are two teams in the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BME Design L</w:t>
            </w:r>
            <w:r w:rsidRPr="00486F7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oft, one team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presents</w:t>
            </w:r>
            <w:r w:rsidRPr="00486F7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and the other team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observes and</w:t>
            </w:r>
            <w:r w:rsidRPr="00486F7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give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</w:t>
            </w:r>
            <w:r w:rsidRPr="00486F7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feedback.  See schedule for the time for your teams.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The teams are paired by color key (see Excel Sheet)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C" w:rsidRPr="005834E7" w:rsidRDefault="00492B9C" w:rsidP="0095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4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13F52" w:rsidRDefault="00113F52" w:rsidP="0011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  <w:r w:rsidRPr="00486F7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** indicates that the advisor may give different grades to different students on a design team dependent upon his/her opinion of the caliber of that student's work.   Likewise, overall course grades may be modified by the instructor if group opinion, based upon </w:t>
      </w:r>
      <w:r w:rsidR="00FB2ABC" w:rsidRPr="00486F7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the Peer</w:t>
      </w:r>
      <w:r w:rsidRPr="00486F77"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  <w:t xml:space="preserve">-to-Peer Observational Review </w:t>
      </w:r>
      <w:r w:rsidRPr="00486F7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process, indicates that a given student did not contribute well to the group effort.  See </w:t>
      </w:r>
      <w:r w:rsidR="00F75E7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form 3</w:t>
      </w:r>
      <w:r w:rsidRPr="00486F7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F75E7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for the</w:t>
      </w:r>
      <w:r w:rsidRPr="00486F7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486F77"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  <w:t>Peer-to-Peer Observational Review expectations.</w:t>
      </w:r>
    </w:p>
    <w:p w:rsidR="00113F52" w:rsidRPr="005834E7" w:rsidRDefault="004173A5" w:rsidP="0011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113F52" w:rsidRDefault="00113F52" w:rsidP="00113F5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</w:pPr>
    </w:p>
    <w:p w:rsidR="00444703" w:rsidRDefault="00444703"/>
    <w:sectPr w:rsidR="0044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E1645"/>
    <w:multiLevelType w:val="hybridMultilevel"/>
    <w:tmpl w:val="2D80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46796"/>
    <w:multiLevelType w:val="hybridMultilevel"/>
    <w:tmpl w:val="838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46C92"/>
    <w:multiLevelType w:val="hybridMultilevel"/>
    <w:tmpl w:val="D01E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431B"/>
    <w:multiLevelType w:val="hybridMultilevel"/>
    <w:tmpl w:val="3818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52"/>
    <w:rsid w:val="0000449E"/>
    <w:rsid w:val="000E0A3A"/>
    <w:rsid w:val="00113F52"/>
    <w:rsid w:val="00241ABE"/>
    <w:rsid w:val="00295BD1"/>
    <w:rsid w:val="00364A97"/>
    <w:rsid w:val="004173A5"/>
    <w:rsid w:val="00444703"/>
    <w:rsid w:val="00492B9C"/>
    <w:rsid w:val="00516A56"/>
    <w:rsid w:val="0065565A"/>
    <w:rsid w:val="006F0001"/>
    <w:rsid w:val="007255F1"/>
    <w:rsid w:val="00791E80"/>
    <w:rsid w:val="0079500A"/>
    <w:rsid w:val="007A5371"/>
    <w:rsid w:val="007F72A7"/>
    <w:rsid w:val="008563C9"/>
    <w:rsid w:val="009A34D8"/>
    <w:rsid w:val="009D1F80"/>
    <w:rsid w:val="009D3E34"/>
    <w:rsid w:val="00A950E6"/>
    <w:rsid w:val="00AA1B49"/>
    <w:rsid w:val="00AB5B5D"/>
    <w:rsid w:val="00AC6DE7"/>
    <w:rsid w:val="00B50AB6"/>
    <w:rsid w:val="00C15846"/>
    <w:rsid w:val="00CF22B1"/>
    <w:rsid w:val="00D1266A"/>
    <w:rsid w:val="00D1650B"/>
    <w:rsid w:val="00D30EBF"/>
    <w:rsid w:val="00D5406B"/>
    <w:rsid w:val="00E15116"/>
    <w:rsid w:val="00F42833"/>
    <w:rsid w:val="00F642BE"/>
    <w:rsid w:val="00F75E7B"/>
    <w:rsid w:val="00F8533F"/>
    <w:rsid w:val="00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3A768-E2AA-4CEB-9203-36249DC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Matthew Walker III</dc:creator>
  <cp:lastModifiedBy>Holly Thomas</cp:lastModifiedBy>
  <cp:revision>2</cp:revision>
  <dcterms:created xsi:type="dcterms:W3CDTF">2016-02-16T01:06:00Z</dcterms:created>
  <dcterms:modified xsi:type="dcterms:W3CDTF">2016-02-16T01:06:00Z</dcterms:modified>
</cp:coreProperties>
</file>