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332E4" w:rsidRDefault="00B332E4">
      <w:pPr>
        <w:jc w:val="both"/>
      </w:pPr>
      <w:bookmarkStart w:id="0" w:name="h.gjdgxs" w:colFirst="0" w:colLast="0"/>
      <w:bookmarkEnd w:id="0"/>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143CEA" w:rsidRDefault="00143CEA">
      <w:pPr>
        <w:jc w:val="both"/>
      </w:pPr>
    </w:p>
    <w:p w:rsidR="00B332E4" w:rsidRDefault="00B332E4">
      <w:pPr>
        <w:jc w:val="both"/>
      </w:pPr>
    </w:p>
    <w:p w:rsidR="00B332E4" w:rsidRDefault="00B332E4">
      <w:pPr>
        <w:jc w:val="both"/>
      </w:pPr>
    </w:p>
    <w:p w:rsidR="00B332E4" w:rsidRDefault="00B332E4">
      <w:pPr>
        <w:jc w:val="both"/>
      </w:pPr>
    </w:p>
    <w:p w:rsidR="00B332E4" w:rsidRDefault="00A56EBC">
      <w:pPr>
        <w:jc w:val="both"/>
      </w:pPr>
      <w:r>
        <w:rPr>
          <w:noProof/>
        </w:rPr>
        <w:drawing>
          <wp:inline distT="114300" distB="114300" distL="114300" distR="114300">
            <wp:extent cx="5943600" cy="1816100"/>
            <wp:effectExtent l="0" t="0" r="0" b="0"/>
            <wp:docPr id="3" name="image06.jpg" descr="LS-New.jpg"/>
            <wp:cNvGraphicFramePr/>
            <a:graphic xmlns:a="http://schemas.openxmlformats.org/drawingml/2006/main">
              <a:graphicData uri="http://schemas.openxmlformats.org/drawingml/2006/picture">
                <pic:pic xmlns:pic="http://schemas.openxmlformats.org/drawingml/2006/picture">
                  <pic:nvPicPr>
                    <pic:cNvPr id="0" name="image06.jpg" descr="LS-New.jpg"/>
                    <pic:cNvPicPr preferRelativeResize="0"/>
                  </pic:nvPicPr>
                  <pic:blipFill>
                    <a:blip r:embed="rId7"/>
                    <a:srcRect/>
                    <a:stretch>
                      <a:fillRect/>
                    </a:stretch>
                  </pic:blipFill>
                  <pic:spPr>
                    <a:xfrm>
                      <a:off x="0" y="0"/>
                      <a:ext cx="5943600" cy="1816100"/>
                    </a:xfrm>
                    <a:prstGeom prst="rect">
                      <a:avLst/>
                    </a:prstGeom>
                    <a:ln/>
                  </pic:spPr>
                </pic:pic>
              </a:graphicData>
            </a:graphic>
          </wp:inline>
        </w:drawing>
      </w:r>
    </w:p>
    <w:p w:rsidR="00B332E4" w:rsidRDefault="00B332E4">
      <w:pPr>
        <w:jc w:val="both"/>
      </w:pPr>
    </w:p>
    <w:p w:rsidR="00B332E4" w:rsidRDefault="00B332E4">
      <w:pPr>
        <w:jc w:val="both"/>
      </w:pPr>
    </w:p>
    <w:p w:rsidR="00B332E4" w:rsidRDefault="00B332E4">
      <w:pPr>
        <w:jc w:val="both"/>
      </w:pPr>
    </w:p>
    <w:p w:rsidR="00B332E4" w:rsidRDefault="00B332E4">
      <w:pPr>
        <w:jc w:val="both"/>
      </w:pPr>
    </w:p>
    <w:p w:rsidR="00143CEA" w:rsidRDefault="00143CEA">
      <w:pPr>
        <w:jc w:val="both"/>
      </w:pPr>
    </w:p>
    <w:p w:rsidR="00143CEA" w:rsidRDefault="00143CEA">
      <w:pPr>
        <w:jc w:val="both"/>
      </w:pPr>
    </w:p>
    <w:p w:rsidR="00143CEA" w:rsidRDefault="00143CEA">
      <w:pPr>
        <w:jc w:val="both"/>
      </w:pPr>
    </w:p>
    <w:p w:rsidR="00B332E4" w:rsidRDefault="00B332E4">
      <w:pPr>
        <w:jc w:val="both"/>
      </w:pPr>
    </w:p>
    <w:p w:rsidR="00B332E4" w:rsidRDefault="00B332E4">
      <w:pPr>
        <w:jc w:val="both"/>
      </w:pPr>
    </w:p>
    <w:p w:rsidR="00B332E4" w:rsidRDefault="00B332E4">
      <w:pPr>
        <w:jc w:val="both"/>
      </w:pPr>
    </w:p>
    <w:p w:rsidR="00B332E4" w:rsidRDefault="00B332E4">
      <w:pPr>
        <w:jc w:val="both"/>
      </w:pPr>
    </w:p>
    <w:p w:rsidR="00B332E4" w:rsidRDefault="00B332E4">
      <w:pPr>
        <w:jc w:val="both"/>
      </w:pPr>
    </w:p>
    <w:p w:rsidR="00B332E4" w:rsidRDefault="00A56EBC">
      <w:pPr>
        <w:jc w:val="right"/>
      </w:pPr>
      <w:r>
        <w:rPr>
          <w:rFonts w:ascii="Times New Roman" w:eastAsia="Times New Roman" w:hAnsi="Times New Roman" w:cs="Times New Roman"/>
          <w:sz w:val="28"/>
          <w:szCs w:val="28"/>
        </w:rPr>
        <w:t xml:space="preserve">Brandon </w:t>
      </w:r>
      <w:proofErr w:type="spellStart"/>
      <w:r>
        <w:rPr>
          <w:rFonts w:ascii="Times New Roman" w:eastAsia="Times New Roman" w:hAnsi="Times New Roman" w:cs="Times New Roman"/>
          <w:sz w:val="28"/>
          <w:szCs w:val="28"/>
        </w:rPr>
        <w:t>Fross</w:t>
      </w:r>
      <w:proofErr w:type="spellEnd"/>
      <w:r>
        <w:rPr>
          <w:rFonts w:ascii="Times New Roman" w:eastAsia="Times New Roman" w:hAnsi="Times New Roman" w:cs="Times New Roman"/>
          <w:sz w:val="28"/>
          <w:szCs w:val="28"/>
        </w:rPr>
        <w:t>………………………......B.E. - Biomedical Engineering, May 2016</w:t>
      </w:r>
    </w:p>
    <w:p w:rsidR="00B332E4" w:rsidRDefault="00A56EBC">
      <w:pPr>
        <w:jc w:val="right"/>
      </w:pPr>
      <w:r>
        <w:rPr>
          <w:rFonts w:ascii="Times New Roman" w:eastAsia="Times New Roman" w:hAnsi="Times New Roman" w:cs="Times New Roman"/>
          <w:sz w:val="28"/>
          <w:szCs w:val="28"/>
        </w:rPr>
        <w:t>John Mendoza………………………......B.E. - Biomedical Engineering, May 2016</w:t>
      </w:r>
    </w:p>
    <w:p w:rsidR="00B332E4" w:rsidRDefault="00A56EBC">
      <w:pPr>
        <w:jc w:val="right"/>
      </w:pPr>
      <w:r>
        <w:rPr>
          <w:rFonts w:ascii="Times New Roman" w:eastAsia="Times New Roman" w:hAnsi="Times New Roman" w:cs="Times New Roman"/>
          <w:sz w:val="28"/>
          <w:szCs w:val="28"/>
        </w:rPr>
        <w:t>Laurel Piper………………………..…....B.E. - Biomedical Engineering, May 2016</w:t>
      </w:r>
    </w:p>
    <w:p w:rsidR="00B332E4" w:rsidRDefault="00A56EBC">
      <w:pPr>
        <w:jc w:val="right"/>
      </w:pPr>
      <w:r>
        <w:rPr>
          <w:rFonts w:ascii="Times New Roman" w:eastAsia="Times New Roman" w:hAnsi="Times New Roman" w:cs="Times New Roman"/>
          <w:sz w:val="28"/>
          <w:szCs w:val="28"/>
        </w:rPr>
        <w:t>Siegfried Schlunk…………………….....B.E. - Biomedical Engineering, May 2016</w:t>
      </w:r>
    </w:p>
    <w:p w:rsidR="00B332E4" w:rsidRDefault="00A56EBC">
      <w:pPr>
        <w:jc w:val="right"/>
      </w:pPr>
      <w:r>
        <w:rPr>
          <w:rFonts w:ascii="Times New Roman" w:eastAsia="Times New Roman" w:hAnsi="Times New Roman" w:cs="Times New Roman"/>
          <w:sz w:val="28"/>
          <w:szCs w:val="28"/>
        </w:rPr>
        <w:t>Liza Stedman…………………………...B.E. - Biomedical Engineering, May 2016</w:t>
      </w:r>
    </w:p>
    <w:p w:rsidR="00B332E4" w:rsidRDefault="00A56EBC">
      <w:pPr>
        <w:jc w:val="right"/>
      </w:pPr>
      <w:proofErr w:type="spellStart"/>
      <w:r>
        <w:rPr>
          <w:rFonts w:ascii="Times New Roman" w:eastAsia="Times New Roman" w:hAnsi="Times New Roman" w:cs="Times New Roman"/>
          <w:sz w:val="28"/>
          <w:szCs w:val="28"/>
        </w:rPr>
        <w:t>Ahbid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Zein-Sabatto</w:t>
      </w:r>
      <w:proofErr w:type="spellEnd"/>
      <w:r>
        <w:rPr>
          <w:rFonts w:ascii="Times New Roman" w:eastAsia="Times New Roman" w:hAnsi="Times New Roman" w:cs="Times New Roman"/>
          <w:sz w:val="28"/>
          <w:szCs w:val="28"/>
        </w:rPr>
        <w:t>…………………..…B.E. - Biomedical Engineering, May 2016</w:t>
      </w:r>
    </w:p>
    <w:p w:rsidR="00B332E4" w:rsidRDefault="00B332E4">
      <w:pPr>
        <w:spacing w:line="480" w:lineRule="auto"/>
        <w:jc w:val="both"/>
      </w:pPr>
    </w:p>
    <w:p w:rsidR="00B332E4" w:rsidRDefault="00A56EBC">
      <w:pPr>
        <w:spacing w:line="480" w:lineRule="auto"/>
        <w:jc w:val="both"/>
      </w:pPr>
      <w:r>
        <w:rPr>
          <w:rFonts w:ascii="Times New Roman" w:eastAsia="Times New Roman" w:hAnsi="Times New Roman" w:cs="Times New Roman"/>
          <w:b/>
          <w:u w:val="single"/>
        </w:rPr>
        <w:lastRenderedPageBreak/>
        <w:t>Executive Summary</w:t>
      </w:r>
    </w:p>
    <w:p w:rsidR="00B332E4" w:rsidRDefault="00A56EBC">
      <w:pPr>
        <w:spacing w:line="480" w:lineRule="auto"/>
        <w:jc w:val="both"/>
      </w:pPr>
      <w:r>
        <w:rPr>
          <w:rFonts w:ascii="Times New Roman" w:eastAsia="Times New Roman" w:hAnsi="Times New Roman" w:cs="Times New Roman"/>
        </w:rPr>
        <w:t>       </w:t>
      </w:r>
      <w:r>
        <w:rPr>
          <w:rFonts w:ascii="Times New Roman" w:eastAsia="Times New Roman" w:hAnsi="Times New Roman" w:cs="Times New Roman"/>
        </w:rPr>
        <w:tab/>
        <w:t>Diabetics can face seriou</w:t>
      </w:r>
      <w:r>
        <w:rPr>
          <w:rFonts w:ascii="Times New Roman" w:eastAsia="Times New Roman" w:hAnsi="Times New Roman" w:cs="Times New Roman"/>
        </w:rPr>
        <w:t xml:space="preserve">s complications if they do not take care of themselves properly, such as diabetic foot ulcers (DFUs). The main problem behind DFUs is the slow healing process. Their sluggish healing is mainly attributed to peripheral arterial diseases and a lack of blood </w:t>
      </w:r>
      <w:r>
        <w:rPr>
          <w:rFonts w:ascii="Times New Roman" w:eastAsia="Times New Roman" w:hAnsi="Times New Roman" w:cs="Times New Roman"/>
        </w:rPr>
        <w:t>flow. Issues like peripheral neuropathy exacerbate their conditions. Blood vessels, typically in the hands and feet, will become finer causing reduced circulation of the blood. Oxygen and nutrients are important in the healing process, but the supply to ti</w:t>
      </w:r>
      <w:r>
        <w:rPr>
          <w:rFonts w:ascii="Times New Roman" w:eastAsia="Times New Roman" w:hAnsi="Times New Roman" w:cs="Times New Roman"/>
        </w:rPr>
        <w:t>ssue and nerves is limited due to the narrow blood vessels. Diabetic patients are more susceptible to injuries because they are less sensitive to pain, temperature and touch due to damage to the nerves.</w:t>
      </w:r>
      <w:r>
        <w:rPr>
          <w:rFonts w:ascii="Times New Roman" w:eastAsia="Times New Roman" w:hAnsi="Times New Roman" w:cs="Times New Roman"/>
          <w:vertAlign w:val="superscript"/>
        </w:rPr>
        <w:t>1</w:t>
      </w:r>
    </w:p>
    <w:p w:rsidR="00B332E4" w:rsidRDefault="00A56EBC">
      <w:pPr>
        <w:spacing w:line="480" w:lineRule="auto"/>
        <w:jc w:val="both"/>
      </w:pPr>
      <w:r>
        <w:rPr>
          <w:rFonts w:ascii="Times New Roman" w:eastAsia="Times New Roman" w:hAnsi="Times New Roman" w:cs="Times New Roman"/>
        </w:rPr>
        <w:t>       </w:t>
      </w:r>
      <w:r>
        <w:rPr>
          <w:rFonts w:ascii="Times New Roman" w:eastAsia="Times New Roman" w:hAnsi="Times New Roman" w:cs="Times New Roman"/>
        </w:rPr>
        <w:tab/>
        <w:t>In order to expedite the wound healing proce</w:t>
      </w:r>
      <w:r>
        <w:rPr>
          <w:rFonts w:ascii="Times New Roman" w:eastAsia="Times New Roman" w:hAnsi="Times New Roman" w:cs="Times New Roman"/>
        </w:rPr>
        <w:t xml:space="preserve">ss, we will develop a low-level light therapy device, LumaSil, to heal the DFUs. Previous studies have proven the efficacy of LED light exposure at wavelengths of 415 and 880 nm to help fight bacterial infections and promote wound healing respectively </w:t>
      </w:r>
      <w:r>
        <w:rPr>
          <w:rFonts w:ascii="Times New Roman" w:eastAsia="Times New Roman" w:hAnsi="Times New Roman" w:cs="Times New Roman"/>
          <w:vertAlign w:val="superscript"/>
        </w:rPr>
        <w:t>2,3</w:t>
      </w:r>
      <w:r>
        <w:rPr>
          <w:rFonts w:ascii="Times New Roman" w:eastAsia="Times New Roman" w:hAnsi="Times New Roman" w:cs="Times New Roman"/>
        </w:rPr>
        <w:t>.</w:t>
      </w:r>
      <w:r>
        <w:rPr>
          <w:rFonts w:ascii="Times New Roman" w:eastAsia="Times New Roman" w:hAnsi="Times New Roman" w:cs="Times New Roman"/>
        </w:rPr>
        <w:t xml:space="preserve"> This device will use LED lights and fiber optics that will be incorporated into a patient’s cast. The LEDs will transfer light from a LED module source via cabled fiber optic to a patch design. The patch design will be in close proximity with the patient’</w:t>
      </w:r>
      <w:r>
        <w:rPr>
          <w:rFonts w:ascii="Times New Roman" w:eastAsia="Times New Roman" w:hAnsi="Times New Roman" w:cs="Times New Roman"/>
        </w:rPr>
        <w:t>s wounds, and thus progress the healing process.</w:t>
      </w:r>
    </w:p>
    <w:p w:rsidR="00B332E4" w:rsidRDefault="00A56EBC">
      <w:pPr>
        <w:spacing w:line="480" w:lineRule="auto"/>
        <w:jc w:val="both"/>
      </w:pPr>
      <w:r>
        <w:rPr>
          <w:rFonts w:ascii="Times New Roman" w:eastAsia="Times New Roman" w:hAnsi="Times New Roman" w:cs="Times New Roman"/>
        </w:rPr>
        <w:t>       </w:t>
      </w:r>
      <w:r>
        <w:rPr>
          <w:rFonts w:ascii="Times New Roman" w:eastAsia="Times New Roman" w:hAnsi="Times New Roman" w:cs="Times New Roman"/>
        </w:rPr>
        <w:tab/>
        <w:t>There are a couple devices similar to the one we envision that use low level light therapy. However, we do not imagine them invading our market niche, but rather harmlessly possessing the same treatm</w:t>
      </w:r>
      <w:r>
        <w:rPr>
          <w:rFonts w:ascii="Times New Roman" w:eastAsia="Times New Roman" w:hAnsi="Times New Roman" w:cs="Times New Roman"/>
        </w:rPr>
        <w:t>ent method. A boot model exists that has LEDs that shine onto the injured epithelial layer. Because our technology includes the use of LEDs, this is a similar device. However, our design will be incorporated into a cast treatment rather than a removable bo</w:t>
      </w:r>
      <w:r>
        <w:rPr>
          <w:rFonts w:ascii="Times New Roman" w:eastAsia="Times New Roman" w:hAnsi="Times New Roman" w:cs="Times New Roman"/>
        </w:rPr>
        <w:t>ot. This improves patient compliance and therefore prevents the patient from tampering with the device.</w:t>
      </w:r>
    </w:p>
    <w:p w:rsidR="00B332E4" w:rsidRDefault="00A56EBC">
      <w:pPr>
        <w:spacing w:after="200" w:line="480" w:lineRule="auto"/>
        <w:jc w:val="both"/>
      </w:pPr>
      <w:r>
        <w:rPr>
          <w:rFonts w:ascii="Times New Roman" w:eastAsia="Times New Roman" w:hAnsi="Times New Roman" w:cs="Times New Roman"/>
        </w:rPr>
        <w:lastRenderedPageBreak/>
        <w:t>       </w:t>
      </w:r>
      <w:r>
        <w:rPr>
          <w:rFonts w:ascii="Times New Roman" w:eastAsia="Times New Roman" w:hAnsi="Times New Roman" w:cs="Times New Roman"/>
        </w:rPr>
        <w:tab/>
      </w:r>
      <w:r>
        <w:rPr>
          <w:rFonts w:ascii="Times New Roman" w:eastAsia="Times New Roman" w:hAnsi="Times New Roman" w:cs="Times New Roman"/>
        </w:rPr>
        <w:t>While we have not treated the efficacy of low-level light therapy to heal DFUs, there are multiple journal articles that cite this as a viable solution. Specifically, blue LED treatment has been cited as a possible way to accelerate the wound healing proce</w:t>
      </w:r>
      <w:r>
        <w:rPr>
          <w:rFonts w:ascii="Times New Roman" w:eastAsia="Times New Roman" w:hAnsi="Times New Roman" w:cs="Times New Roman"/>
        </w:rPr>
        <w:t>ss in addition to being an antimicrobial agent. Furthermore, there are studies that show that absorption of infrared light can ultimately result in down regulation of death-associated genes.</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t>Addressing the Medical Need</w:t>
      </w:r>
    </w:p>
    <w:p w:rsidR="00B332E4" w:rsidRDefault="00A56EBC">
      <w:pPr>
        <w:pStyle w:val="Heading3"/>
        <w:keepNext w:val="0"/>
        <w:keepLines w:val="0"/>
        <w:spacing w:before="0" w:after="0" w:line="480" w:lineRule="auto"/>
        <w:ind w:firstLine="720"/>
        <w:contextualSpacing w:val="0"/>
        <w:jc w:val="both"/>
      </w:pPr>
      <w:bookmarkStart w:id="1" w:name="h.tpdq782ma8ef" w:colFirst="0" w:colLast="0"/>
      <w:bookmarkEnd w:id="1"/>
      <w:r>
        <w:rPr>
          <w:rFonts w:ascii="Times New Roman" w:eastAsia="Times New Roman" w:hAnsi="Times New Roman" w:cs="Times New Roman"/>
          <w:b w:val="0"/>
          <w:sz w:val="24"/>
          <w:szCs w:val="24"/>
          <w:highlight w:val="white"/>
        </w:rPr>
        <w:t>Diabetes is an increasingly prevalent</w:t>
      </w:r>
      <w:r>
        <w:rPr>
          <w:rFonts w:ascii="Times New Roman" w:eastAsia="Times New Roman" w:hAnsi="Times New Roman" w:cs="Times New Roman"/>
          <w:b w:val="0"/>
          <w:sz w:val="24"/>
          <w:szCs w:val="24"/>
          <w:highlight w:val="white"/>
        </w:rPr>
        <w:t xml:space="preserve"> disease affecting 1 of every 11 Americans today. That’s approximately 29 million Americans. With this disease comes many additional complications like heart disease, kidney disease, and nerve damage. Of these complications, a commonly overseen condition i</w:t>
      </w:r>
      <w:r>
        <w:rPr>
          <w:rFonts w:ascii="Times New Roman" w:eastAsia="Times New Roman" w:hAnsi="Times New Roman" w:cs="Times New Roman"/>
          <w:b w:val="0"/>
          <w:sz w:val="24"/>
          <w:szCs w:val="24"/>
          <w:highlight w:val="white"/>
        </w:rPr>
        <w:t>n diabetic patients is the presence of diabetic foot ulcers (DFUs). These foot ulcers, though small at first, have the potential to develop into very costly occurrences. DFUs are categorized on the severity of tissue damage and can range from superficial r</w:t>
      </w:r>
      <w:r>
        <w:rPr>
          <w:rFonts w:ascii="Times New Roman" w:eastAsia="Times New Roman" w:hAnsi="Times New Roman" w:cs="Times New Roman"/>
          <w:b w:val="0"/>
          <w:sz w:val="24"/>
          <w:szCs w:val="24"/>
          <w:highlight w:val="white"/>
        </w:rPr>
        <w:t>edness of the skin (stage I) to deep wounds that damage underlying bone, muscles, and nerves (stage IV). These more serious wounds almost always require amputation of the foot or leg, not only costing upwards of $45,000, but also costing the patient much p</w:t>
      </w:r>
      <w:r>
        <w:rPr>
          <w:rFonts w:ascii="Times New Roman" w:eastAsia="Times New Roman" w:hAnsi="Times New Roman" w:cs="Times New Roman"/>
          <w:b w:val="0"/>
          <w:sz w:val="24"/>
          <w:szCs w:val="24"/>
          <w:highlight w:val="white"/>
        </w:rPr>
        <w:t>ain and suffering.</w:t>
      </w:r>
      <w:r>
        <w:rPr>
          <w:noProof/>
        </w:rPr>
        <w:drawing>
          <wp:anchor distT="114300" distB="114300" distL="114300" distR="114300" simplePos="0" relativeHeight="251658240" behindDoc="0" locked="0" layoutInCell="0" hidden="0" allowOverlap="0">
            <wp:simplePos x="0" y="0"/>
            <wp:positionH relativeFrom="margin">
              <wp:posOffset>2876550</wp:posOffset>
            </wp:positionH>
            <wp:positionV relativeFrom="paragraph">
              <wp:posOffset>2146300</wp:posOffset>
            </wp:positionV>
            <wp:extent cx="3093782" cy="1738313"/>
            <wp:effectExtent l="0" t="0" r="0" b="0"/>
            <wp:wrapSquare wrapText="bothSides" distT="114300" distB="11430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3093782" cy="1738313"/>
                    </a:xfrm>
                    <a:prstGeom prst="rect">
                      <a:avLst/>
                    </a:prstGeom>
                    <a:ln/>
                  </pic:spPr>
                </pic:pic>
              </a:graphicData>
            </a:graphic>
          </wp:anchor>
        </w:drawing>
      </w:r>
    </w:p>
    <w:p w:rsidR="00B332E4" w:rsidRDefault="00A56EBC">
      <w:pPr>
        <w:pStyle w:val="Heading3"/>
        <w:keepNext w:val="0"/>
        <w:keepLines w:val="0"/>
        <w:spacing w:before="0" w:after="200" w:line="480" w:lineRule="auto"/>
        <w:ind w:firstLine="720"/>
        <w:contextualSpacing w:val="0"/>
        <w:jc w:val="both"/>
      </w:pPr>
      <w:bookmarkStart w:id="2" w:name="h.vzr9ozeydtc5" w:colFirst="0" w:colLast="0"/>
      <w:bookmarkEnd w:id="2"/>
      <w:r>
        <w:rPr>
          <w:rFonts w:ascii="Times New Roman" w:eastAsia="Times New Roman" w:hAnsi="Times New Roman" w:cs="Times New Roman"/>
          <w:b w:val="0"/>
          <w:sz w:val="24"/>
          <w:szCs w:val="24"/>
          <w:highlight w:val="white"/>
        </w:rPr>
        <w:t>Astonishingly, there is no active healing process or treatment for these wounds. The current standard care treatment involves using a total-contact cast to remove any load or pressure onto the wound when walking. Although this method is</w:t>
      </w:r>
      <w:r>
        <w:rPr>
          <w:rFonts w:ascii="Times New Roman" w:eastAsia="Times New Roman" w:hAnsi="Times New Roman" w:cs="Times New Roman"/>
          <w:b w:val="0"/>
          <w:sz w:val="24"/>
          <w:szCs w:val="24"/>
          <w:highlight w:val="white"/>
        </w:rPr>
        <w:t xml:space="preserve">olates the wound to let it heal, it does not </w:t>
      </w:r>
      <w:r>
        <w:rPr>
          <w:rFonts w:ascii="Times New Roman" w:eastAsia="Times New Roman" w:hAnsi="Times New Roman" w:cs="Times New Roman"/>
          <w:b w:val="0"/>
          <w:sz w:val="24"/>
          <w:szCs w:val="24"/>
          <w:highlight w:val="white"/>
        </w:rPr>
        <w:lastRenderedPageBreak/>
        <w:t>work to actively heal the wound. There is a need for a device that directly promotes wound healing, complements current standard and procedures, and requires no patient input.</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t>Project Objective Statement</w:t>
      </w:r>
    </w:p>
    <w:p w:rsidR="00B332E4" w:rsidRDefault="00A56EBC">
      <w:pPr>
        <w:spacing w:after="200" w:line="480" w:lineRule="auto"/>
        <w:ind w:firstLine="720"/>
        <w:jc w:val="both"/>
      </w:pPr>
      <w:r>
        <w:rPr>
          <w:rFonts w:ascii="Times New Roman" w:eastAsia="Times New Roman" w:hAnsi="Times New Roman" w:cs="Times New Roman"/>
        </w:rPr>
        <w:t>LumaSil</w:t>
      </w:r>
      <w:r>
        <w:rPr>
          <w:rFonts w:ascii="Times New Roman" w:eastAsia="Times New Roman" w:hAnsi="Times New Roman" w:cs="Times New Roman"/>
        </w:rPr>
        <w:t xml:space="preserve"> seeks to add an active form of healing DFUs onto the standard of care (SoC). Low-level light therapy has been previously proven to accelerate the rate of shallow-wound healing up to 50%. By incorporating this therapy into the full-contact cast used as SoC</w:t>
      </w:r>
      <w:r>
        <w:rPr>
          <w:rFonts w:ascii="Times New Roman" w:eastAsia="Times New Roman" w:hAnsi="Times New Roman" w:cs="Times New Roman"/>
        </w:rPr>
        <w:t>, this device has the potential to alter current standard practices. However, in order to do so, this device must meet specific needs regarding the patient, the provider, and the general healthcare system. In addition to the above, the device must be small</w:t>
      </w:r>
      <w:r>
        <w:rPr>
          <w:rFonts w:ascii="Times New Roman" w:eastAsia="Times New Roman" w:hAnsi="Times New Roman" w:cs="Times New Roman"/>
        </w:rPr>
        <w:t>, easily-portable, waterproof, and automated in order to assure patient compliance and be easily adopted. The provider must find application of the device simple and requiring minimal preparation time. Finally, the product should be low cost, dependable, a</w:t>
      </w:r>
      <w:r>
        <w:rPr>
          <w:rFonts w:ascii="Times New Roman" w:eastAsia="Times New Roman" w:hAnsi="Times New Roman" w:cs="Times New Roman"/>
        </w:rPr>
        <w:t>nd durable in order to it to be viable in the medical device industry. These traits should also allow the product to be adopted into various insurance plans, in order to be a practical treatment option.</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t>Documentation of Final Design</w:t>
      </w:r>
    </w:p>
    <w:p w:rsidR="00B332E4" w:rsidRDefault="00A56EBC">
      <w:pPr>
        <w:spacing w:after="200" w:line="480" w:lineRule="auto"/>
        <w:jc w:val="both"/>
      </w:pPr>
      <w:r>
        <w:rPr>
          <w:rFonts w:ascii="Times New Roman" w:eastAsia="Times New Roman" w:hAnsi="Times New Roman" w:cs="Times New Roman"/>
        </w:rPr>
        <w:t>...</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t>Prototype of the Fi</w:t>
      </w:r>
      <w:r>
        <w:rPr>
          <w:rFonts w:ascii="Times New Roman" w:eastAsia="Times New Roman" w:hAnsi="Times New Roman" w:cs="Times New Roman"/>
          <w:b/>
          <w:u w:val="single"/>
        </w:rPr>
        <w:t>nal Design</w:t>
      </w:r>
    </w:p>
    <w:p w:rsidR="00B332E4" w:rsidRDefault="00A56EBC">
      <w:pPr>
        <w:spacing w:after="200" w:line="480" w:lineRule="auto"/>
        <w:jc w:val="both"/>
      </w:pPr>
      <w:r>
        <w:rPr>
          <w:rFonts w:ascii="Times New Roman" w:eastAsia="Times New Roman" w:hAnsi="Times New Roman" w:cs="Times New Roman"/>
        </w:rPr>
        <w:t>...</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lastRenderedPageBreak/>
        <w:t>Product Validation (Experimental Design)</w:t>
      </w:r>
    </w:p>
    <w:p w:rsidR="00B332E4" w:rsidRDefault="00A56EBC">
      <w:pPr>
        <w:spacing w:line="480" w:lineRule="auto"/>
        <w:ind w:firstLine="720"/>
        <w:jc w:val="both"/>
      </w:pPr>
      <w:r>
        <w:rPr>
          <w:rFonts w:ascii="Times New Roman" w:eastAsia="Times New Roman" w:hAnsi="Times New Roman" w:cs="Times New Roman"/>
        </w:rPr>
        <w:t>This feasibility study consisted of evaluating the healing rate of DFUs on the foot over the course of 2 to 4 weeks. Randomization and general collection of data and documents will occur.</w:t>
      </w:r>
    </w:p>
    <w:p w:rsidR="00B332E4" w:rsidRDefault="00A56EBC">
      <w:pPr>
        <w:numPr>
          <w:ilvl w:val="0"/>
          <w:numId w:val="1"/>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Randomizatio</w:t>
      </w:r>
      <w:r>
        <w:rPr>
          <w:rFonts w:ascii="Times New Roman" w:eastAsia="Times New Roman" w:hAnsi="Times New Roman" w:cs="Times New Roman"/>
        </w:rPr>
        <w:t>n – randomization was used to ensure that patients are not chosen to participate in a specific treatment subconsciously or purposefully, thereby reducing the chance that outcomes are based on the patient, as opposed to the device.</w:t>
      </w:r>
    </w:p>
    <w:p w:rsidR="00B332E4" w:rsidRDefault="00A56EBC">
      <w:pPr>
        <w:numPr>
          <w:ilvl w:val="0"/>
          <w:numId w:val="1"/>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Surveys/Interviews/Questi</w:t>
      </w:r>
      <w:r>
        <w:rPr>
          <w:rFonts w:ascii="Times New Roman" w:eastAsia="Times New Roman" w:hAnsi="Times New Roman" w:cs="Times New Roman"/>
        </w:rPr>
        <w:t>onnaires – During the time that wounds were being examined, patients were questioned as to the comfort and perceived success of the device.</w:t>
      </w:r>
    </w:p>
    <w:p w:rsidR="00B332E4" w:rsidRDefault="00A56EBC">
      <w:pPr>
        <w:numPr>
          <w:ilvl w:val="0"/>
          <w:numId w:val="1"/>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Document and Artifact Collection – Pictures of the diabetic foot ulcers were taken during examination both for visua</w:t>
      </w:r>
      <w:r>
        <w:rPr>
          <w:rFonts w:ascii="Times New Roman" w:eastAsia="Times New Roman" w:hAnsi="Times New Roman" w:cs="Times New Roman"/>
        </w:rPr>
        <w:t xml:space="preserve">l documentation as well as future analysis and publication. These pictures contain no identifying information, but instead are associated with the device being used and the time at which the picture was taken. </w:t>
      </w:r>
    </w:p>
    <w:p w:rsidR="00B332E4" w:rsidRDefault="00A56EBC">
      <w:pPr>
        <w:numPr>
          <w:ilvl w:val="0"/>
          <w:numId w:val="1"/>
        </w:numPr>
        <w:spacing w:after="200" w:line="360" w:lineRule="auto"/>
        <w:ind w:hanging="360"/>
        <w:jc w:val="both"/>
        <w:rPr>
          <w:rFonts w:ascii="Times New Roman" w:eastAsia="Times New Roman" w:hAnsi="Times New Roman" w:cs="Times New Roman"/>
        </w:rPr>
      </w:pPr>
      <w:r>
        <w:rPr>
          <w:rFonts w:ascii="Times New Roman" w:eastAsia="Times New Roman" w:hAnsi="Times New Roman" w:cs="Times New Roman"/>
        </w:rPr>
        <w:t>General Data Collection – Data was collected when patients meet with their doctor on a weekly basis.</w:t>
      </w:r>
    </w:p>
    <w:p w:rsidR="00B332E4" w:rsidRDefault="00A56EBC">
      <w:pPr>
        <w:spacing w:after="200" w:line="480" w:lineRule="auto"/>
        <w:ind w:firstLine="720"/>
        <w:jc w:val="both"/>
      </w:pPr>
      <w:r>
        <w:rPr>
          <w:rFonts w:ascii="Times New Roman" w:eastAsia="Times New Roman" w:hAnsi="Times New Roman" w:cs="Times New Roman"/>
        </w:rPr>
        <w:t>The study design involves a matched experiment. Two groups (LumaSil, SoC</w:t>
      </w:r>
      <w:bookmarkStart w:id="3" w:name="_GoBack"/>
      <w:bookmarkEnd w:id="3"/>
      <w:r>
        <w:rPr>
          <w:rFonts w:ascii="Times New Roman" w:eastAsia="Times New Roman" w:hAnsi="Times New Roman" w:cs="Times New Roman"/>
        </w:rPr>
        <w:t>) will be tested to determine the efficacy of LumaSil. Both treatment groups receiv</w:t>
      </w:r>
      <w:r>
        <w:rPr>
          <w:rFonts w:ascii="Times New Roman" w:eastAsia="Times New Roman" w:hAnsi="Times New Roman" w:cs="Times New Roman"/>
        </w:rPr>
        <w:t xml:space="preserve">e the SoC treatment which involves applying a full contact cast and offloading the wound. SoC treatment will provide a benchmark to which the LumaSil enhanced treatment can be compared to.        </w:t>
      </w:r>
      <w:r>
        <w:rPr>
          <w:rFonts w:ascii="Times New Roman" w:eastAsia="Times New Roman" w:hAnsi="Times New Roman" w:cs="Times New Roman"/>
        </w:rPr>
        <w:tab/>
      </w:r>
    </w:p>
    <w:p w:rsidR="00143CEA" w:rsidRDefault="00143CEA">
      <w:pPr>
        <w:spacing w:line="480" w:lineRule="auto"/>
        <w:jc w:val="both"/>
        <w:rPr>
          <w:rFonts w:ascii="Times New Roman" w:eastAsia="Times New Roman" w:hAnsi="Times New Roman" w:cs="Times New Roman"/>
          <w:b/>
          <w:u w:val="single"/>
        </w:rPr>
      </w:pPr>
      <w:bookmarkStart w:id="4" w:name="h.30j0zll" w:colFirst="0" w:colLast="0"/>
      <w:bookmarkEnd w:id="4"/>
    </w:p>
    <w:p w:rsidR="00B332E4" w:rsidRDefault="00A56EBC">
      <w:pPr>
        <w:spacing w:line="480" w:lineRule="auto"/>
        <w:jc w:val="both"/>
      </w:pPr>
      <w:r>
        <w:rPr>
          <w:rFonts w:ascii="Times New Roman" w:eastAsia="Times New Roman" w:hAnsi="Times New Roman" w:cs="Times New Roman"/>
          <w:b/>
          <w:u w:val="single"/>
        </w:rPr>
        <w:t>Patent Search</w:t>
      </w:r>
    </w:p>
    <w:p w:rsidR="00B332E4" w:rsidRDefault="00A56EBC">
      <w:pPr>
        <w:spacing w:after="200" w:line="480" w:lineRule="auto"/>
        <w:ind w:firstLine="720"/>
        <w:jc w:val="both"/>
      </w:pPr>
      <w:r>
        <w:rPr>
          <w:rFonts w:ascii="Times New Roman" w:eastAsia="Times New Roman" w:hAnsi="Times New Roman" w:cs="Times New Roman"/>
        </w:rPr>
        <w:t>A brief patent search produced few similar t</w:t>
      </w:r>
      <w:r>
        <w:rPr>
          <w:rFonts w:ascii="Times New Roman" w:eastAsia="Times New Roman" w:hAnsi="Times New Roman" w:cs="Times New Roman"/>
        </w:rPr>
        <w:t>echnologies, but none that will interfere with the progression of our LLLT device patentability. This similar technology includes a boot model with LEDs shining directly onto the injured epithelial. Because our technology includes the use of LEDs to transf</w:t>
      </w:r>
      <w:r>
        <w:rPr>
          <w:rFonts w:ascii="Times New Roman" w:eastAsia="Times New Roman" w:hAnsi="Times New Roman" w:cs="Times New Roman"/>
        </w:rPr>
        <w:t xml:space="preserve">er light from a LED module source, via cabled fiber optic, to a patch design which will be in contact with the patient’s wounds, all while minimizing light scatter. </w:t>
      </w:r>
      <w:r>
        <w:rPr>
          <w:rFonts w:ascii="Times New Roman" w:eastAsia="Times New Roman" w:hAnsi="Times New Roman" w:cs="Times New Roman"/>
        </w:rPr>
        <w:lastRenderedPageBreak/>
        <w:t>Additionally, our design will be incorporated into a cast treatment rather than a removable</w:t>
      </w:r>
      <w:r>
        <w:rPr>
          <w:rFonts w:ascii="Times New Roman" w:eastAsia="Times New Roman" w:hAnsi="Times New Roman" w:cs="Times New Roman"/>
        </w:rPr>
        <w:t xml:space="preserve"> boot, supporting patient compliance and minimizing device tampering.</w:t>
      </w:r>
    </w:p>
    <w:p w:rsidR="00143CEA" w:rsidRDefault="00143CEA">
      <w:pPr>
        <w:spacing w:line="480" w:lineRule="auto"/>
        <w:jc w:val="both"/>
        <w:rPr>
          <w:rFonts w:ascii="Times New Roman" w:eastAsia="Times New Roman" w:hAnsi="Times New Roman" w:cs="Times New Roman"/>
          <w:b/>
          <w:u w:val="single"/>
        </w:rPr>
      </w:pPr>
    </w:p>
    <w:p w:rsidR="00B332E4" w:rsidRDefault="00A56EBC">
      <w:pPr>
        <w:spacing w:line="480" w:lineRule="auto"/>
        <w:jc w:val="both"/>
      </w:pPr>
      <w:r>
        <w:rPr>
          <w:rFonts w:ascii="Times New Roman" w:eastAsia="Times New Roman" w:hAnsi="Times New Roman" w:cs="Times New Roman"/>
          <w:b/>
          <w:u w:val="single"/>
        </w:rPr>
        <w:t>Anticipated Regulatory Pathway</w:t>
      </w:r>
    </w:p>
    <w:p w:rsidR="00B332E4" w:rsidRDefault="00A56EBC">
      <w:pPr>
        <w:jc w:val="both"/>
      </w:pPr>
      <w:r>
        <w:rPr>
          <w:rFonts w:ascii="Times New Roman" w:eastAsia="Times New Roman" w:hAnsi="Times New Roman" w:cs="Times New Roman"/>
        </w:rPr>
        <w:t>Our device can be classified under the following FDA device labels, each under Title 21, Subchapter H – Medical Devices:</w:t>
      </w:r>
    </w:p>
    <w:p w:rsidR="00B332E4" w:rsidRDefault="00A56EBC">
      <w:pPr>
        <w:ind w:firstLine="720"/>
        <w:jc w:val="both"/>
      </w:pPr>
      <w:r>
        <w:rPr>
          <w:rFonts w:ascii="Times New Roman" w:eastAsia="Times New Roman" w:hAnsi="Times New Roman" w:cs="Times New Roman"/>
        </w:rPr>
        <w:t>Part 888 – Orthopedic Devices</w:t>
      </w:r>
    </w:p>
    <w:p w:rsidR="00B332E4" w:rsidRDefault="00A56EBC">
      <w:pPr>
        <w:ind w:firstLine="720"/>
        <w:jc w:val="both"/>
      </w:pPr>
      <w:r>
        <w:rPr>
          <w:rFonts w:ascii="Times New Roman" w:eastAsia="Times New Roman" w:hAnsi="Times New Roman" w:cs="Times New Roman"/>
        </w:rPr>
        <w:t>Subpart E – Surgical Devices</w:t>
      </w:r>
    </w:p>
    <w:p w:rsidR="00B332E4" w:rsidRDefault="00A56EBC">
      <w:pPr>
        <w:ind w:firstLine="720"/>
        <w:jc w:val="both"/>
      </w:pPr>
      <w:r>
        <w:rPr>
          <w:rFonts w:ascii="Times New Roman" w:eastAsia="Times New Roman" w:hAnsi="Times New Roman" w:cs="Times New Roman"/>
        </w:rPr>
        <w:t xml:space="preserve">Section 888.5940 – </w:t>
      </w:r>
      <w:r>
        <w:rPr>
          <w:rFonts w:ascii="Times New Roman" w:eastAsia="Times New Roman" w:hAnsi="Times New Roman" w:cs="Times New Roman"/>
          <w:i/>
        </w:rPr>
        <w:t>Cast Component</w:t>
      </w:r>
    </w:p>
    <w:p w:rsidR="00B332E4" w:rsidRDefault="00A56EBC">
      <w:pPr>
        <w:ind w:left="720" w:firstLine="720"/>
        <w:jc w:val="both"/>
      </w:pPr>
      <w:r>
        <w:rPr>
          <w:rFonts w:ascii="Times New Roman" w:eastAsia="Times New Roman" w:hAnsi="Times New Roman" w:cs="Times New Roman"/>
        </w:rPr>
        <w:t>- “…a device intended for medical purposes to protect or support a cast”</w:t>
      </w:r>
    </w:p>
    <w:p w:rsidR="00B332E4" w:rsidRDefault="00A56EBC">
      <w:pPr>
        <w:ind w:left="720" w:firstLine="720"/>
        <w:jc w:val="both"/>
      </w:pPr>
      <w:r>
        <w:rPr>
          <w:rFonts w:ascii="Times New Roman" w:eastAsia="Times New Roman" w:hAnsi="Times New Roman" w:cs="Times New Roman"/>
        </w:rPr>
        <w:t xml:space="preserve">- Class </w:t>
      </w:r>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 (general controls)</w:t>
      </w:r>
    </w:p>
    <w:p w:rsidR="00B332E4" w:rsidRDefault="00A56EBC">
      <w:pPr>
        <w:ind w:firstLine="720"/>
        <w:jc w:val="both"/>
      </w:pPr>
      <w:r>
        <w:rPr>
          <w:rFonts w:ascii="Times New Roman" w:eastAsia="Times New Roman" w:hAnsi="Times New Roman" w:cs="Times New Roman"/>
        </w:rPr>
        <w:t>Part 890 – Physical Medicine Devices</w:t>
      </w:r>
    </w:p>
    <w:p w:rsidR="00B332E4" w:rsidRDefault="00A56EBC">
      <w:pPr>
        <w:ind w:firstLine="720"/>
        <w:jc w:val="both"/>
      </w:pPr>
      <w:r>
        <w:rPr>
          <w:rFonts w:ascii="Times New Roman" w:eastAsia="Times New Roman" w:hAnsi="Times New Roman" w:cs="Times New Roman"/>
        </w:rPr>
        <w:t>Subpart D – Physical Medicine Prosthetic Devices</w:t>
      </w:r>
    </w:p>
    <w:p w:rsidR="00B332E4" w:rsidRDefault="00A56EBC">
      <w:pPr>
        <w:ind w:firstLine="720"/>
        <w:jc w:val="both"/>
      </w:pPr>
      <w:r>
        <w:rPr>
          <w:rFonts w:ascii="Times New Roman" w:eastAsia="Times New Roman" w:hAnsi="Times New Roman" w:cs="Times New Roman"/>
        </w:rPr>
        <w:t>Secti</w:t>
      </w:r>
      <w:r>
        <w:rPr>
          <w:rFonts w:ascii="Times New Roman" w:eastAsia="Times New Roman" w:hAnsi="Times New Roman" w:cs="Times New Roman"/>
        </w:rPr>
        <w:t xml:space="preserve">on 890.3025 – </w:t>
      </w:r>
      <w:r>
        <w:rPr>
          <w:rFonts w:ascii="Times New Roman" w:eastAsia="Times New Roman" w:hAnsi="Times New Roman" w:cs="Times New Roman"/>
          <w:i/>
        </w:rPr>
        <w:t>Prosthetic and orthotic accessory</w:t>
      </w:r>
    </w:p>
    <w:p w:rsidR="00B332E4" w:rsidRDefault="00A56EBC">
      <w:pPr>
        <w:ind w:left="1440"/>
        <w:jc w:val="both"/>
      </w:pPr>
      <w:r>
        <w:rPr>
          <w:rFonts w:ascii="Times New Roman" w:eastAsia="Times New Roman" w:hAnsi="Times New Roman" w:cs="Times New Roman"/>
        </w:rPr>
        <w:t>- “…a device intended for medical purposes to support, protect, or aid in the use of a cast, orthotics (brace), or prosthesis”</w:t>
      </w:r>
    </w:p>
    <w:p w:rsidR="00B332E4" w:rsidRDefault="00A56EBC">
      <w:pPr>
        <w:ind w:left="720" w:firstLine="720"/>
        <w:jc w:val="both"/>
      </w:pPr>
      <w:r>
        <w:rPr>
          <w:rFonts w:ascii="Times New Roman" w:eastAsia="Times New Roman" w:hAnsi="Times New Roman" w:cs="Times New Roman"/>
        </w:rPr>
        <w:t xml:space="preserve">- Class </w:t>
      </w:r>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 (general controls)</w:t>
      </w:r>
    </w:p>
    <w:p w:rsidR="00B332E4" w:rsidRDefault="00A56EBC">
      <w:pPr>
        <w:ind w:firstLine="720"/>
        <w:jc w:val="both"/>
      </w:pPr>
      <w:r>
        <w:rPr>
          <w:rFonts w:ascii="Times New Roman" w:eastAsia="Times New Roman" w:hAnsi="Times New Roman" w:cs="Times New Roman"/>
        </w:rPr>
        <w:t>Part 890 – Physical Medicine Devices</w:t>
      </w:r>
    </w:p>
    <w:p w:rsidR="00B332E4" w:rsidRDefault="00A56EBC">
      <w:pPr>
        <w:ind w:firstLine="720"/>
        <w:jc w:val="both"/>
      </w:pPr>
      <w:r>
        <w:rPr>
          <w:rFonts w:ascii="Times New Roman" w:eastAsia="Times New Roman" w:hAnsi="Times New Roman" w:cs="Times New Roman"/>
        </w:rPr>
        <w:t>Subpart F – Phy</w:t>
      </w:r>
      <w:r>
        <w:rPr>
          <w:rFonts w:ascii="Times New Roman" w:eastAsia="Times New Roman" w:hAnsi="Times New Roman" w:cs="Times New Roman"/>
        </w:rPr>
        <w:t>sical Medicine Therapeutic Devices</w:t>
      </w:r>
    </w:p>
    <w:p w:rsidR="00B332E4" w:rsidRDefault="00A56EBC">
      <w:pPr>
        <w:ind w:firstLine="720"/>
        <w:jc w:val="both"/>
      </w:pPr>
      <w:r>
        <w:rPr>
          <w:rFonts w:ascii="Times New Roman" w:eastAsia="Times New Roman" w:hAnsi="Times New Roman" w:cs="Times New Roman"/>
        </w:rPr>
        <w:t xml:space="preserve">Section 890.5500 – </w:t>
      </w:r>
      <w:r>
        <w:rPr>
          <w:rFonts w:ascii="Times New Roman" w:eastAsia="Times New Roman" w:hAnsi="Times New Roman" w:cs="Times New Roman"/>
          <w:i/>
        </w:rPr>
        <w:t>Infrared lamp</w:t>
      </w:r>
    </w:p>
    <w:p w:rsidR="00B332E4" w:rsidRDefault="00A56EBC">
      <w:pPr>
        <w:ind w:left="1440"/>
        <w:jc w:val="both"/>
      </w:pPr>
      <w:r>
        <w:rPr>
          <w:rFonts w:ascii="Times New Roman" w:eastAsia="Times New Roman" w:hAnsi="Times New Roman" w:cs="Times New Roman"/>
        </w:rPr>
        <w:t>- “… a device intended for medical purposes that emits energy at infrared frequencies (approximately 700 nanometers to 50,000 nanometers) to provide topical heating”</w:t>
      </w:r>
    </w:p>
    <w:p w:rsidR="00B332E4" w:rsidRDefault="00A56EBC">
      <w:pPr>
        <w:spacing w:line="480" w:lineRule="auto"/>
        <w:jc w:val="both"/>
      </w:pPr>
      <w:r>
        <w:rPr>
          <w:rFonts w:ascii="Times New Roman" w:eastAsia="Times New Roman" w:hAnsi="Times New Roman" w:cs="Times New Roman"/>
        </w:rPr>
        <w:t>                   </w:t>
      </w:r>
      <w:r>
        <w:rPr>
          <w:rFonts w:ascii="Times New Roman" w:eastAsia="Times New Roman" w:hAnsi="Times New Roman" w:cs="Times New Roman"/>
        </w:rPr>
        <w:tab/>
      </w:r>
      <w:r>
        <w:rPr>
          <w:rFonts w:ascii="Times New Roman" w:eastAsia="Times New Roman" w:hAnsi="Times New Roman" w:cs="Times New Roman"/>
        </w:rPr>
        <w:t>- Class II (performance standards)</w:t>
      </w:r>
    </w:p>
    <w:p w:rsidR="00B332E4" w:rsidRDefault="00A56EBC">
      <w:pPr>
        <w:spacing w:after="200" w:line="480" w:lineRule="auto"/>
        <w:ind w:firstLine="720"/>
        <w:jc w:val="both"/>
      </w:pPr>
      <w:r>
        <w:rPr>
          <w:rFonts w:ascii="Times New Roman" w:eastAsia="Times New Roman" w:hAnsi="Times New Roman" w:cs="Times New Roman"/>
        </w:rPr>
        <w:t>This device would be a Class I device that would require 510(k) approval. Assuming approval, the current primary market for the device will be clinical centers administering on extremity wound healing treatments to diabet</w:t>
      </w:r>
      <w:r>
        <w:rPr>
          <w:rFonts w:ascii="Times New Roman" w:eastAsia="Times New Roman" w:hAnsi="Times New Roman" w:cs="Times New Roman"/>
        </w:rPr>
        <w:t>ic patients, such as the Vanderbilt Orthopedic Foot &amp; Ankle Center. Due to the treatment regimen, it is currently necessary for a provider to have weekly access to the patient during treatment, in order to replace the disposable section of the device and a</w:t>
      </w:r>
      <w:r>
        <w:rPr>
          <w:rFonts w:ascii="Times New Roman" w:eastAsia="Times New Roman" w:hAnsi="Times New Roman" w:cs="Times New Roman"/>
        </w:rPr>
        <w:t xml:space="preserve">ssure the power source will suffice until the following visit. </w:t>
      </w:r>
    </w:p>
    <w:p w:rsidR="00143CEA" w:rsidRDefault="00143CEA">
      <w:pPr>
        <w:spacing w:after="200" w:line="480" w:lineRule="auto"/>
        <w:jc w:val="both"/>
        <w:rPr>
          <w:rFonts w:ascii="Times New Roman" w:eastAsia="Times New Roman" w:hAnsi="Times New Roman" w:cs="Times New Roman"/>
          <w:b/>
          <w:u w:val="single"/>
        </w:rPr>
      </w:pPr>
    </w:p>
    <w:p w:rsidR="00143CEA" w:rsidRDefault="00143CEA">
      <w:pPr>
        <w:spacing w:after="200" w:line="480" w:lineRule="auto"/>
        <w:jc w:val="both"/>
        <w:rPr>
          <w:rFonts w:ascii="Times New Roman" w:eastAsia="Times New Roman" w:hAnsi="Times New Roman" w:cs="Times New Roman"/>
          <w:b/>
          <w:u w:val="single"/>
        </w:rPr>
      </w:pPr>
    </w:p>
    <w:p w:rsidR="00B332E4" w:rsidRDefault="00A56EBC">
      <w:pPr>
        <w:spacing w:after="200" w:line="480" w:lineRule="auto"/>
        <w:jc w:val="both"/>
      </w:pPr>
      <w:r>
        <w:rPr>
          <w:rFonts w:ascii="Times New Roman" w:eastAsia="Times New Roman" w:hAnsi="Times New Roman" w:cs="Times New Roman"/>
          <w:b/>
          <w:u w:val="single"/>
        </w:rPr>
        <w:lastRenderedPageBreak/>
        <w:t xml:space="preserve">Reimbursement </w:t>
      </w:r>
    </w:p>
    <w:p w:rsidR="00B332E4" w:rsidRDefault="00A56EBC">
      <w:pPr>
        <w:spacing w:after="200" w:line="480" w:lineRule="auto"/>
        <w:jc w:val="both"/>
      </w:pPr>
      <w:r>
        <w:rPr>
          <w:rFonts w:ascii="Times New Roman" w:eastAsia="Times New Roman" w:hAnsi="Times New Roman" w:cs="Times New Roman"/>
        </w:rPr>
        <w:t>...</w:t>
      </w:r>
    </w:p>
    <w:p w:rsidR="00B332E4" w:rsidRDefault="00A56EBC">
      <w:pPr>
        <w:spacing w:after="200" w:line="480" w:lineRule="auto"/>
        <w:jc w:val="both"/>
      </w:pPr>
      <w:r>
        <w:rPr>
          <w:rFonts w:ascii="Times New Roman" w:eastAsia="Times New Roman" w:hAnsi="Times New Roman" w:cs="Times New Roman"/>
          <w:b/>
          <w:u w:val="single"/>
        </w:rPr>
        <w:t>Estimated Manufacturing Costs</w:t>
      </w:r>
    </w:p>
    <w:p w:rsidR="00B332E4" w:rsidRDefault="00A56EBC">
      <w:pPr>
        <w:spacing w:after="200" w:line="480" w:lineRule="auto"/>
        <w:jc w:val="both"/>
      </w:pPr>
      <w:r>
        <w:rPr>
          <w:rFonts w:ascii="Times New Roman" w:eastAsia="Times New Roman" w:hAnsi="Times New Roman" w:cs="Times New Roman"/>
        </w:rPr>
        <w:t>...</w:t>
      </w:r>
    </w:p>
    <w:p w:rsidR="00B332E4" w:rsidRDefault="00A56EBC">
      <w:pPr>
        <w:spacing w:line="480" w:lineRule="auto"/>
        <w:jc w:val="both"/>
      </w:pPr>
      <w:r>
        <w:rPr>
          <w:rFonts w:ascii="Times New Roman" w:eastAsia="Times New Roman" w:hAnsi="Times New Roman" w:cs="Times New Roman"/>
          <w:b/>
          <w:u w:val="single"/>
        </w:rPr>
        <w:t>Potential Market</w:t>
      </w:r>
    </w:p>
    <w:p w:rsidR="00B332E4" w:rsidRDefault="00A56EBC">
      <w:pPr>
        <w:spacing w:line="480" w:lineRule="auto"/>
        <w:ind w:firstLine="720"/>
        <w:jc w:val="both"/>
      </w:pPr>
      <w:r>
        <w:rPr>
          <w:rFonts w:ascii="Times New Roman" w:eastAsia="Times New Roman" w:hAnsi="Times New Roman" w:cs="Times New Roman"/>
        </w:rPr>
        <w:t>Assuming approval, the current primary market for the device will be clinical centers treat</w:t>
      </w:r>
      <w:r>
        <w:rPr>
          <w:rFonts w:ascii="Times New Roman" w:eastAsia="Times New Roman" w:hAnsi="Times New Roman" w:cs="Times New Roman"/>
        </w:rPr>
        <w:t xml:space="preserve">ing diabetic patients with </w:t>
      </w:r>
      <w:r>
        <w:rPr>
          <w:rFonts w:ascii="Times New Roman" w:eastAsia="Times New Roman" w:hAnsi="Times New Roman" w:cs="Times New Roman"/>
        </w:rPr>
        <w:t>extremity wounds such as DFUs. Our initial market entry will start with targeting centers such as the Vanderbilt Orthopedic Foot &amp; Ankle Center. Due to the treatment regimen, it is currently necessary for a provider to have weekly access to the patient dur</w:t>
      </w:r>
      <w:r>
        <w:rPr>
          <w:rFonts w:ascii="Times New Roman" w:eastAsia="Times New Roman" w:hAnsi="Times New Roman" w:cs="Times New Roman"/>
        </w:rPr>
        <w:t>ing treatment to replace the disposable section of the device, assure the power source will suffice until the following visit, and monitor healing progress. For initial feasibility study, subjects would be recruited from Vanderbilt Orthopedics Foot and Ank</w:t>
      </w:r>
      <w:r>
        <w:rPr>
          <w:rFonts w:ascii="Times New Roman" w:eastAsia="Times New Roman" w:hAnsi="Times New Roman" w:cs="Times New Roman"/>
        </w:rPr>
        <w:t>le Center (recommended by Dr. Adam Hicks, DPM). After approval, future markets would expand to other specialty centers across the country. Again, because this is an adaptation of an existing standard of care, adopting this technology is expected to be swif</w:t>
      </w:r>
      <w:r>
        <w:rPr>
          <w:rFonts w:ascii="Times New Roman" w:eastAsia="Times New Roman" w:hAnsi="Times New Roman" w:cs="Times New Roman"/>
        </w:rPr>
        <w:t xml:space="preserve">t.  </w:t>
      </w:r>
    </w:p>
    <w:p w:rsidR="00143CEA" w:rsidRDefault="00A56EBC" w:rsidP="00143CEA">
      <w:pPr>
        <w:spacing w:line="480" w:lineRule="auto"/>
        <w:ind w:firstLine="720"/>
        <w:jc w:val="both"/>
        <w:rPr>
          <w:rFonts w:ascii="Times New Roman" w:eastAsia="Times New Roman" w:hAnsi="Times New Roman" w:cs="Times New Roman"/>
          <w:b/>
        </w:rPr>
      </w:pPr>
      <w:r>
        <w:rPr>
          <w:rFonts w:ascii="Times New Roman" w:eastAsia="Times New Roman" w:hAnsi="Times New Roman" w:cs="Times New Roman"/>
        </w:rPr>
        <w:t>Our device i</w:t>
      </w:r>
      <w:r w:rsidR="00D25447">
        <w:rPr>
          <w:rFonts w:ascii="Times New Roman" w:eastAsia="Times New Roman" w:hAnsi="Times New Roman" w:cs="Times New Roman"/>
        </w:rPr>
        <w:t>s estimated to cost from $60-</w:t>
      </w:r>
      <w:r>
        <w:rPr>
          <w:rFonts w:ascii="Times New Roman" w:eastAsia="Times New Roman" w:hAnsi="Times New Roman" w:cs="Times New Roman"/>
        </w:rPr>
        <w:t xml:space="preserve">$100 in material and labor costs. The disposable section of the device would be mass-produced and sold in bulk, while the reusable component would ideally be sold in smaller order sizes and reused. Existing </w:t>
      </w:r>
      <w:r>
        <w:rPr>
          <w:rFonts w:ascii="Times New Roman" w:eastAsia="Times New Roman" w:hAnsi="Times New Roman" w:cs="Times New Roman"/>
        </w:rPr>
        <w:t xml:space="preserve">treatments currently cost a minimum of $5000 per episode and are liable to failure. Further market analysis will lead to a more definitive unit price, though we estimate that a single device treatment (4 weeks) would cost anywhere </w:t>
      </w:r>
      <w:r w:rsidR="00D25447">
        <w:rPr>
          <w:rFonts w:ascii="Times New Roman" w:eastAsia="Times New Roman" w:hAnsi="Times New Roman" w:cs="Times New Roman"/>
        </w:rPr>
        <w:t>from</w:t>
      </w:r>
      <w:r>
        <w:rPr>
          <w:rFonts w:ascii="Times New Roman" w:eastAsia="Times New Roman" w:hAnsi="Times New Roman" w:cs="Times New Roman"/>
        </w:rPr>
        <w:t xml:space="preserve"> $400-$600 and is </w:t>
      </w:r>
      <w:r>
        <w:rPr>
          <w:rFonts w:ascii="Times New Roman" w:eastAsia="Times New Roman" w:hAnsi="Times New Roman" w:cs="Times New Roman"/>
        </w:rPr>
        <w:t>estimated to reduce the overall cost of treating DFUs by approximately 50%.</w:t>
      </w:r>
      <w:r w:rsidR="00143CEA">
        <w:rPr>
          <w:rFonts w:ascii="Times New Roman" w:eastAsia="Times New Roman" w:hAnsi="Times New Roman" w:cs="Times New Roman"/>
          <w:b/>
        </w:rPr>
        <w:br w:type="page"/>
      </w:r>
    </w:p>
    <w:p w:rsidR="00B332E4" w:rsidRDefault="00A56EBC">
      <w:pPr>
        <w:spacing w:line="480" w:lineRule="auto"/>
        <w:jc w:val="both"/>
      </w:pPr>
      <w:r>
        <w:rPr>
          <w:rFonts w:ascii="Times New Roman" w:eastAsia="Times New Roman" w:hAnsi="Times New Roman" w:cs="Times New Roman"/>
          <w:b/>
        </w:rPr>
        <w:lastRenderedPageBreak/>
        <w:t>References</w:t>
      </w:r>
    </w:p>
    <w:p w:rsidR="00B332E4" w:rsidRDefault="00A56EBC">
      <w:pPr>
        <w:spacing w:line="360" w:lineRule="auto"/>
        <w:ind w:left="720" w:hanging="720"/>
        <w:jc w:val="both"/>
      </w:pPr>
      <w:r>
        <w:rPr>
          <w:rFonts w:ascii="Times New Roman" w:eastAsia="Times New Roman" w:hAnsi="Times New Roman" w:cs="Times New Roman"/>
        </w:rPr>
        <w:t xml:space="preserve">[1] </w:t>
      </w:r>
      <w:proofErr w:type="spellStart"/>
      <w:r>
        <w:rPr>
          <w:rFonts w:ascii="Times New Roman" w:eastAsia="Times New Roman" w:hAnsi="Times New Roman" w:cs="Times New Roman"/>
        </w:rPr>
        <w:t>Brem</w:t>
      </w:r>
      <w:proofErr w:type="spellEnd"/>
      <w:r>
        <w:rPr>
          <w:rFonts w:ascii="Times New Roman" w:eastAsia="Times New Roman" w:hAnsi="Times New Roman" w:cs="Times New Roman"/>
        </w:rPr>
        <w:t xml:space="preserve">, Harold, and </w:t>
      </w:r>
      <w:proofErr w:type="spellStart"/>
      <w:r>
        <w:rPr>
          <w:rFonts w:ascii="Times New Roman" w:eastAsia="Times New Roman" w:hAnsi="Times New Roman" w:cs="Times New Roman"/>
        </w:rPr>
        <w:t>Marjana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Tomic-Canic</w:t>
      </w:r>
      <w:proofErr w:type="spellEnd"/>
      <w:r>
        <w:rPr>
          <w:rFonts w:ascii="Times New Roman" w:eastAsia="Times New Roman" w:hAnsi="Times New Roman" w:cs="Times New Roman"/>
        </w:rPr>
        <w:t xml:space="preserve">. “Cellular and Molecular Basis of Wound Healing in Diabetes.” </w:t>
      </w:r>
      <w:r>
        <w:rPr>
          <w:rFonts w:ascii="Times New Roman" w:eastAsia="Times New Roman" w:hAnsi="Times New Roman" w:cs="Times New Roman"/>
          <w:i/>
        </w:rPr>
        <w:t>Journal of Clinical Investigation</w:t>
      </w:r>
      <w:r>
        <w:rPr>
          <w:rFonts w:ascii="Times New Roman" w:eastAsia="Times New Roman" w:hAnsi="Times New Roman" w:cs="Times New Roman"/>
        </w:rPr>
        <w:t xml:space="preserve"> 117.5 (2007): 1219–1222. </w:t>
      </w:r>
      <w:r>
        <w:rPr>
          <w:rFonts w:ascii="Times New Roman" w:eastAsia="Times New Roman" w:hAnsi="Times New Roman" w:cs="Times New Roman"/>
          <w:i/>
        </w:rPr>
        <w:t>PMC</w:t>
      </w:r>
      <w:r>
        <w:rPr>
          <w:rFonts w:ascii="Times New Roman" w:eastAsia="Times New Roman" w:hAnsi="Times New Roman" w:cs="Times New Roman"/>
        </w:rPr>
        <w:t xml:space="preserve">. </w:t>
      </w:r>
      <w:r>
        <w:rPr>
          <w:rFonts w:ascii="Times New Roman" w:eastAsia="Times New Roman" w:hAnsi="Times New Roman" w:cs="Times New Roman"/>
        </w:rPr>
        <w:t>Web. 29 Oct. 2015.</w:t>
      </w:r>
    </w:p>
    <w:p w:rsidR="00B332E4" w:rsidRDefault="00A56EBC">
      <w:pPr>
        <w:spacing w:line="360" w:lineRule="auto"/>
        <w:ind w:left="720" w:hanging="720"/>
        <w:jc w:val="both"/>
      </w:pPr>
      <w:r>
        <w:rPr>
          <w:rFonts w:ascii="Times New Roman" w:eastAsia="Times New Roman" w:hAnsi="Times New Roman" w:cs="Times New Roman"/>
        </w:rPr>
        <w:t xml:space="preserve">[2] Whelan, Harry T., Robert L. Smits, Ellen V. Buchman, Noel T. Whelan, Scott G. Turner, David A. Margolis, Vita </w:t>
      </w:r>
      <w:proofErr w:type="spellStart"/>
      <w:r>
        <w:rPr>
          <w:rFonts w:ascii="Times New Roman" w:eastAsia="Times New Roman" w:hAnsi="Times New Roman" w:cs="Times New Roman"/>
        </w:rPr>
        <w:t>Cevenini</w:t>
      </w:r>
      <w:proofErr w:type="spellEnd"/>
      <w:r>
        <w:rPr>
          <w:rFonts w:ascii="Times New Roman" w:eastAsia="Times New Roman" w:hAnsi="Times New Roman" w:cs="Times New Roman"/>
        </w:rPr>
        <w:t xml:space="preserve">, Helen Stinson, Ron Ignatius, Todd Martin, Joan </w:t>
      </w:r>
      <w:proofErr w:type="spellStart"/>
      <w:r>
        <w:rPr>
          <w:rFonts w:ascii="Times New Roman" w:eastAsia="Times New Roman" w:hAnsi="Times New Roman" w:cs="Times New Roman"/>
        </w:rPr>
        <w:t>Cwiklinski</w:t>
      </w:r>
      <w:proofErr w:type="spellEnd"/>
      <w:r>
        <w:rPr>
          <w:rFonts w:ascii="Times New Roman" w:eastAsia="Times New Roman" w:hAnsi="Times New Roman" w:cs="Times New Roman"/>
        </w:rPr>
        <w:t>, Alan F. Philippi, William R. Graf, Brian Hodgson, Lisa</w:t>
      </w:r>
      <w:r>
        <w:rPr>
          <w:rFonts w:ascii="Times New Roman" w:eastAsia="Times New Roman" w:hAnsi="Times New Roman" w:cs="Times New Roman"/>
        </w:rPr>
        <w:t xml:space="preserve"> Gould, Mary Kane, Gina Chen, and James </w:t>
      </w:r>
      <w:proofErr w:type="spellStart"/>
      <w:r>
        <w:rPr>
          <w:rFonts w:ascii="Times New Roman" w:eastAsia="Times New Roman" w:hAnsi="Times New Roman" w:cs="Times New Roman"/>
        </w:rPr>
        <w:t>Caviness</w:t>
      </w:r>
      <w:proofErr w:type="spellEnd"/>
      <w:r>
        <w:rPr>
          <w:rFonts w:ascii="Times New Roman" w:eastAsia="Times New Roman" w:hAnsi="Times New Roman" w:cs="Times New Roman"/>
        </w:rPr>
        <w:t>. "Effect of NASA Light-Emitting Diode Irradiation on Wound Healing." Journal of Clinical Laser Medicine Surgery 19.6 (2001): 305-14. Web.</w:t>
      </w:r>
    </w:p>
    <w:p w:rsidR="00B332E4" w:rsidRDefault="00A56EBC">
      <w:pPr>
        <w:spacing w:line="360" w:lineRule="auto"/>
        <w:ind w:left="720" w:hanging="720"/>
        <w:jc w:val="both"/>
      </w:pPr>
      <w:r>
        <w:rPr>
          <w:rFonts w:ascii="Times New Roman" w:eastAsia="Times New Roman" w:hAnsi="Times New Roman" w:cs="Times New Roman"/>
        </w:rPr>
        <w:t xml:space="preserve">[3] </w:t>
      </w:r>
      <w:proofErr w:type="spellStart"/>
      <w:r>
        <w:rPr>
          <w:rFonts w:ascii="Times New Roman" w:eastAsia="Times New Roman" w:hAnsi="Times New Roman" w:cs="Times New Roman"/>
        </w:rPr>
        <w:t>Adamskaya</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Dungel</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Mittermayr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Hartinger</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Feichti</w:t>
      </w:r>
      <w:r>
        <w:rPr>
          <w:rFonts w:ascii="Times New Roman" w:eastAsia="Times New Roman" w:hAnsi="Times New Roman" w:cs="Times New Roman"/>
        </w:rPr>
        <w:t>nger</w:t>
      </w:r>
      <w:proofErr w:type="spellEnd"/>
      <w:r>
        <w:rPr>
          <w:rFonts w:ascii="Times New Roman" w:eastAsia="Times New Roman" w:hAnsi="Times New Roman" w:cs="Times New Roman"/>
        </w:rPr>
        <w:t>, G., &amp; Wassermann, K. et al. (2011). Light therapy by blue LED improves wound healing in an excision model in rats. Injury</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(9), 917-921. doi:10.1016/j.injury.2010.03.023</w:t>
      </w:r>
    </w:p>
    <w:p w:rsidR="00B332E4" w:rsidRDefault="00A56EBC">
      <w:pPr>
        <w:spacing w:line="360" w:lineRule="auto"/>
        <w:ind w:left="720" w:hanging="720"/>
        <w:jc w:val="both"/>
      </w:pPr>
      <w:r>
        <w:rPr>
          <w:rFonts w:ascii="Times New Roman" w:eastAsia="Times New Roman" w:hAnsi="Times New Roman" w:cs="Times New Roman"/>
        </w:rPr>
        <w:t xml:space="preserve">[4] "Pressure Ulcer: MedlinePlus Medical Encyclopedia." </w:t>
      </w:r>
      <w:r>
        <w:rPr>
          <w:rFonts w:ascii="Times New Roman" w:eastAsia="Times New Roman" w:hAnsi="Times New Roman" w:cs="Times New Roman"/>
          <w:i/>
        </w:rPr>
        <w:t>U.S National Library of</w:t>
      </w:r>
      <w:r>
        <w:rPr>
          <w:rFonts w:ascii="Times New Roman" w:eastAsia="Times New Roman" w:hAnsi="Times New Roman" w:cs="Times New Roman"/>
          <w:i/>
        </w:rPr>
        <w:t xml:space="preserve"> Medicine</w:t>
      </w:r>
      <w:r>
        <w:rPr>
          <w:rFonts w:ascii="Times New Roman" w:eastAsia="Times New Roman" w:hAnsi="Times New Roman" w:cs="Times New Roman"/>
        </w:rPr>
        <w:t xml:space="preserve">. U.S. National Library of Medicine,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Web. 25 May 2015. http://www.nlm.nih.gov/medlineplus/ency/article/007071.htm</w:t>
      </w:r>
    </w:p>
    <w:p w:rsidR="00B332E4" w:rsidRDefault="00A56EBC">
      <w:pPr>
        <w:spacing w:line="360" w:lineRule="auto"/>
        <w:ind w:left="720" w:hanging="720"/>
        <w:jc w:val="both"/>
      </w:pPr>
      <w:r>
        <w:rPr>
          <w:rFonts w:ascii="Times New Roman" w:eastAsia="Times New Roman" w:hAnsi="Times New Roman" w:cs="Times New Roman"/>
        </w:rPr>
        <w:t xml:space="preserve">[5] </w:t>
      </w:r>
      <w:proofErr w:type="spellStart"/>
      <w:r>
        <w:rPr>
          <w:rFonts w:ascii="Times New Roman" w:eastAsia="Times New Roman" w:hAnsi="Times New Roman" w:cs="Times New Roman"/>
        </w:rPr>
        <w:t>Staas</w:t>
      </w:r>
      <w:proofErr w:type="spellEnd"/>
      <w:r>
        <w:rPr>
          <w:rFonts w:ascii="Times New Roman" w:eastAsia="Times New Roman" w:hAnsi="Times New Roman" w:cs="Times New Roman"/>
        </w:rPr>
        <w:t xml:space="preserve">, W. E., and H. M. </w:t>
      </w:r>
      <w:proofErr w:type="spellStart"/>
      <w:r>
        <w:rPr>
          <w:rFonts w:ascii="Times New Roman" w:eastAsia="Times New Roman" w:hAnsi="Times New Roman" w:cs="Times New Roman"/>
        </w:rPr>
        <w:t>Cioschi</w:t>
      </w:r>
      <w:proofErr w:type="spellEnd"/>
      <w:r>
        <w:rPr>
          <w:rFonts w:ascii="Times New Roman" w:eastAsia="Times New Roman" w:hAnsi="Times New Roman" w:cs="Times New Roman"/>
        </w:rPr>
        <w:t>. “Pressure Sores--a Multifaceted Approach to Prevention and Treatment.” Western Journal of M</w:t>
      </w:r>
      <w:r>
        <w:rPr>
          <w:rFonts w:ascii="Times New Roman" w:eastAsia="Times New Roman" w:hAnsi="Times New Roman" w:cs="Times New Roman"/>
        </w:rPr>
        <w:t>edicine 154.5 (1991): 539–544. Print.</w:t>
      </w:r>
    </w:p>
    <w:p w:rsidR="00B332E4" w:rsidRDefault="00A56EBC">
      <w:pPr>
        <w:spacing w:line="360" w:lineRule="auto"/>
        <w:ind w:left="720" w:hanging="720"/>
        <w:jc w:val="both"/>
      </w:pPr>
      <w:r>
        <w:rPr>
          <w:rFonts w:ascii="Times New Roman" w:eastAsia="Times New Roman" w:hAnsi="Times New Roman" w:cs="Times New Roman"/>
        </w:rPr>
        <w:t xml:space="preserve">[6] Sen, </w:t>
      </w:r>
      <w:proofErr w:type="spellStart"/>
      <w:r>
        <w:rPr>
          <w:rFonts w:ascii="Times New Roman" w:eastAsia="Times New Roman" w:hAnsi="Times New Roman" w:cs="Times New Roman"/>
        </w:rPr>
        <w:t>Chandan</w:t>
      </w:r>
      <w:proofErr w:type="spellEnd"/>
      <w:r>
        <w:rPr>
          <w:rFonts w:ascii="Times New Roman" w:eastAsia="Times New Roman" w:hAnsi="Times New Roman" w:cs="Times New Roman"/>
        </w:rPr>
        <w:t xml:space="preserve"> K. et al. “Human Skin Wounds: A Major and Snowballing Threat to Public Health and the Economy.” Wound repair and regeneration : official publication of the Wound Healing Society [and] the European Tiss</w:t>
      </w:r>
      <w:r>
        <w:rPr>
          <w:rFonts w:ascii="Times New Roman" w:eastAsia="Times New Roman" w:hAnsi="Times New Roman" w:cs="Times New Roman"/>
        </w:rPr>
        <w:t>ue Repair Society 17.6 (2009): 763–771. PMC. Web.</w:t>
      </w:r>
    </w:p>
    <w:p w:rsidR="00B332E4" w:rsidRDefault="00A56EBC">
      <w:pPr>
        <w:spacing w:line="360" w:lineRule="auto"/>
        <w:ind w:left="720" w:hanging="720"/>
        <w:jc w:val="both"/>
      </w:pPr>
      <w:r>
        <w:rPr>
          <w:rFonts w:ascii="Times New Roman" w:eastAsia="Times New Roman" w:hAnsi="Times New Roman" w:cs="Times New Roman"/>
        </w:rPr>
        <w:t xml:space="preserve">[7] Domenico Alfieri ; Stefano </w:t>
      </w:r>
      <w:proofErr w:type="spellStart"/>
      <w:r>
        <w:rPr>
          <w:rFonts w:ascii="Times New Roman" w:eastAsia="Times New Roman" w:hAnsi="Times New Roman" w:cs="Times New Roman"/>
        </w:rPr>
        <w:t>Bacci</w:t>
      </w:r>
      <w:proofErr w:type="spellEnd"/>
      <w:r>
        <w:rPr>
          <w:rFonts w:ascii="Times New Roman" w:eastAsia="Times New Roman" w:hAnsi="Times New Roman" w:cs="Times New Roman"/>
        </w:rPr>
        <w:t xml:space="preserve"> ; Riccardo </w:t>
      </w:r>
      <w:proofErr w:type="spellStart"/>
      <w:r>
        <w:rPr>
          <w:rFonts w:ascii="Times New Roman" w:eastAsia="Times New Roman" w:hAnsi="Times New Roman" w:cs="Times New Roman"/>
        </w:rPr>
        <w:t>Cicchi</w:t>
      </w:r>
      <w:proofErr w:type="spellEnd"/>
      <w:r>
        <w:rPr>
          <w:rFonts w:ascii="Times New Roman" w:eastAsia="Times New Roman" w:hAnsi="Times New Roman" w:cs="Times New Roman"/>
        </w:rPr>
        <w:t xml:space="preserve"> ; Gaetano De Siena ; Virginia </w:t>
      </w:r>
      <w:proofErr w:type="spellStart"/>
      <w:r>
        <w:rPr>
          <w:rFonts w:ascii="Times New Roman" w:eastAsia="Times New Roman" w:hAnsi="Times New Roman" w:cs="Times New Roman"/>
        </w:rPr>
        <w:t>Lotti</w:t>
      </w:r>
      <w:proofErr w:type="spellEnd"/>
      <w:r>
        <w:rPr>
          <w:rFonts w:ascii="Times New Roman" w:eastAsia="Times New Roman" w:hAnsi="Times New Roman" w:cs="Times New Roman"/>
        </w:rPr>
        <w:t xml:space="preserve"> ; Francesco </w:t>
      </w:r>
      <w:proofErr w:type="spellStart"/>
      <w:r>
        <w:rPr>
          <w:rFonts w:ascii="Times New Roman" w:eastAsia="Times New Roman" w:hAnsi="Times New Roman" w:cs="Times New Roman"/>
        </w:rPr>
        <w:t>Pavone</w:t>
      </w:r>
      <w:proofErr w:type="spellEnd"/>
      <w:r>
        <w:rPr>
          <w:rFonts w:ascii="Times New Roman" w:eastAsia="Times New Roman" w:hAnsi="Times New Roman" w:cs="Times New Roman"/>
        </w:rPr>
        <w:t xml:space="preserve"> ; Roberto </w:t>
      </w:r>
      <w:proofErr w:type="spellStart"/>
      <w:r>
        <w:rPr>
          <w:rFonts w:ascii="Times New Roman" w:eastAsia="Times New Roman" w:hAnsi="Times New Roman" w:cs="Times New Roman"/>
        </w:rPr>
        <w:t>Pini</w:t>
      </w:r>
      <w:proofErr w:type="spellEnd"/>
      <w:r>
        <w:rPr>
          <w:rFonts w:ascii="Times New Roman" w:eastAsia="Times New Roman" w:hAnsi="Times New Roman" w:cs="Times New Roman"/>
        </w:rPr>
        <w:t xml:space="preserve"> ; Francesca Rossi ; Francesca </w:t>
      </w:r>
      <w:proofErr w:type="spellStart"/>
      <w:r>
        <w:rPr>
          <w:rFonts w:ascii="Times New Roman" w:eastAsia="Times New Roman" w:hAnsi="Times New Roman" w:cs="Times New Roman"/>
        </w:rPr>
        <w:t>Tatini</w:t>
      </w:r>
      <w:proofErr w:type="spellEnd"/>
      <w:r>
        <w:rPr>
          <w:rFonts w:ascii="Times New Roman" w:eastAsia="Times New Roman" w:hAnsi="Times New Roman" w:cs="Times New Roman"/>
        </w:rPr>
        <w:t>; Blue LED treatment of superficial abrasions</w:t>
      </w:r>
      <w:r>
        <w:rPr>
          <w:rFonts w:ascii="Times New Roman" w:eastAsia="Times New Roman" w:hAnsi="Times New Roman" w:cs="Times New Roman"/>
        </w:rPr>
        <w:t>. Proc. SPIE 8565, Photonic Therapeutics and Diagnostics IX, 85650H (March 8, 2013); doi:10.1117/12.2003933.</w:t>
      </w:r>
    </w:p>
    <w:p w:rsidR="00B332E4" w:rsidRDefault="00A56EBC">
      <w:pPr>
        <w:spacing w:line="360" w:lineRule="auto"/>
        <w:ind w:left="720" w:hanging="720"/>
        <w:jc w:val="both"/>
      </w:pPr>
      <w:r>
        <w:rPr>
          <w:rFonts w:ascii="Times New Roman" w:eastAsia="Times New Roman" w:hAnsi="Times New Roman" w:cs="Times New Roman"/>
        </w:rPr>
        <w:t xml:space="preserve">[8] Zhang, Y., Y. Zhu, A. Gupta, Y. Huang, C. K. Murray, M. S. </w:t>
      </w:r>
      <w:proofErr w:type="spellStart"/>
      <w:r>
        <w:rPr>
          <w:rFonts w:ascii="Times New Roman" w:eastAsia="Times New Roman" w:hAnsi="Times New Roman" w:cs="Times New Roman"/>
        </w:rPr>
        <w:t>Vrahas</w:t>
      </w:r>
      <w:proofErr w:type="spellEnd"/>
      <w:r>
        <w:rPr>
          <w:rFonts w:ascii="Times New Roman" w:eastAsia="Times New Roman" w:hAnsi="Times New Roman" w:cs="Times New Roman"/>
        </w:rPr>
        <w:t>, M. E. Sherwood, D. G. Baer, M. R. Hamblin, and T. Dai. "Antimicrobial Blue L</w:t>
      </w:r>
      <w:r>
        <w:rPr>
          <w:rFonts w:ascii="Times New Roman" w:eastAsia="Times New Roman" w:hAnsi="Times New Roman" w:cs="Times New Roman"/>
        </w:rPr>
        <w:t xml:space="preserve">ight Therapy for Multidrug-Resistant Acinetobacter </w:t>
      </w:r>
      <w:proofErr w:type="spellStart"/>
      <w:r>
        <w:rPr>
          <w:rFonts w:ascii="Times New Roman" w:eastAsia="Times New Roman" w:hAnsi="Times New Roman" w:cs="Times New Roman"/>
        </w:rPr>
        <w:t>Baumannii</w:t>
      </w:r>
      <w:proofErr w:type="spellEnd"/>
      <w:r>
        <w:rPr>
          <w:rFonts w:ascii="Times New Roman" w:eastAsia="Times New Roman" w:hAnsi="Times New Roman" w:cs="Times New Roman"/>
        </w:rPr>
        <w:t xml:space="preserve"> Infection in a Mouse Burn Model: Implications for Prophylaxis and Treatment of Combat-related Wound Infections." Journal of Infectious Diseases 209.12 (2013): 1963-971. Web. 29 Oct. 2015.</w:t>
      </w:r>
    </w:p>
    <w:p w:rsidR="00B332E4" w:rsidRDefault="00A56EBC">
      <w:pPr>
        <w:spacing w:line="360" w:lineRule="auto"/>
        <w:ind w:left="720" w:hanging="720"/>
        <w:jc w:val="both"/>
      </w:pPr>
      <w:r>
        <w:rPr>
          <w:rFonts w:ascii="Times New Roman" w:eastAsia="Times New Roman" w:hAnsi="Times New Roman" w:cs="Times New Roman"/>
        </w:rPr>
        <w:lastRenderedPageBreak/>
        <w:t>[9] Whe</w:t>
      </w:r>
      <w:r>
        <w:rPr>
          <w:rFonts w:ascii="Times New Roman" w:eastAsia="Times New Roman" w:hAnsi="Times New Roman" w:cs="Times New Roman"/>
        </w:rPr>
        <w:t xml:space="preserve">lan, Harry T., Ellen V. </w:t>
      </w:r>
      <w:proofErr w:type="spellStart"/>
      <w:r>
        <w:rPr>
          <w:rFonts w:ascii="Times New Roman" w:eastAsia="Times New Roman" w:hAnsi="Times New Roman" w:cs="Times New Roman"/>
        </w:rPr>
        <w:t>Buchmann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Apsara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Dhokalia</w:t>
      </w:r>
      <w:proofErr w:type="spellEnd"/>
      <w:r>
        <w:rPr>
          <w:rFonts w:ascii="Times New Roman" w:eastAsia="Times New Roman" w:hAnsi="Times New Roman" w:cs="Times New Roman"/>
        </w:rPr>
        <w:t xml:space="preserve">, Mary P. Kane, Noel T. Whelan, Margaret T.t. Wong-Riley, Janis T. </w:t>
      </w:r>
      <w:proofErr w:type="spellStart"/>
      <w:r>
        <w:rPr>
          <w:rFonts w:ascii="Times New Roman" w:eastAsia="Times New Roman" w:hAnsi="Times New Roman" w:cs="Times New Roman"/>
        </w:rPr>
        <w:t>Eells</w:t>
      </w:r>
      <w:proofErr w:type="spellEnd"/>
      <w:r>
        <w:rPr>
          <w:rFonts w:ascii="Times New Roman" w:eastAsia="Times New Roman" w:hAnsi="Times New Roman" w:cs="Times New Roman"/>
        </w:rPr>
        <w:t xml:space="preserve">, Lisa J. Gould, </w:t>
      </w:r>
      <w:proofErr w:type="spellStart"/>
      <w:r>
        <w:rPr>
          <w:rFonts w:ascii="Times New Roman" w:eastAsia="Times New Roman" w:hAnsi="Times New Roman" w:cs="Times New Roman"/>
        </w:rPr>
        <w:t>Rasha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Hammamieh</w:t>
      </w:r>
      <w:proofErr w:type="spellEnd"/>
      <w:r>
        <w:rPr>
          <w:rFonts w:ascii="Times New Roman" w:eastAsia="Times New Roman" w:hAnsi="Times New Roman" w:cs="Times New Roman"/>
        </w:rPr>
        <w:t>, Rina Das, and Marti Jett. "Effect of NASA Light-Emitting Diode Irradiation on Molecular Changes for W</w:t>
      </w:r>
      <w:r>
        <w:rPr>
          <w:rFonts w:ascii="Times New Roman" w:eastAsia="Times New Roman" w:hAnsi="Times New Roman" w:cs="Times New Roman"/>
        </w:rPr>
        <w:t>ound Healing in Diabetic Mice." Journal of Clinical Laser Medicine &amp; Surgery 21.2 (2003): 67-74. Web. 29 Oct. 2015.</w:t>
      </w:r>
    </w:p>
    <w:p w:rsidR="00B332E4" w:rsidRDefault="00A56EBC">
      <w:pPr>
        <w:widowControl w:val="0"/>
        <w:spacing w:line="360" w:lineRule="auto"/>
        <w:ind w:left="720" w:hanging="720"/>
        <w:jc w:val="both"/>
      </w:pPr>
      <w:r>
        <w:rPr>
          <w:rFonts w:ascii="Times New Roman" w:eastAsia="Times New Roman" w:hAnsi="Times New Roman" w:cs="Times New Roman"/>
        </w:rPr>
        <w:t xml:space="preserve">[10] </w:t>
      </w:r>
      <w:proofErr w:type="spellStart"/>
      <w:r>
        <w:rPr>
          <w:rFonts w:ascii="Times New Roman" w:eastAsia="Times New Roman" w:hAnsi="Times New Roman" w:cs="Times New Roman"/>
          <w:color w:val="242424"/>
        </w:rPr>
        <w:t>Mittermayr</w:t>
      </w:r>
      <w:proofErr w:type="spellEnd"/>
      <w:r>
        <w:rPr>
          <w:rFonts w:ascii="Times New Roman" w:eastAsia="Times New Roman" w:hAnsi="Times New Roman" w:cs="Times New Roman"/>
          <w:color w:val="242424"/>
        </w:rPr>
        <w:t xml:space="preserve">, Rainer et al. “Blue Laser Light Increases Perfusion of a Skin Flap </w:t>
      </w:r>
      <w:proofErr w:type="gramStart"/>
      <w:r>
        <w:rPr>
          <w:rFonts w:ascii="Times New Roman" w:eastAsia="Times New Roman" w:hAnsi="Times New Roman" w:cs="Times New Roman"/>
          <w:color w:val="242424"/>
        </w:rPr>
        <w:t>Via</w:t>
      </w:r>
      <w:proofErr w:type="gramEnd"/>
      <w:r>
        <w:rPr>
          <w:rFonts w:ascii="Times New Roman" w:eastAsia="Times New Roman" w:hAnsi="Times New Roman" w:cs="Times New Roman"/>
          <w:color w:val="242424"/>
        </w:rPr>
        <w:t xml:space="preserve"> Release of Nitric Oxide from Hemoglobin.” </w:t>
      </w:r>
      <w:r>
        <w:rPr>
          <w:rFonts w:ascii="Times New Roman" w:eastAsia="Times New Roman" w:hAnsi="Times New Roman" w:cs="Times New Roman"/>
          <w:i/>
          <w:color w:val="242424"/>
        </w:rPr>
        <w:t>Molecular Medicine</w:t>
      </w:r>
      <w:r>
        <w:rPr>
          <w:rFonts w:ascii="Times New Roman" w:eastAsia="Times New Roman" w:hAnsi="Times New Roman" w:cs="Times New Roman"/>
          <w:color w:val="242424"/>
        </w:rPr>
        <w:t xml:space="preserve"> 13.1-2 (2007): 22–29. </w:t>
      </w:r>
      <w:r>
        <w:rPr>
          <w:rFonts w:ascii="Times New Roman" w:eastAsia="Times New Roman" w:hAnsi="Times New Roman" w:cs="Times New Roman"/>
          <w:i/>
          <w:color w:val="242424"/>
        </w:rPr>
        <w:t>PMC</w:t>
      </w:r>
      <w:r>
        <w:rPr>
          <w:rFonts w:ascii="Times New Roman" w:eastAsia="Times New Roman" w:hAnsi="Times New Roman" w:cs="Times New Roman"/>
          <w:color w:val="242424"/>
        </w:rPr>
        <w:t>. Web. 29 Oct. 2015.</w:t>
      </w:r>
    </w:p>
    <w:p w:rsidR="00B332E4" w:rsidRDefault="00A56EBC">
      <w:pPr>
        <w:widowControl w:val="0"/>
        <w:spacing w:line="360" w:lineRule="auto"/>
        <w:ind w:left="720" w:hanging="720"/>
        <w:jc w:val="both"/>
      </w:pPr>
      <w:r>
        <w:rPr>
          <w:rFonts w:ascii="Times New Roman" w:eastAsia="Times New Roman" w:hAnsi="Times New Roman" w:cs="Times New Roman"/>
          <w:color w:val="242424"/>
        </w:rPr>
        <w:t xml:space="preserve">[11] </w:t>
      </w:r>
      <w:proofErr w:type="spellStart"/>
      <w:r>
        <w:rPr>
          <w:rFonts w:ascii="Times New Roman" w:eastAsia="Times New Roman" w:hAnsi="Times New Roman" w:cs="Times New Roman"/>
          <w:color w:val="242424"/>
        </w:rPr>
        <w:t>Dungel</w:t>
      </w:r>
      <w:proofErr w:type="spellEnd"/>
      <w:r>
        <w:rPr>
          <w:rFonts w:ascii="Times New Roman" w:eastAsia="Times New Roman" w:hAnsi="Times New Roman" w:cs="Times New Roman"/>
          <w:color w:val="242424"/>
        </w:rPr>
        <w:t xml:space="preserve">, Peter, Rainer </w:t>
      </w:r>
      <w:proofErr w:type="spellStart"/>
      <w:r>
        <w:rPr>
          <w:rFonts w:ascii="Times New Roman" w:eastAsia="Times New Roman" w:hAnsi="Times New Roman" w:cs="Times New Roman"/>
          <w:color w:val="242424"/>
        </w:rPr>
        <w:t>Mittermayr</w:t>
      </w:r>
      <w:proofErr w:type="spellEnd"/>
      <w:r>
        <w:rPr>
          <w:rFonts w:ascii="Times New Roman" w:eastAsia="Times New Roman" w:hAnsi="Times New Roman" w:cs="Times New Roman"/>
          <w:color w:val="242424"/>
        </w:rPr>
        <w:t xml:space="preserve">, Susanne </w:t>
      </w:r>
      <w:proofErr w:type="spellStart"/>
      <w:r>
        <w:rPr>
          <w:rFonts w:ascii="Times New Roman" w:eastAsia="Times New Roman" w:hAnsi="Times New Roman" w:cs="Times New Roman"/>
          <w:color w:val="242424"/>
        </w:rPr>
        <w:t>Haindl</w:t>
      </w:r>
      <w:proofErr w:type="spellEnd"/>
      <w:r>
        <w:rPr>
          <w:rFonts w:ascii="Times New Roman" w:eastAsia="Times New Roman" w:hAnsi="Times New Roman" w:cs="Times New Roman"/>
          <w:color w:val="242424"/>
        </w:rPr>
        <w:t xml:space="preserve">, Anatoly </w:t>
      </w:r>
      <w:proofErr w:type="spellStart"/>
      <w:r>
        <w:rPr>
          <w:rFonts w:ascii="Times New Roman" w:eastAsia="Times New Roman" w:hAnsi="Times New Roman" w:cs="Times New Roman"/>
          <w:color w:val="242424"/>
        </w:rPr>
        <w:t>Osipov</w:t>
      </w:r>
      <w:proofErr w:type="spellEnd"/>
      <w:r>
        <w:rPr>
          <w:rFonts w:ascii="Times New Roman" w:eastAsia="Times New Roman" w:hAnsi="Times New Roman" w:cs="Times New Roman"/>
          <w:color w:val="242424"/>
        </w:rPr>
        <w:t xml:space="preserve">, Carina Wagner, Heinz </w:t>
      </w:r>
      <w:proofErr w:type="spellStart"/>
      <w:r>
        <w:rPr>
          <w:rFonts w:ascii="Times New Roman" w:eastAsia="Times New Roman" w:hAnsi="Times New Roman" w:cs="Times New Roman"/>
          <w:color w:val="242424"/>
        </w:rPr>
        <w:t>Redl</w:t>
      </w:r>
      <w:proofErr w:type="spellEnd"/>
      <w:r>
        <w:rPr>
          <w:rFonts w:ascii="Times New Roman" w:eastAsia="Times New Roman" w:hAnsi="Times New Roman" w:cs="Times New Roman"/>
          <w:color w:val="242424"/>
        </w:rPr>
        <w:t xml:space="preserve">, and Andrey V. </w:t>
      </w:r>
      <w:proofErr w:type="spellStart"/>
      <w:r>
        <w:rPr>
          <w:rFonts w:ascii="Times New Roman" w:eastAsia="Times New Roman" w:hAnsi="Times New Roman" w:cs="Times New Roman"/>
          <w:color w:val="242424"/>
        </w:rPr>
        <w:t>Kozlov</w:t>
      </w:r>
      <w:proofErr w:type="spellEnd"/>
      <w:r>
        <w:rPr>
          <w:rFonts w:ascii="Times New Roman" w:eastAsia="Times New Roman" w:hAnsi="Times New Roman" w:cs="Times New Roman"/>
          <w:color w:val="242424"/>
        </w:rPr>
        <w:t>. "Illumination with Blue Light Reactivates Respiratory Activity of Mitoc</w:t>
      </w:r>
      <w:r>
        <w:rPr>
          <w:rFonts w:ascii="Times New Roman" w:eastAsia="Times New Roman" w:hAnsi="Times New Roman" w:cs="Times New Roman"/>
          <w:color w:val="242424"/>
        </w:rPr>
        <w:t xml:space="preserve">hondria Inhibited by Nitric Oxide, but Not by Glycerol </w:t>
      </w:r>
      <w:proofErr w:type="spellStart"/>
      <w:r>
        <w:rPr>
          <w:rFonts w:ascii="Times New Roman" w:eastAsia="Times New Roman" w:hAnsi="Times New Roman" w:cs="Times New Roman"/>
          <w:color w:val="242424"/>
        </w:rPr>
        <w:t>Trinitrate</w:t>
      </w:r>
      <w:proofErr w:type="spellEnd"/>
      <w:r>
        <w:rPr>
          <w:rFonts w:ascii="Times New Roman" w:eastAsia="Times New Roman" w:hAnsi="Times New Roman" w:cs="Times New Roman"/>
          <w:color w:val="242424"/>
        </w:rPr>
        <w:t>." Archives of Biochemistry and Biophysics 471.2 (2008): 109-15. Web. 29 Oct. 2015.</w:t>
      </w:r>
    </w:p>
    <w:p w:rsidR="00B332E4" w:rsidRDefault="00B332E4">
      <w:pPr>
        <w:widowControl w:val="0"/>
        <w:spacing w:line="360" w:lineRule="auto"/>
        <w:jc w:val="both"/>
      </w:pPr>
    </w:p>
    <w:p w:rsidR="00B332E4" w:rsidRDefault="00B332E4">
      <w:pPr>
        <w:spacing w:line="480" w:lineRule="auto"/>
        <w:ind w:left="720" w:hanging="720"/>
        <w:jc w:val="both"/>
      </w:pPr>
    </w:p>
    <w:p w:rsidR="00B332E4" w:rsidRDefault="00A56EBC">
      <w:pPr>
        <w:spacing w:line="480" w:lineRule="auto"/>
        <w:ind w:left="720" w:hanging="720"/>
        <w:jc w:val="both"/>
      </w:pPr>
      <w:r>
        <w:rPr>
          <w:noProof/>
        </w:rPr>
        <w:lastRenderedPageBreak/>
        <w:drawing>
          <wp:anchor distT="0" distB="0" distL="114300" distR="114300" simplePos="0" relativeHeight="251659264" behindDoc="0" locked="0" layoutInCell="0" hidden="0" allowOverlap="0">
            <wp:simplePos x="0" y="0"/>
            <wp:positionH relativeFrom="margin">
              <wp:posOffset>-571499</wp:posOffset>
            </wp:positionH>
            <wp:positionV relativeFrom="paragraph">
              <wp:posOffset>-571499</wp:posOffset>
            </wp:positionV>
            <wp:extent cx="7086600" cy="9222105"/>
            <wp:effectExtent l="0" t="0" r="0" b="0"/>
            <wp:wrapSquare wrapText="bothSides" distT="0" distB="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7086600" cy="9222105"/>
                    </a:xfrm>
                    <a:prstGeom prst="rect">
                      <a:avLst/>
                    </a:prstGeom>
                    <a:ln/>
                  </pic:spPr>
                </pic:pic>
              </a:graphicData>
            </a:graphic>
          </wp:anchor>
        </w:drawing>
      </w:r>
    </w:p>
    <w:p w:rsidR="00B332E4" w:rsidRDefault="00A56EBC">
      <w:pPr>
        <w:spacing w:line="480" w:lineRule="auto"/>
        <w:ind w:left="720" w:hanging="720"/>
        <w:jc w:val="both"/>
      </w:pPr>
      <w:r>
        <w:rPr>
          <w:noProof/>
        </w:rPr>
        <w:lastRenderedPageBreak/>
        <w:drawing>
          <wp:anchor distT="0" distB="0" distL="114300" distR="114300" simplePos="0" relativeHeight="251660288" behindDoc="0" locked="0" layoutInCell="0" hidden="0" allowOverlap="0">
            <wp:simplePos x="0" y="0"/>
            <wp:positionH relativeFrom="margin">
              <wp:posOffset>-571499</wp:posOffset>
            </wp:positionH>
            <wp:positionV relativeFrom="paragraph">
              <wp:posOffset>-572134</wp:posOffset>
            </wp:positionV>
            <wp:extent cx="7086600" cy="9222105"/>
            <wp:effectExtent l="0" t="0" r="0" b="0"/>
            <wp:wrapSquare wrapText="bothSides" distT="0" distB="0" distL="114300" distR="11430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0"/>
                    <a:srcRect/>
                    <a:stretch>
                      <a:fillRect/>
                    </a:stretch>
                  </pic:blipFill>
                  <pic:spPr>
                    <a:xfrm>
                      <a:off x="0" y="0"/>
                      <a:ext cx="7086600" cy="9222105"/>
                    </a:xfrm>
                    <a:prstGeom prst="rect">
                      <a:avLst/>
                    </a:prstGeom>
                    <a:ln/>
                  </pic:spPr>
                </pic:pic>
              </a:graphicData>
            </a:graphic>
          </wp:anchor>
        </w:drawing>
      </w:r>
    </w:p>
    <w:sectPr w:rsidR="00B332E4">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EBC" w:rsidRDefault="00A56EBC">
      <w:r>
        <w:separator/>
      </w:r>
    </w:p>
  </w:endnote>
  <w:endnote w:type="continuationSeparator" w:id="0">
    <w:p w:rsidR="00A56EBC" w:rsidRDefault="00A5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2E4" w:rsidRDefault="00B332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EBC" w:rsidRDefault="00A56EBC">
      <w:r>
        <w:separator/>
      </w:r>
    </w:p>
  </w:footnote>
  <w:footnote w:type="continuationSeparator" w:id="0">
    <w:p w:rsidR="00A56EBC" w:rsidRDefault="00A56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2E4" w:rsidRDefault="00B332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2E4" w:rsidRDefault="00A56EBC">
    <w:pPr>
      <w:jc w:val="center"/>
    </w:pPr>
    <w:r>
      <w:tab/>
      <w:t xml:space="preserve">                          </w:t>
    </w:r>
    <w:r>
      <w:tab/>
    </w:r>
    <w:r>
      <w:rPr>
        <w:noProof/>
      </w:rPr>
      <w:drawing>
        <wp:inline distT="114300" distB="114300" distL="114300" distR="114300">
          <wp:extent cx="1609725" cy="51435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l="10000" t="21052" r="9523" b="22105"/>
                  <a:stretch>
                    <a:fillRect/>
                  </a:stretch>
                </pic:blipFill>
                <pic:spPr>
                  <a:xfrm>
                    <a:off x="0" y="0"/>
                    <a:ext cx="1609725" cy="514350"/>
                  </a:xfrm>
                  <a:prstGeom prst="rect">
                    <a:avLst/>
                  </a:prstGeom>
                  <a:ln/>
                </pic:spPr>
              </pic:pic>
            </a:graphicData>
          </a:graphic>
        </wp:inline>
      </w:drawing>
    </w:r>
    <w:r>
      <w:tab/>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84595"/>
    <w:multiLevelType w:val="multilevel"/>
    <w:tmpl w:val="6FB84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32E4"/>
    <w:rsid w:val="00143CEA"/>
    <w:rsid w:val="00A56EBC"/>
    <w:rsid w:val="00B332E4"/>
    <w:rsid w:val="00D25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5924B-540E-42DC-BE31-9F03511B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Siegfried Schlunk</cp:lastModifiedBy>
  <cp:revision>4</cp:revision>
  <cp:lastPrinted>2016-02-01T04:00:00Z</cp:lastPrinted>
  <dcterms:created xsi:type="dcterms:W3CDTF">2016-02-01T03:52:00Z</dcterms:created>
  <dcterms:modified xsi:type="dcterms:W3CDTF">2016-02-01T04:06:00Z</dcterms:modified>
</cp:coreProperties>
</file>