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6B9" w:rsidRDefault="00717B0E">
      <w:r>
        <w:t>(page 147 problem 33) The Pew Research Center conducts surveys regularly asking respondents which political party that lean toward. Among their results is the following table relating preferred political party and age.</w:t>
      </w:r>
    </w:p>
    <w:tbl>
      <w:tblPr>
        <w:tblStyle w:val="PlainTable1"/>
        <w:tblW w:w="0" w:type="auto"/>
        <w:tblLook w:val="04A0" w:firstRow="1" w:lastRow="0" w:firstColumn="1" w:lastColumn="0" w:noHBand="0" w:noVBand="1"/>
      </w:tblPr>
      <w:tblGrid>
        <w:gridCol w:w="1858"/>
        <w:gridCol w:w="1884"/>
        <w:gridCol w:w="1879"/>
        <w:gridCol w:w="1869"/>
        <w:gridCol w:w="1860"/>
      </w:tblGrid>
      <w:tr w:rsidR="00717B0E" w:rsidTr="00717B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tc>
        <w:tc>
          <w:tcPr>
            <w:tcW w:w="1915" w:type="dxa"/>
          </w:tcPr>
          <w:p w:rsidR="00717B0E" w:rsidRDefault="00717B0E">
            <w:pPr>
              <w:cnfStyle w:val="100000000000" w:firstRow="1" w:lastRow="0" w:firstColumn="0" w:lastColumn="0" w:oddVBand="0" w:evenVBand="0" w:oddHBand="0" w:evenHBand="0" w:firstRowFirstColumn="0" w:firstRowLastColumn="0" w:lastRowFirstColumn="0" w:lastRowLastColumn="0"/>
            </w:pPr>
            <w:r>
              <w:t>Republican</w:t>
            </w:r>
          </w:p>
        </w:tc>
        <w:tc>
          <w:tcPr>
            <w:tcW w:w="1915" w:type="dxa"/>
          </w:tcPr>
          <w:p w:rsidR="00717B0E" w:rsidRDefault="00717B0E">
            <w:pPr>
              <w:cnfStyle w:val="100000000000" w:firstRow="1" w:lastRow="0" w:firstColumn="0" w:lastColumn="0" w:oddVBand="0" w:evenVBand="0" w:oddHBand="0" w:evenHBand="0" w:firstRowFirstColumn="0" w:firstRowLastColumn="0" w:lastRowFirstColumn="0" w:lastRowLastColumn="0"/>
            </w:pPr>
            <w:r>
              <w:t>Democrat</w:t>
            </w:r>
          </w:p>
        </w:tc>
        <w:tc>
          <w:tcPr>
            <w:tcW w:w="1915" w:type="dxa"/>
          </w:tcPr>
          <w:p w:rsidR="00717B0E" w:rsidRDefault="00717B0E">
            <w:pPr>
              <w:cnfStyle w:val="100000000000" w:firstRow="1" w:lastRow="0" w:firstColumn="0" w:lastColumn="0" w:oddVBand="0" w:evenVBand="0" w:oddHBand="0" w:evenHBand="0" w:firstRowFirstColumn="0" w:firstRowLastColumn="0" w:lastRowFirstColumn="0" w:lastRowLastColumn="0"/>
            </w:pPr>
            <w:r>
              <w:t>Neither</w:t>
            </w:r>
          </w:p>
        </w:tc>
        <w:tc>
          <w:tcPr>
            <w:tcW w:w="1916" w:type="dxa"/>
          </w:tcPr>
          <w:p w:rsidR="00717B0E" w:rsidRDefault="00717B0E">
            <w:pPr>
              <w:cnfStyle w:val="100000000000" w:firstRow="1" w:lastRow="0" w:firstColumn="0" w:lastColumn="0" w:oddVBand="0" w:evenVBand="0" w:oddHBand="0" w:evenHBand="0" w:firstRowFirstColumn="0" w:firstRowLastColumn="0" w:lastRowFirstColumn="0" w:lastRowLastColumn="0"/>
            </w:pPr>
            <w:r>
              <w:t>Total</w:t>
            </w:r>
          </w:p>
        </w:tc>
      </w:tr>
      <w:tr w:rsidR="00717B0E" w:rsidTr="0071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r>
              <w:t>18-29</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318</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424</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73</w:t>
            </w:r>
          </w:p>
        </w:tc>
        <w:tc>
          <w:tcPr>
            <w:tcW w:w="1916"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r>
      <w:tr w:rsidR="00717B0E" w:rsidTr="00717B0E">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r>
              <w:t>30-49</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991</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1058</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203</w:t>
            </w:r>
          </w:p>
        </w:tc>
        <w:tc>
          <w:tcPr>
            <w:tcW w:w="1916" w:type="dxa"/>
          </w:tcPr>
          <w:p w:rsidR="00717B0E" w:rsidRDefault="00717B0E">
            <w:pPr>
              <w:cnfStyle w:val="000000000000" w:firstRow="0" w:lastRow="0" w:firstColumn="0" w:lastColumn="0" w:oddVBand="0" w:evenVBand="0" w:oddHBand="0" w:evenHBand="0" w:firstRowFirstColumn="0" w:firstRowLastColumn="0" w:lastRowFirstColumn="0" w:lastRowLastColumn="0"/>
            </w:pPr>
          </w:p>
        </w:tc>
      </w:tr>
      <w:tr w:rsidR="00717B0E" w:rsidTr="0071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r>
              <w:t>50-64</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1260</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1407</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r>
              <w:t>264</w:t>
            </w:r>
          </w:p>
        </w:tc>
        <w:tc>
          <w:tcPr>
            <w:tcW w:w="1916"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r>
      <w:tr w:rsidR="00717B0E" w:rsidTr="00717B0E">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r>
              <w:t>64+</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1136</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1087</w:t>
            </w:r>
          </w:p>
        </w:tc>
        <w:tc>
          <w:tcPr>
            <w:tcW w:w="1915" w:type="dxa"/>
          </w:tcPr>
          <w:p w:rsidR="00717B0E" w:rsidRDefault="00717B0E">
            <w:pPr>
              <w:cnfStyle w:val="000000000000" w:firstRow="0" w:lastRow="0" w:firstColumn="0" w:lastColumn="0" w:oddVBand="0" w:evenVBand="0" w:oddHBand="0" w:evenHBand="0" w:firstRowFirstColumn="0" w:firstRowLastColumn="0" w:lastRowFirstColumn="0" w:lastRowLastColumn="0"/>
            </w:pPr>
            <w:r>
              <w:t>193</w:t>
            </w:r>
          </w:p>
        </w:tc>
        <w:tc>
          <w:tcPr>
            <w:tcW w:w="1916" w:type="dxa"/>
          </w:tcPr>
          <w:p w:rsidR="00717B0E" w:rsidRDefault="00717B0E">
            <w:pPr>
              <w:cnfStyle w:val="000000000000" w:firstRow="0" w:lastRow="0" w:firstColumn="0" w:lastColumn="0" w:oddVBand="0" w:evenVBand="0" w:oddHBand="0" w:evenHBand="0" w:firstRowFirstColumn="0" w:firstRowLastColumn="0" w:lastRowFirstColumn="0" w:lastRowLastColumn="0"/>
            </w:pPr>
          </w:p>
        </w:tc>
      </w:tr>
      <w:tr w:rsidR="00717B0E" w:rsidTr="00717B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15" w:type="dxa"/>
          </w:tcPr>
          <w:p w:rsidR="00717B0E" w:rsidRDefault="00717B0E">
            <w:r>
              <w:t>Total</w:t>
            </w: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c>
          <w:tcPr>
            <w:tcW w:w="1915"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c>
          <w:tcPr>
            <w:tcW w:w="1916" w:type="dxa"/>
          </w:tcPr>
          <w:p w:rsidR="00717B0E" w:rsidRDefault="00717B0E">
            <w:pPr>
              <w:cnfStyle w:val="000000100000" w:firstRow="0" w:lastRow="0" w:firstColumn="0" w:lastColumn="0" w:oddVBand="0" w:evenVBand="0" w:oddHBand="1" w:evenHBand="0" w:firstRowFirstColumn="0" w:firstRowLastColumn="0" w:lastRowFirstColumn="0" w:lastRowLastColumn="0"/>
            </w:pPr>
          </w:p>
        </w:tc>
      </w:tr>
    </w:tbl>
    <w:p w:rsidR="00717B0E" w:rsidRDefault="00717B0E"/>
    <w:p w:rsidR="00717B0E" w:rsidRDefault="00717B0E" w:rsidP="00717B0E">
      <w:pPr>
        <w:pStyle w:val="ListParagraph"/>
        <w:numPr>
          <w:ilvl w:val="0"/>
          <w:numId w:val="1"/>
        </w:numPr>
      </w:pPr>
      <w:r>
        <w:t>Fill in the Total row and column</w:t>
      </w:r>
    </w:p>
    <w:p w:rsidR="00717B0E" w:rsidRDefault="00717B0E" w:rsidP="00717B0E">
      <w:pPr>
        <w:pStyle w:val="ListParagraph"/>
        <w:numPr>
          <w:ilvl w:val="0"/>
          <w:numId w:val="1"/>
        </w:numPr>
      </w:pPr>
      <w:r>
        <w:t>What percent of people surveyed were Republicans?</w:t>
      </w:r>
    </w:p>
    <w:p w:rsidR="00717B0E" w:rsidRDefault="00717B0E" w:rsidP="00717B0E">
      <w:pPr>
        <w:pStyle w:val="ListParagraph"/>
        <w:numPr>
          <w:ilvl w:val="0"/>
          <w:numId w:val="1"/>
        </w:numPr>
      </w:pPr>
      <w:r>
        <w:t>What percent of people surveyed were under 30 or over 65?</w:t>
      </w:r>
    </w:p>
    <w:p w:rsidR="00717B0E" w:rsidRDefault="00717B0E" w:rsidP="00717B0E">
      <w:pPr>
        <w:pStyle w:val="ListParagraph"/>
        <w:numPr>
          <w:ilvl w:val="0"/>
          <w:numId w:val="1"/>
        </w:numPr>
      </w:pPr>
      <w:r>
        <w:t>What percent of the people classified as “Neither” were under 30?</w:t>
      </w:r>
    </w:p>
    <w:p w:rsidR="00717B0E" w:rsidRDefault="00717B0E" w:rsidP="00717B0E">
      <w:pPr>
        <w:pStyle w:val="ListParagraph"/>
        <w:numPr>
          <w:ilvl w:val="0"/>
          <w:numId w:val="1"/>
        </w:numPr>
      </w:pPr>
      <w:r>
        <w:t>What percent of people under 30 were classified as “Neither”?</w:t>
      </w:r>
    </w:p>
    <w:p w:rsidR="00717B0E" w:rsidRDefault="00717B0E" w:rsidP="00717B0E">
      <w:pPr>
        <w:pStyle w:val="ListParagraph"/>
        <w:numPr>
          <w:ilvl w:val="0"/>
          <w:numId w:val="1"/>
        </w:numPr>
      </w:pPr>
      <w:r>
        <w:t>Do these result suggest that the preference depends on the age?</w:t>
      </w:r>
    </w:p>
    <w:p w:rsidR="00D25064" w:rsidRDefault="00D25064" w:rsidP="00D25064"/>
    <w:p w:rsidR="00D25064" w:rsidRDefault="00D25064" w:rsidP="00D25064"/>
    <w:p w:rsidR="00D25064" w:rsidRDefault="00D25064" w:rsidP="00D25064"/>
    <w:p w:rsidR="00D25064" w:rsidRDefault="00D25064" w:rsidP="00D25064"/>
    <w:p w:rsidR="00D25064" w:rsidRDefault="00D25064" w:rsidP="00D25064"/>
    <w:p w:rsidR="00D25064" w:rsidRDefault="00D25064"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p w:rsidR="00CE15BA" w:rsidRDefault="00CE15BA" w:rsidP="00D25064">
      <w:r>
        <w:lastRenderedPageBreak/>
        <w:t xml:space="preserve">A company that markets build-it-yourself furniture sells a computer desk that is advertised with the claim “less than an hour to assemble”. However, through </w:t>
      </w:r>
      <w:proofErr w:type="spellStart"/>
      <w:r>
        <w:t>postpurchase</w:t>
      </w:r>
      <w:proofErr w:type="spellEnd"/>
      <w:r>
        <w:t xml:space="preserve"> surveys the company has learned that only 25% of its customers succeeded in building the desk in under an hour. The mean time was 1.29 hours. The company assumes that consumer assembly time follows a Normal model.</w:t>
      </w:r>
    </w:p>
    <w:p w:rsidR="00CE15BA" w:rsidRDefault="00CE15BA" w:rsidP="00CE15BA">
      <w:pPr>
        <w:pStyle w:val="ListParagraph"/>
        <w:numPr>
          <w:ilvl w:val="0"/>
          <w:numId w:val="2"/>
        </w:numPr>
      </w:pPr>
      <w:r>
        <w:t>Find the standard deviation of the assembly time model.</w:t>
      </w:r>
    </w:p>
    <w:p w:rsidR="00CE15BA" w:rsidRDefault="00CE15BA" w:rsidP="00CE15BA">
      <w:pPr>
        <w:pStyle w:val="ListParagraph"/>
        <w:numPr>
          <w:ilvl w:val="0"/>
          <w:numId w:val="2"/>
        </w:numPr>
      </w:pPr>
      <w:r>
        <w:t>What assembly time should the company quote in order that 60% of customers succeed in finishing the desk by then?</w:t>
      </w:r>
    </w:p>
    <w:p w:rsidR="0012790B" w:rsidRDefault="0012790B" w:rsidP="00CE15BA">
      <w:pPr>
        <w:pStyle w:val="ListParagraph"/>
        <w:numPr>
          <w:ilvl w:val="0"/>
          <w:numId w:val="2"/>
        </w:numPr>
      </w:pPr>
      <w:r>
        <w:t>Wishing to maintain the “less than an hour” claim, the company hopes that revising the instructions and labeling the parts more clearly can improve the 1-hour success rate to 60%. If the standard deviation stays the same, what new lower mean time does the company need to achieve?</w:t>
      </w:r>
    </w:p>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AD4C3C" w:rsidP="00AD4C3C"/>
    <w:p w:rsidR="00AD4C3C" w:rsidRDefault="00872B39" w:rsidP="00AD4C3C">
      <w:r>
        <w:lastRenderedPageBreak/>
        <w:t xml:space="preserve">Here are the winning margins for the </w:t>
      </w:r>
      <w:r w:rsidR="00387077">
        <w:t>12</w:t>
      </w:r>
      <w:r>
        <w:t xml:space="preserve"> Super Bowl games (i.e., by how many points does the winning team outscore the losers)</w:t>
      </w:r>
    </w:p>
    <w:p w:rsidR="00872B39" w:rsidRDefault="00387077" w:rsidP="00AD4C3C">
      <w:r>
        <w:t>7, 27, 3, 27, 3, 3, 11, 12, 3, 4, 14, 6</w:t>
      </w:r>
    </w:p>
    <w:p w:rsidR="00387077" w:rsidRDefault="00387077" w:rsidP="00387077">
      <w:pPr>
        <w:pStyle w:val="ListParagraph"/>
        <w:numPr>
          <w:ilvl w:val="0"/>
          <w:numId w:val="3"/>
        </w:numPr>
      </w:pPr>
      <w:r>
        <w:t>Find the median</w:t>
      </w:r>
    </w:p>
    <w:p w:rsidR="00387077" w:rsidRDefault="00387077" w:rsidP="00387077">
      <w:pPr>
        <w:pStyle w:val="ListParagraph"/>
        <w:numPr>
          <w:ilvl w:val="0"/>
          <w:numId w:val="3"/>
        </w:numPr>
      </w:pPr>
      <w:r>
        <w:t>Find the quartiles</w:t>
      </w:r>
    </w:p>
    <w:p w:rsidR="00387077" w:rsidRDefault="00387077" w:rsidP="00387077">
      <w:pPr>
        <w:pStyle w:val="ListParagraph"/>
        <w:numPr>
          <w:ilvl w:val="0"/>
          <w:numId w:val="3"/>
        </w:numPr>
      </w:pPr>
      <w:r>
        <w:t>Find the mean</w:t>
      </w:r>
    </w:p>
    <w:p w:rsidR="00387077" w:rsidRDefault="00387077" w:rsidP="00387077">
      <w:pPr>
        <w:pStyle w:val="ListParagraph"/>
        <w:numPr>
          <w:ilvl w:val="0"/>
          <w:numId w:val="3"/>
        </w:numPr>
      </w:pPr>
      <w:r>
        <w:t>Find the standard deviation</w:t>
      </w:r>
    </w:p>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 w:rsidR="00387077" w:rsidRDefault="00387077" w:rsidP="00387077">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lastRenderedPageBreak/>
        <w:t>Assume the Cholesterol levels of adult American women can be described by a Normal model with a mean of 188 mg/</w:t>
      </w:r>
      <w:proofErr w:type="spellStart"/>
      <w:r>
        <w:t>dL</w:t>
      </w:r>
      <w:proofErr w:type="spellEnd"/>
      <w:r>
        <w:t xml:space="preserve"> and a standard deviation of 24.</w:t>
      </w:r>
    </w:p>
    <w:p w:rsidR="00387077" w:rsidRDefault="00387077" w:rsidP="003870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What percent of adult women do you expect to have cholesterol levels over 200 mg/</w:t>
      </w:r>
      <w:proofErr w:type="spellStart"/>
      <w:r>
        <w:t>dL</w:t>
      </w:r>
      <w:proofErr w:type="spellEnd"/>
      <w:r>
        <w:t>?</w:t>
      </w:r>
    </w:p>
    <w:p w:rsidR="00387077" w:rsidRDefault="00387077" w:rsidP="003870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Between 150 and 170 md/</w:t>
      </w:r>
      <w:proofErr w:type="spellStart"/>
      <w:r>
        <w:t>dL</w:t>
      </w:r>
      <w:proofErr w:type="spellEnd"/>
      <w:r>
        <w:t>?</w:t>
      </w:r>
    </w:p>
    <w:p w:rsidR="00387077" w:rsidRDefault="00387077" w:rsidP="00387077">
      <w:pPr>
        <w:pStyle w:val="ListParagraph"/>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pPr>
      <w:r>
        <w:t>Above what value are the highest 15% of women’s cholesterol level?</w:t>
      </w:r>
    </w:p>
    <w:p w:rsidR="00387077" w:rsidRDefault="00387077" w:rsidP="00387077">
      <w:bookmarkStart w:id="0" w:name="_GoBack"/>
      <w:bookmarkEnd w:id="0"/>
    </w:p>
    <w:p w:rsidR="00CE15BA" w:rsidRDefault="00CE15BA" w:rsidP="00D25064"/>
    <w:sectPr w:rsidR="00CE15B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E48" w:rsidRDefault="00DE7E48" w:rsidP="00CE15BA">
      <w:pPr>
        <w:spacing w:after="0" w:line="240" w:lineRule="auto"/>
      </w:pPr>
      <w:r>
        <w:separator/>
      </w:r>
    </w:p>
  </w:endnote>
  <w:endnote w:type="continuationSeparator" w:id="0">
    <w:p w:rsidR="00DE7E48" w:rsidRDefault="00DE7E48" w:rsidP="00CE1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E48" w:rsidRDefault="00DE7E48" w:rsidP="00CE15BA">
      <w:pPr>
        <w:spacing w:after="0" w:line="240" w:lineRule="auto"/>
      </w:pPr>
      <w:r>
        <w:separator/>
      </w:r>
    </w:p>
  </w:footnote>
  <w:footnote w:type="continuationSeparator" w:id="0">
    <w:p w:rsidR="00DE7E48" w:rsidRDefault="00DE7E48" w:rsidP="00CE15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33E2E"/>
    <w:multiLevelType w:val="hybridMultilevel"/>
    <w:tmpl w:val="85D49F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3B100C"/>
    <w:multiLevelType w:val="hybridMultilevel"/>
    <w:tmpl w:val="448AF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7670944"/>
    <w:multiLevelType w:val="hybridMultilevel"/>
    <w:tmpl w:val="55E47F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C271C6"/>
    <w:multiLevelType w:val="hybridMultilevel"/>
    <w:tmpl w:val="CCD46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B0E"/>
    <w:rsid w:val="0012790B"/>
    <w:rsid w:val="00387077"/>
    <w:rsid w:val="00717B0E"/>
    <w:rsid w:val="00872B39"/>
    <w:rsid w:val="008C26B9"/>
    <w:rsid w:val="00AD4C3C"/>
    <w:rsid w:val="00CE15BA"/>
    <w:rsid w:val="00D25064"/>
    <w:rsid w:val="00DE7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16159"/>
  <w15:chartTrackingRefBased/>
  <w15:docId w15:val="{53CF391F-8A24-4603-83BE-11310DBE4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717B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717B0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17B0E"/>
    <w:pPr>
      <w:ind w:left="720"/>
      <w:contextualSpacing/>
    </w:pPr>
  </w:style>
  <w:style w:type="paragraph" w:styleId="Header">
    <w:name w:val="header"/>
    <w:basedOn w:val="Normal"/>
    <w:link w:val="HeaderChar"/>
    <w:uiPriority w:val="99"/>
    <w:unhideWhenUsed/>
    <w:rsid w:val="00CE15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5BA"/>
  </w:style>
  <w:style w:type="paragraph" w:styleId="Footer">
    <w:name w:val="footer"/>
    <w:basedOn w:val="Normal"/>
    <w:link w:val="FooterChar"/>
    <w:uiPriority w:val="99"/>
    <w:unhideWhenUsed/>
    <w:rsid w:val="00CE15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951381-5EBC-4D22-90AA-DC303B4C6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319</Words>
  <Characters>1821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dc:creator>
  <cp:keywords/>
  <dc:description/>
  <cp:lastModifiedBy>tr</cp:lastModifiedBy>
  <cp:revision>4</cp:revision>
  <dcterms:created xsi:type="dcterms:W3CDTF">2016-09-21T01:19:00Z</dcterms:created>
  <dcterms:modified xsi:type="dcterms:W3CDTF">2016-09-21T02:09:00Z</dcterms:modified>
</cp:coreProperties>
</file>